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0C14" w14:textId="77777777" w:rsidR="00ED751C" w:rsidRPr="00046E14" w:rsidRDefault="00ED751C" w:rsidP="00ED751C">
      <w:pPr>
        <w:pStyle w:val="SubSubPar"/>
        <w:numPr>
          <w:ilvl w:val="0"/>
          <w:numId w:val="0"/>
        </w:numPr>
        <w:spacing w:after="0"/>
        <w:jc w:val="center"/>
        <w:rPr>
          <w:rFonts w:ascii="Arial" w:hAnsi="Arial" w:cs="Arial"/>
          <w:smallCaps/>
          <w:sz w:val="22"/>
          <w:szCs w:val="22"/>
          <w:lang w:val="es-ES"/>
        </w:rPr>
      </w:pPr>
      <w:r w:rsidRPr="00046E14">
        <w:rPr>
          <w:rFonts w:ascii="Arial" w:hAnsi="Arial" w:cs="Arial"/>
          <w:smallCaps/>
          <w:sz w:val="22"/>
          <w:szCs w:val="22"/>
          <w:lang w:val="es-ES"/>
        </w:rPr>
        <w:t xml:space="preserve">Documento del Banco Interamericano </w:t>
      </w:r>
      <w:r w:rsidR="00C1154C" w:rsidRPr="00046E14">
        <w:rPr>
          <w:rFonts w:ascii="Arial" w:hAnsi="Arial" w:cs="Arial"/>
          <w:smallCaps/>
          <w:sz w:val="22"/>
          <w:szCs w:val="22"/>
          <w:lang w:val="es-ES"/>
        </w:rPr>
        <w:t>d</w:t>
      </w:r>
      <w:r w:rsidRPr="00046E14">
        <w:rPr>
          <w:rFonts w:ascii="Arial" w:hAnsi="Arial" w:cs="Arial"/>
          <w:smallCaps/>
          <w:sz w:val="22"/>
          <w:szCs w:val="22"/>
          <w:lang w:val="es-ES"/>
        </w:rPr>
        <w:t>e Desarrollo</w:t>
      </w:r>
    </w:p>
    <w:p w14:paraId="6CC90C15"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16"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17"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18"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19"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1A" w14:textId="77777777" w:rsidR="00F54AAD" w:rsidRPr="00046E14" w:rsidRDefault="00F54AAD" w:rsidP="00ED751C">
      <w:pPr>
        <w:tabs>
          <w:tab w:val="left" w:pos="1440"/>
          <w:tab w:val="left" w:pos="3060"/>
        </w:tabs>
        <w:jc w:val="center"/>
        <w:rPr>
          <w:rFonts w:ascii="Arial" w:hAnsi="Arial" w:cs="Arial"/>
          <w:smallCaps/>
          <w:sz w:val="22"/>
          <w:szCs w:val="22"/>
          <w:lang w:val="es-ES"/>
        </w:rPr>
      </w:pPr>
    </w:p>
    <w:p w14:paraId="6CC90C1B" w14:textId="77777777" w:rsidR="00F54AAD" w:rsidRPr="00046E14" w:rsidRDefault="00F54AAD" w:rsidP="00ED751C">
      <w:pPr>
        <w:tabs>
          <w:tab w:val="left" w:pos="1440"/>
          <w:tab w:val="left" w:pos="3060"/>
        </w:tabs>
        <w:jc w:val="center"/>
        <w:rPr>
          <w:rFonts w:ascii="Arial" w:hAnsi="Arial" w:cs="Arial"/>
          <w:smallCaps/>
          <w:sz w:val="22"/>
          <w:szCs w:val="22"/>
          <w:lang w:val="es-ES"/>
        </w:rPr>
      </w:pPr>
    </w:p>
    <w:p w14:paraId="6CC90C1C"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1E" w14:textId="30EB6FE3" w:rsidR="006F7E62" w:rsidRDefault="00F84110" w:rsidP="00ED751C">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EL SALVADOR</w:t>
      </w:r>
    </w:p>
    <w:p w14:paraId="09DC92A5" w14:textId="77777777" w:rsidR="00F551D9" w:rsidRDefault="00F551D9" w:rsidP="00ED751C">
      <w:pPr>
        <w:tabs>
          <w:tab w:val="left" w:pos="1440"/>
          <w:tab w:val="left" w:pos="3060"/>
        </w:tabs>
        <w:jc w:val="center"/>
        <w:rPr>
          <w:rFonts w:ascii="Arial" w:hAnsi="Arial" w:cs="Arial"/>
          <w:b/>
          <w:smallCaps/>
          <w:sz w:val="28"/>
          <w:szCs w:val="28"/>
          <w:lang w:val="es-ES"/>
        </w:rPr>
      </w:pPr>
    </w:p>
    <w:p w14:paraId="6CC90C1F" w14:textId="77777777" w:rsidR="006F7E62" w:rsidRDefault="006F7E62" w:rsidP="00ED751C">
      <w:pPr>
        <w:tabs>
          <w:tab w:val="left" w:pos="1440"/>
          <w:tab w:val="left" w:pos="3060"/>
        </w:tabs>
        <w:jc w:val="center"/>
        <w:rPr>
          <w:rFonts w:ascii="Arial" w:hAnsi="Arial" w:cs="Arial"/>
          <w:b/>
          <w:smallCaps/>
          <w:sz w:val="28"/>
          <w:szCs w:val="28"/>
          <w:lang w:val="es-ES"/>
        </w:rPr>
      </w:pPr>
    </w:p>
    <w:p w14:paraId="6CC90C20" w14:textId="77777777" w:rsidR="006F7E62" w:rsidRPr="00046E14" w:rsidRDefault="006F7E62" w:rsidP="00ED751C">
      <w:pPr>
        <w:tabs>
          <w:tab w:val="left" w:pos="1440"/>
          <w:tab w:val="left" w:pos="3060"/>
        </w:tabs>
        <w:jc w:val="center"/>
        <w:rPr>
          <w:rFonts w:ascii="Arial" w:hAnsi="Arial" w:cs="Arial"/>
          <w:b/>
          <w:smallCaps/>
          <w:sz w:val="28"/>
          <w:szCs w:val="28"/>
          <w:lang w:val="es-ES"/>
        </w:rPr>
      </w:pPr>
    </w:p>
    <w:p w14:paraId="6CC90C21" w14:textId="77777777" w:rsidR="00ED751C" w:rsidRDefault="00ED751C" w:rsidP="006F7E62">
      <w:pPr>
        <w:tabs>
          <w:tab w:val="left" w:pos="1440"/>
          <w:tab w:val="left" w:pos="3060"/>
        </w:tabs>
        <w:rPr>
          <w:rFonts w:ascii="Arial" w:hAnsi="Arial" w:cs="Arial"/>
          <w:smallCaps/>
          <w:sz w:val="22"/>
          <w:szCs w:val="22"/>
          <w:lang w:val="es-ES"/>
        </w:rPr>
      </w:pPr>
    </w:p>
    <w:p w14:paraId="6CC90C22" w14:textId="77777777" w:rsidR="006F7E62" w:rsidRDefault="006F7E62" w:rsidP="006F7E62">
      <w:pPr>
        <w:tabs>
          <w:tab w:val="left" w:pos="1440"/>
          <w:tab w:val="left" w:pos="3060"/>
        </w:tabs>
        <w:rPr>
          <w:rFonts w:ascii="Arial" w:hAnsi="Arial" w:cs="Arial"/>
          <w:smallCaps/>
          <w:sz w:val="22"/>
          <w:szCs w:val="22"/>
          <w:lang w:val="es-ES"/>
        </w:rPr>
      </w:pPr>
    </w:p>
    <w:p w14:paraId="6CC90C23" w14:textId="77777777" w:rsidR="006F7E62" w:rsidRDefault="006F7E62" w:rsidP="006F7E62">
      <w:pPr>
        <w:tabs>
          <w:tab w:val="left" w:pos="1440"/>
          <w:tab w:val="left" w:pos="3060"/>
        </w:tabs>
        <w:rPr>
          <w:rFonts w:ascii="Arial" w:hAnsi="Arial" w:cs="Arial"/>
          <w:smallCaps/>
          <w:sz w:val="22"/>
          <w:szCs w:val="22"/>
          <w:lang w:val="es-ES"/>
        </w:rPr>
      </w:pPr>
    </w:p>
    <w:p w14:paraId="6CC90C24" w14:textId="77777777" w:rsidR="006F7E62" w:rsidRDefault="006F7E62" w:rsidP="006F7E62">
      <w:pPr>
        <w:tabs>
          <w:tab w:val="left" w:pos="1440"/>
          <w:tab w:val="left" w:pos="3060"/>
        </w:tabs>
        <w:rPr>
          <w:rFonts w:ascii="Arial" w:hAnsi="Arial" w:cs="Arial"/>
          <w:smallCaps/>
          <w:sz w:val="22"/>
          <w:szCs w:val="22"/>
          <w:lang w:val="es-ES"/>
        </w:rPr>
      </w:pPr>
    </w:p>
    <w:p w14:paraId="6CC90C25" w14:textId="77777777" w:rsidR="006F7E62" w:rsidRPr="00046E14" w:rsidRDefault="006F7E62" w:rsidP="006F7E62">
      <w:pPr>
        <w:tabs>
          <w:tab w:val="left" w:pos="1440"/>
          <w:tab w:val="left" w:pos="3060"/>
        </w:tabs>
        <w:rPr>
          <w:rFonts w:ascii="Arial" w:hAnsi="Arial" w:cs="Arial"/>
          <w:smallCaps/>
          <w:sz w:val="22"/>
          <w:szCs w:val="22"/>
          <w:lang w:val="es-ES"/>
        </w:rPr>
      </w:pPr>
    </w:p>
    <w:p w14:paraId="6CC90C26" w14:textId="6153CE37" w:rsidR="006F7E62" w:rsidRDefault="00C36453" w:rsidP="00ED751C">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Programa de Fortalecimiento de la</w:t>
      </w:r>
      <w:r w:rsidR="008346DD">
        <w:rPr>
          <w:rFonts w:ascii="Arial" w:hAnsi="Arial" w:cs="Arial"/>
          <w:b/>
          <w:smallCaps/>
          <w:sz w:val="28"/>
          <w:szCs w:val="28"/>
          <w:lang w:val="es-ES"/>
        </w:rPr>
        <w:t xml:space="preserve"> </w:t>
      </w:r>
      <w:r w:rsidR="00276323">
        <w:rPr>
          <w:rFonts w:ascii="Arial" w:hAnsi="Arial" w:cs="Arial"/>
          <w:b/>
          <w:smallCaps/>
          <w:sz w:val="28"/>
          <w:szCs w:val="28"/>
          <w:lang w:val="es-ES"/>
        </w:rPr>
        <w:t xml:space="preserve">Política y </w:t>
      </w:r>
      <w:r w:rsidR="008346DD">
        <w:rPr>
          <w:rFonts w:ascii="Arial" w:hAnsi="Arial" w:cs="Arial"/>
          <w:b/>
          <w:smallCaps/>
          <w:sz w:val="28"/>
          <w:szCs w:val="28"/>
          <w:lang w:val="es-ES"/>
        </w:rPr>
        <w:t>Gestión</w:t>
      </w:r>
      <w:r w:rsidR="00276323">
        <w:rPr>
          <w:rFonts w:ascii="Arial" w:hAnsi="Arial" w:cs="Arial"/>
          <w:b/>
          <w:smallCaps/>
          <w:sz w:val="28"/>
          <w:szCs w:val="28"/>
          <w:lang w:val="es-ES"/>
        </w:rPr>
        <w:t xml:space="preserve"> para la Atención de la Crisis Sanitaria y Económica causada por el C</w:t>
      </w:r>
      <w:r w:rsidR="00A93DB9">
        <w:rPr>
          <w:rFonts w:ascii="Arial" w:hAnsi="Arial" w:cs="Arial"/>
          <w:b/>
          <w:smallCaps/>
          <w:sz w:val="28"/>
          <w:szCs w:val="28"/>
          <w:lang w:val="es-ES"/>
        </w:rPr>
        <w:t>OVID-19</w:t>
      </w:r>
      <w:r w:rsidR="00276323">
        <w:rPr>
          <w:rFonts w:ascii="Arial" w:hAnsi="Arial" w:cs="Arial"/>
          <w:b/>
          <w:smallCaps/>
          <w:sz w:val="28"/>
          <w:szCs w:val="28"/>
          <w:lang w:val="es-ES"/>
        </w:rPr>
        <w:t xml:space="preserve"> </w:t>
      </w:r>
      <w:r w:rsidR="00276323" w:rsidRPr="004A7684">
        <w:rPr>
          <w:rFonts w:ascii="Arial" w:hAnsi="Arial" w:cs="Arial"/>
          <w:b/>
          <w:smallCaps/>
          <w:sz w:val="28"/>
          <w:szCs w:val="28"/>
          <w:lang w:val="es-ES"/>
        </w:rPr>
        <w:t>en</w:t>
      </w:r>
      <w:r w:rsidR="00F551D9">
        <w:rPr>
          <w:rFonts w:ascii="Arial" w:hAnsi="Arial" w:cs="Arial"/>
          <w:b/>
          <w:smallCaps/>
          <w:sz w:val="28"/>
          <w:szCs w:val="28"/>
          <w:lang w:val="es-ES"/>
        </w:rPr>
        <w:t xml:space="preserve"> </w:t>
      </w:r>
      <w:r w:rsidR="003B78FD">
        <w:rPr>
          <w:rFonts w:ascii="Arial" w:hAnsi="Arial" w:cs="Arial"/>
          <w:b/>
          <w:smallCaps/>
          <w:sz w:val="28"/>
          <w:szCs w:val="28"/>
          <w:lang w:val="es-ES"/>
        </w:rPr>
        <w:t>El Salvador</w:t>
      </w:r>
    </w:p>
    <w:p w14:paraId="35122B1C" w14:textId="77777777" w:rsidR="00E271E6" w:rsidRDefault="00E271E6" w:rsidP="00ED751C">
      <w:pPr>
        <w:tabs>
          <w:tab w:val="left" w:pos="1440"/>
          <w:tab w:val="left" w:pos="3060"/>
        </w:tabs>
        <w:jc w:val="center"/>
        <w:rPr>
          <w:rFonts w:ascii="Arial" w:hAnsi="Arial" w:cs="Arial"/>
          <w:b/>
          <w:smallCaps/>
          <w:sz w:val="28"/>
          <w:szCs w:val="28"/>
          <w:lang w:val="es-ES"/>
        </w:rPr>
      </w:pPr>
    </w:p>
    <w:p w14:paraId="6CC90C27" w14:textId="2926E8F6" w:rsidR="00ED751C" w:rsidRDefault="006F7E62" w:rsidP="00ED751C">
      <w:pPr>
        <w:tabs>
          <w:tab w:val="left" w:pos="1440"/>
          <w:tab w:val="left" w:pos="3060"/>
        </w:tabs>
        <w:jc w:val="center"/>
        <w:rPr>
          <w:rFonts w:ascii="Arial" w:hAnsi="Arial" w:cs="Arial"/>
          <w:b/>
          <w:smallCaps/>
          <w:sz w:val="28"/>
          <w:szCs w:val="28"/>
          <w:lang w:val="es-ES"/>
        </w:rPr>
      </w:pPr>
      <w:r w:rsidRPr="00F551D9">
        <w:rPr>
          <w:rFonts w:ascii="Arial" w:hAnsi="Arial" w:cs="Arial"/>
          <w:b/>
          <w:smallCaps/>
          <w:sz w:val="28"/>
          <w:szCs w:val="28"/>
          <w:lang w:val="es-ES"/>
        </w:rPr>
        <w:t>(</w:t>
      </w:r>
      <w:r w:rsidR="003B78FD">
        <w:rPr>
          <w:rFonts w:ascii="Arial" w:hAnsi="Arial" w:cs="Arial"/>
          <w:b/>
          <w:smallCaps/>
          <w:sz w:val="28"/>
          <w:szCs w:val="28"/>
          <w:lang w:val="es-ES"/>
        </w:rPr>
        <w:t>ES</w:t>
      </w:r>
      <w:r w:rsidRPr="00F551D9">
        <w:rPr>
          <w:rFonts w:ascii="Arial" w:hAnsi="Arial" w:cs="Arial"/>
          <w:b/>
          <w:smallCaps/>
          <w:sz w:val="28"/>
          <w:szCs w:val="28"/>
          <w:lang w:val="es-ES"/>
        </w:rPr>
        <w:t>-L</w:t>
      </w:r>
      <w:r w:rsidR="00F551D9">
        <w:rPr>
          <w:rFonts w:ascii="Arial" w:hAnsi="Arial" w:cs="Arial"/>
          <w:b/>
          <w:smallCaps/>
          <w:sz w:val="28"/>
          <w:szCs w:val="28"/>
          <w:lang w:val="es-ES"/>
        </w:rPr>
        <w:t>1</w:t>
      </w:r>
      <w:r w:rsidR="003B78FD">
        <w:rPr>
          <w:rFonts w:ascii="Arial" w:hAnsi="Arial" w:cs="Arial"/>
          <w:b/>
          <w:smallCaps/>
          <w:sz w:val="28"/>
          <w:szCs w:val="28"/>
          <w:lang w:val="es-ES"/>
        </w:rPr>
        <w:t>143</w:t>
      </w:r>
      <w:r w:rsidRPr="00F551D9">
        <w:rPr>
          <w:rFonts w:ascii="Arial" w:hAnsi="Arial" w:cs="Arial"/>
          <w:b/>
          <w:smallCaps/>
          <w:sz w:val="28"/>
          <w:szCs w:val="28"/>
          <w:lang w:val="es-ES"/>
        </w:rPr>
        <w:t>)</w:t>
      </w:r>
    </w:p>
    <w:p w14:paraId="6CC90C28" w14:textId="1447F4AA" w:rsidR="003F69C9" w:rsidRDefault="003F69C9" w:rsidP="00ED751C">
      <w:pPr>
        <w:tabs>
          <w:tab w:val="left" w:pos="1440"/>
          <w:tab w:val="left" w:pos="3060"/>
        </w:tabs>
        <w:jc w:val="center"/>
        <w:rPr>
          <w:rFonts w:ascii="Arial" w:hAnsi="Arial" w:cs="Arial"/>
          <w:b/>
          <w:smallCaps/>
          <w:sz w:val="28"/>
          <w:szCs w:val="28"/>
          <w:lang w:val="es-ES"/>
        </w:rPr>
      </w:pPr>
    </w:p>
    <w:p w14:paraId="2781C8B2" w14:textId="77777777" w:rsidR="00276323" w:rsidRDefault="00276323" w:rsidP="00ED751C">
      <w:pPr>
        <w:tabs>
          <w:tab w:val="left" w:pos="1440"/>
          <w:tab w:val="left" w:pos="3060"/>
        </w:tabs>
        <w:jc w:val="center"/>
        <w:rPr>
          <w:rFonts w:ascii="Arial" w:hAnsi="Arial" w:cs="Arial"/>
          <w:b/>
          <w:smallCaps/>
          <w:sz w:val="28"/>
          <w:szCs w:val="28"/>
          <w:lang w:val="es-ES"/>
        </w:rPr>
      </w:pPr>
    </w:p>
    <w:p w14:paraId="6CC90C29" w14:textId="77777777" w:rsidR="003F69C9" w:rsidRDefault="003F69C9" w:rsidP="00ED751C">
      <w:pPr>
        <w:tabs>
          <w:tab w:val="left" w:pos="1440"/>
          <w:tab w:val="left" w:pos="3060"/>
        </w:tabs>
        <w:jc w:val="center"/>
        <w:rPr>
          <w:rFonts w:ascii="Arial" w:hAnsi="Arial" w:cs="Arial"/>
          <w:b/>
          <w:smallCaps/>
          <w:sz w:val="28"/>
          <w:szCs w:val="28"/>
          <w:lang w:val="es-ES"/>
        </w:rPr>
      </w:pPr>
    </w:p>
    <w:p w14:paraId="6CC90C2A" w14:textId="11713401" w:rsidR="003F69C9" w:rsidRDefault="003F69C9" w:rsidP="00ED751C">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 xml:space="preserve">Plan de Monitoreo y </w:t>
      </w:r>
      <w:r w:rsidR="008346DD">
        <w:rPr>
          <w:rFonts w:ascii="Arial" w:hAnsi="Arial" w:cs="Arial"/>
          <w:b/>
          <w:smallCaps/>
          <w:sz w:val="28"/>
          <w:szCs w:val="28"/>
          <w:lang w:val="es-ES"/>
        </w:rPr>
        <w:t>E</w:t>
      </w:r>
      <w:r>
        <w:rPr>
          <w:rFonts w:ascii="Arial" w:hAnsi="Arial" w:cs="Arial"/>
          <w:b/>
          <w:smallCaps/>
          <w:sz w:val="28"/>
          <w:szCs w:val="28"/>
          <w:lang w:val="es-ES"/>
        </w:rPr>
        <w:t xml:space="preserve">valuación </w:t>
      </w:r>
    </w:p>
    <w:p w14:paraId="6CC90C2B" w14:textId="77777777" w:rsidR="003F69C9" w:rsidRPr="006F7E62" w:rsidRDefault="003F69C9" w:rsidP="00ED751C">
      <w:pPr>
        <w:tabs>
          <w:tab w:val="left" w:pos="1440"/>
          <w:tab w:val="left" w:pos="3060"/>
        </w:tabs>
        <w:jc w:val="center"/>
        <w:rPr>
          <w:rFonts w:ascii="Arial" w:hAnsi="Arial" w:cs="Arial"/>
          <w:b/>
          <w:smallCaps/>
          <w:sz w:val="28"/>
          <w:szCs w:val="28"/>
          <w:lang w:val="es-ES"/>
        </w:rPr>
      </w:pPr>
    </w:p>
    <w:p w14:paraId="6CC90C2C" w14:textId="77777777" w:rsidR="00ED751C" w:rsidRPr="00046E14" w:rsidRDefault="00ED751C" w:rsidP="00ED751C">
      <w:pPr>
        <w:pStyle w:val="Newpage"/>
        <w:rPr>
          <w:rFonts w:ascii="Arial" w:hAnsi="Arial" w:cs="Arial"/>
          <w:b w:val="0"/>
          <w:caps/>
          <w:smallCaps w:val="0"/>
          <w:sz w:val="22"/>
          <w:szCs w:val="22"/>
        </w:rPr>
      </w:pPr>
    </w:p>
    <w:p w14:paraId="6CC90C2D" w14:textId="77777777" w:rsidR="00ED751C" w:rsidRPr="00046E14" w:rsidRDefault="00ED751C" w:rsidP="00ED751C">
      <w:pPr>
        <w:tabs>
          <w:tab w:val="left" w:pos="1440"/>
          <w:tab w:val="left" w:pos="3060"/>
        </w:tabs>
        <w:jc w:val="center"/>
        <w:rPr>
          <w:rFonts w:ascii="Arial" w:hAnsi="Arial" w:cs="Arial"/>
          <w:b/>
          <w:smallCaps/>
          <w:sz w:val="22"/>
          <w:szCs w:val="22"/>
          <w:lang w:val="es-ES"/>
        </w:rPr>
      </w:pPr>
    </w:p>
    <w:p w14:paraId="6CC90C2E"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2F"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30" w14:textId="77777777" w:rsidR="00ED751C" w:rsidRPr="00046E14" w:rsidRDefault="00ED751C" w:rsidP="00ED751C">
      <w:pPr>
        <w:tabs>
          <w:tab w:val="left" w:pos="1440"/>
          <w:tab w:val="left" w:pos="3060"/>
        </w:tabs>
        <w:jc w:val="center"/>
        <w:rPr>
          <w:rFonts w:ascii="Arial" w:hAnsi="Arial" w:cs="Arial"/>
          <w:smallCaps/>
          <w:sz w:val="22"/>
          <w:szCs w:val="22"/>
          <w:lang w:val="es-ES"/>
        </w:rPr>
      </w:pPr>
    </w:p>
    <w:p w14:paraId="6CC90C31"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2"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3"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4"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5"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6"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7" w14:textId="77777777" w:rsidR="00ED751C" w:rsidRPr="00046E14" w:rsidRDefault="00ED751C" w:rsidP="00ED751C">
      <w:pPr>
        <w:tabs>
          <w:tab w:val="left" w:pos="1440"/>
          <w:tab w:val="left" w:pos="3060"/>
        </w:tabs>
        <w:jc w:val="center"/>
        <w:rPr>
          <w:rFonts w:ascii="Arial" w:hAnsi="Arial" w:cs="Arial"/>
          <w:sz w:val="22"/>
          <w:szCs w:val="22"/>
          <w:lang w:val="es-ES"/>
        </w:rPr>
      </w:pPr>
    </w:p>
    <w:p w14:paraId="6CC90C3B" w14:textId="77777777" w:rsidR="00ED751C" w:rsidRPr="00046E14" w:rsidRDefault="00ED751C" w:rsidP="00276323">
      <w:pPr>
        <w:tabs>
          <w:tab w:val="left" w:pos="1440"/>
          <w:tab w:val="left" w:pos="3060"/>
        </w:tabs>
        <w:rPr>
          <w:rFonts w:ascii="Arial" w:hAnsi="Arial" w:cs="Arial"/>
          <w:sz w:val="22"/>
          <w:szCs w:val="22"/>
          <w:lang w:val="es-ES"/>
        </w:rPr>
      </w:pPr>
    </w:p>
    <w:p w14:paraId="6CC90C3D" w14:textId="77777777" w:rsidR="00ED751C" w:rsidRPr="00046E14" w:rsidRDefault="00ED751C" w:rsidP="00276323">
      <w:pPr>
        <w:tabs>
          <w:tab w:val="left" w:pos="1440"/>
          <w:tab w:val="left" w:pos="3060"/>
        </w:tabs>
        <w:rPr>
          <w:rFonts w:ascii="Arial" w:hAnsi="Arial" w:cs="Arial"/>
          <w:sz w:val="22"/>
          <w:szCs w:val="22"/>
          <w:lang w:val="es-ES"/>
        </w:rPr>
      </w:pPr>
    </w:p>
    <w:p w14:paraId="6CC90C3E" w14:textId="46BEA80C" w:rsidR="00ED751C" w:rsidRPr="00D150CF" w:rsidRDefault="00ED751C" w:rsidP="00ED751C">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b/>
          <w:sz w:val="22"/>
          <w:szCs w:val="22"/>
          <w:lang w:val="es-ES"/>
        </w:rPr>
      </w:pPr>
      <w:r w:rsidRPr="00D150CF">
        <w:rPr>
          <w:rFonts w:ascii="Arial" w:hAnsi="Arial" w:cs="Arial"/>
          <w:sz w:val="22"/>
          <w:szCs w:val="22"/>
          <w:lang w:val="es-ES"/>
        </w:rPr>
        <w:t xml:space="preserve">Este documento fue preparado por: </w:t>
      </w:r>
      <w:r w:rsidR="003B78FD">
        <w:rPr>
          <w:rFonts w:ascii="Arial" w:hAnsi="Arial" w:cs="Arial"/>
          <w:sz w:val="22"/>
          <w:szCs w:val="22"/>
          <w:lang w:val="es-ES"/>
        </w:rPr>
        <w:t>Mario Sangines</w:t>
      </w:r>
      <w:r w:rsidR="00181729" w:rsidRPr="00D150CF">
        <w:rPr>
          <w:rFonts w:ascii="Arial" w:hAnsi="Arial" w:cs="Arial"/>
          <w:sz w:val="22"/>
          <w:szCs w:val="22"/>
          <w:lang w:val="es-ES"/>
        </w:rPr>
        <w:t xml:space="preserve"> (</w:t>
      </w:r>
      <w:r w:rsidR="00FD7DE0">
        <w:rPr>
          <w:rFonts w:ascii="Arial" w:hAnsi="Arial" w:cs="Arial"/>
          <w:sz w:val="22"/>
          <w:szCs w:val="22"/>
          <w:lang w:val="es-ES"/>
        </w:rPr>
        <w:t>IFD</w:t>
      </w:r>
      <w:r w:rsidR="00181729" w:rsidRPr="00D150CF">
        <w:rPr>
          <w:rFonts w:ascii="Arial" w:hAnsi="Arial" w:cs="Arial"/>
          <w:sz w:val="22"/>
          <w:szCs w:val="22"/>
          <w:lang w:val="es-ES"/>
        </w:rPr>
        <w:t>/</w:t>
      </w:r>
      <w:r w:rsidR="00FD7DE0">
        <w:rPr>
          <w:rFonts w:ascii="Arial" w:hAnsi="Arial" w:cs="Arial"/>
          <w:sz w:val="22"/>
          <w:szCs w:val="22"/>
          <w:lang w:val="es-ES"/>
        </w:rPr>
        <w:t>FMM</w:t>
      </w:r>
      <w:r w:rsidR="00181729" w:rsidRPr="00D150CF">
        <w:rPr>
          <w:rFonts w:ascii="Arial" w:hAnsi="Arial" w:cs="Arial"/>
          <w:sz w:val="22"/>
          <w:szCs w:val="22"/>
          <w:lang w:val="es-ES"/>
        </w:rPr>
        <w:t>)</w:t>
      </w:r>
      <w:r w:rsidR="00633121">
        <w:rPr>
          <w:rFonts w:ascii="Arial" w:hAnsi="Arial" w:cs="Arial"/>
          <w:sz w:val="22"/>
          <w:szCs w:val="22"/>
          <w:lang w:val="es-ES"/>
        </w:rPr>
        <w:t>;</w:t>
      </w:r>
      <w:r w:rsidR="00276323">
        <w:rPr>
          <w:rFonts w:ascii="Arial" w:hAnsi="Arial" w:cs="Arial"/>
          <w:sz w:val="22"/>
          <w:szCs w:val="22"/>
          <w:lang w:val="es-ES"/>
        </w:rPr>
        <w:t xml:space="preserve"> Sebastián Martinez</w:t>
      </w:r>
      <w:r w:rsidR="00974816">
        <w:rPr>
          <w:rFonts w:ascii="Arial" w:hAnsi="Arial" w:cs="Arial"/>
          <w:sz w:val="22"/>
          <w:szCs w:val="22"/>
          <w:lang w:val="es-ES"/>
        </w:rPr>
        <w:t>,</w:t>
      </w:r>
      <w:r w:rsidR="00EC69DF">
        <w:rPr>
          <w:rFonts w:ascii="Arial" w:hAnsi="Arial" w:cs="Arial"/>
          <w:sz w:val="22"/>
          <w:szCs w:val="22"/>
          <w:lang w:val="es-ES"/>
        </w:rPr>
        <w:t xml:space="preserve"> Cecilia Vidal</w:t>
      </w:r>
      <w:r w:rsidR="00974816">
        <w:rPr>
          <w:rFonts w:ascii="Arial" w:hAnsi="Arial" w:cs="Arial"/>
          <w:sz w:val="22"/>
          <w:szCs w:val="22"/>
          <w:lang w:val="es-ES"/>
        </w:rPr>
        <w:t xml:space="preserve"> y José Martínez</w:t>
      </w:r>
      <w:r w:rsidR="003B6623" w:rsidRPr="00D150CF">
        <w:rPr>
          <w:rFonts w:ascii="Arial" w:hAnsi="Arial" w:cs="Arial"/>
          <w:sz w:val="22"/>
          <w:szCs w:val="22"/>
          <w:lang w:val="es-ES"/>
        </w:rPr>
        <w:t xml:space="preserve"> (</w:t>
      </w:r>
      <w:r w:rsidR="00276323">
        <w:rPr>
          <w:rFonts w:ascii="Arial" w:hAnsi="Arial" w:cs="Arial"/>
          <w:sz w:val="22"/>
          <w:szCs w:val="22"/>
          <w:lang w:val="es-ES"/>
        </w:rPr>
        <w:t>SPD</w:t>
      </w:r>
      <w:r w:rsidR="00FD7DE0" w:rsidRPr="00D150CF">
        <w:rPr>
          <w:rFonts w:ascii="Arial" w:hAnsi="Arial" w:cs="Arial"/>
          <w:sz w:val="22"/>
          <w:szCs w:val="22"/>
          <w:lang w:val="es-ES"/>
        </w:rPr>
        <w:t>/</w:t>
      </w:r>
      <w:r w:rsidR="00276323">
        <w:rPr>
          <w:rFonts w:ascii="Arial" w:hAnsi="Arial" w:cs="Arial"/>
          <w:sz w:val="22"/>
          <w:szCs w:val="22"/>
          <w:lang w:val="es-ES"/>
        </w:rPr>
        <w:t>SDV</w:t>
      </w:r>
      <w:r w:rsidR="003B6623" w:rsidRPr="00D150CF">
        <w:rPr>
          <w:rFonts w:ascii="Arial" w:hAnsi="Arial" w:cs="Arial"/>
          <w:sz w:val="22"/>
          <w:szCs w:val="22"/>
          <w:lang w:val="es-ES"/>
        </w:rPr>
        <w:t>)</w:t>
      </w:r>
      <w:r w:rsidR="00181729" w:rsidRPr="00D150CF">
        <w:rPr>
          <w:rFonts w:ascii="Arial" w:hAnsi="Arial" w:cs="Arial"/>
          <w:sz w:val="22"/>
          <w:szCs w:val="22"/>
          <w:lang w:val="es-ES"/>
        </w:rPr>
        <w:t>.</w:t>
      </w:r>
      <w:r w:rsidRPr="00D150CF">
        <w:rPr>
          <w:rFonts w:ascii="Arial" w:hAnsi="Arial" w:cs="Arial"/>
          <w:sz w:val="22"/>
          <w:szCs w:val="22"/>
          <w:lang w:val="es-ES"/>
        </w:rPr>
        <w:t xml:space="preserve"> </w:t>
      </w:r>
    </w:p>
    <w:p w14:paraId="6CC90C3F" w14:textId="77777777" w:rsidR="00ED751C" w:rsidRPr="00D150CF" w:rsidRDefault="00ED751C" w:rsidP="00ED751C">
      <w:pPr>
        <w:tabs>
          <w:tab w:val="left" w:pos="1440"/>
          <w:tab w:val="left" w:pos="3060"/>
        </w:tabs>
        <w:outlineLvl w:val="0"/>
        <w:rPr>
          <w:rFonts w:ascii="Arial" w:hAnsi="Arial" w:cs="Arial"/>
          <w:sz w:val="20"/>
          <w:lang w:val="es-ES"/>
        </w:rPr>
      </w:pPr>
    </w:p>
    <w:p w14:paraId="6CC90C40" w14:textId="77777777" w:rsidR="00ED751C" w:rsidRPr="00D150CF" w:rsidRDefault="00ED751C" w:rsidP="00ED751C">
      <w:pPr>
        <w:tabs>
          <w:tab w:val="left" w:pos="1440"/>
          <w:tab w:val="left" w:pos="3060"/>
        </w:tabs>
        <w:outlineLvl w:val="0"/>
        <w:rPr>
          <w:rFonts w:ascii="Arial" w:hAnsi="Arial" w:cs="Arial"/>
          <w:sz w:val="22"/>
          <w:szCs w:val="22"/>
          <w:lang w:val="es-ES"/>
        </w:rPr>
        <w:sectPr w:rsidR="00ED751C" w:rsidRPr="00D150CF" w:rsidSect="00ED751C">
          <w:headerReference w:type="even" r:id="rId13"/>
          <w:headerReference w:type="default" r:id="rId14"/>
          <w:footerReference w:type="even" r:id="rId15"/>
          <w:pgSz w:w="12240" w:h="15840" w:code="1"/>
          <w:pgMar w:top="1440" w:right="1800" w:bottom="1440" w:left="1800" w:header="706" w:footer="706" w:gutter="0"/>
          <w:pgNumType w:fmt="lowerRoman" w:start="1"/>
          <w:cols w:space="720"/>
          <w:formProt w:val="0"/>
          <w:titlePg/>
        </w:sectPr>
      </w:pPr>
    </w:p>
    <w:p w14:paraId="6CC90C41" w14:textId="77777777" w:rsidR="00ED751C" w:rsidRPr="003F69C9" w:rsidRDefault="00ED751C" w:rsidP="003F69C9">
      <w:pPr>
        <w:pStyle w:val="Newpage"/>
        <w:rPr>
          <w:rFonts w:ascii="Arial" w:hAnsi="Arial" w:cs="Arial"/>
          <w:szCs w:val="24"/>
        </w:rPr>
      </w:pPr>
      <w:r w:rsidRPr="00A97B06">
        <w:rPr>
          <w:rFonts w:ascii="Arial" w:hAnsi="Arial" w:cs="Arial"/>
          <w:szCs w:val="24"/>
        </w:rPr>
        <w:lastRenderedPageBreak/>
        <w:t>Índice</w:t>
      </w:r>
    </w:p>
    <w:p w14:paraId="6CC90C42" w14:textId="77777777" w:rsidR="00ED751C" w:rsidRPr="007510C3" w:rsidRDefault="00ED751C" w:rsidP="00ED751C">
      <w:pPr>
        <w:pStyle w:val="Newpage"/>
        <w:rPr>
          <w:rFonts w:ascii="Arial" w:hAnsi="Arial" w:cs="Arial"/>
          <w:sz w:val="22"/>
          <w:szCs w:val="22"/>
        </w:rPr>
      </w:pPr>
    </w:p>
    <w:p w14:paraId="5DB842D4" w14:textId="27BD5E4F" w:rsidR="002B4219" w:rsidRPr="00A93DB9" w:rsidRDefault="00E3347F">
      <w:pPr>
        <w:pStyle w:val="TOC1"/>
        <w:rPr>
          <w:rFonts w:eastAsiaTheme="minorEastAsia"/>
          <w:b w:val="0"/>
          <w:smallCaps w:val="0"/>
          <w:sz w:val="22"/>
          <w:szCs w:val="22"/>
          <w:lang w:val="es-BO"/>
        </w:rPr>
      </w:pPr>
      <w:r w:rsidRPr="00A93DB9">
        <w:rPr>
          <w:noProof w:val="0"/>
          <w:sz w:val="22"/>
          <w:szCs w:val="22"/>
          <w:lang w:val="es-ES"/>
        </w:rPr>
        <w:fldChar w:fldCharType="begin"/>
      </w:r>
      <w:r w:rsidR="00ED751C" w:rsidRPr="00A93DB9">
        <w:rPr>
          <w:noProof w:val="0"/>
          <w:sz w:val="22"/>
          <w:szCs w:val="22"/>
          <w:lang w:val="es-ES"/>
        </w:rPr>
        <w:instrText xml:space="preserve"> TOC \f \t "Chapter,1,FirstHeading,2,SecHeading,3" </w:instrText>
      </w:r>
      <w:r w:rsidRPr="00A93DB9">
        <w:rPr>
          <w:noProof w:val="0"/>
          <w:sz w:val="22"/>
          <w:szCs w:val="22"/>
          <w:lang w:val="es-ES"/>
        </w:rPr>
        <w:fldChar w:fldCharType="separate"/>
      </w:r>
      <w:r w:rsidR="002B4219" w:rsidRPr="00A93DB9">
        <w:rPr>
          <w:sz w:val="22"/>
          <w:szCs w:val="22"/>
        </w:rPr>
        <w:t>I.</w:t>
      </w:r>
      <w:r w:rsidR="002B4219" w:rsidRPr="00A93DB9">
        <w:rPr>
          <w:rFonts w:eastAsiaTheme="minorEastAsia"/>
          <w:b w:val="0"/>
          <w:smallCaps w:val="0"/>
          <w:sz w:val="22"/>
          <w:szCs w:val="22"/>
          <w:lang w:val="es-BO"/>
        </w:rPr>
        <w:tab/>
      </w:r>
      <w:r w:rsidR="002B4219" w:rsidRPr="00A93DB9">
        <w:rPr>
          <w:sz w:val="22"/>
          <w:szCs w:val="22"/>
        </w:rPr>
        <w:t>Introducción</w:t>
      </w:r>
      <w:r w:rsidR="002B4219" w:rsidRPr="00A93DB9">
        <w:rPr>
          <w:sz w:val="22"/>
          <w:szCs w:val="22"/>
        </w:rPr>
        <w:tab/>
      </w:r>
      <w:r w:rsidR="002B4219" w:rsidRPr="00A93DB9">
        <w:rPr>
          <w:sz w:val="22"/>
          <w:szCs w:val="22"/>
        </w:rPr>
        <w:fldChar w:fldCharType="begin"/>
      </w:r>
      <w:r w:rsidR="002B4219" w:rsidRPr="00A93DB9">
        <w:rPr>
          <w:sz w:val="22"/>
          <w:szCs w:val="22"/>
        </w:rPr>
        <w:instrText xml:space="preserve"> PAGEREF _Toc36166557 \h </w:instrText>
      </w:r>
      <w:r w:rsidR="002B4219" w:rsidRPr="00A93DB9">
        <w:rPr>
          <w:sz w:val="22"/>
          <w:szCs w:val="22"/>
        </w:rPr>
      </w:r>
      <w:r w:rsidR="002B4219" w:rsidRPr="00A93DB9">
        <w:rPr>
          <w:sz w:val="22"/>
          <w:szCs w:val="22"/>
        </w:rPr>
        <w:fldChar w:fldCharType="separate"/>
      </w:r>
      <w:r w:rsidR="006B3B32">
        <w:rPr>
          <w:sz w:val="22"/>
          <w:szCs w:val="22"/>
        </w:rPr>
        <w:t>2</w:t>
      </w:r>
      <w:r w:rsidR="002B4219" w:rsidRPr="00A93DB9">
        <w:rPr>
          <w:sz w:val="22"/>
          <w:szCs w:val="22"/>
        </w:rPr>
        <w:fldChar w:fldCharType="end"/>
      </w:r>
    </w:p>
    <w:p w14:paraId="00E8A24D" w14:textId="3E3AA13E" w:rsidR="002B4219" w:rsidRPr="00A93DB9" w:rsidRDefault="002B4219">
      <w:pPr>
        <w:pStyle w:val="TOC1"/>
        <w:rPr>
          <w:rFonts w:eastAsiaTheme="minorEastAsia"/>
          <w:b w:val="0"/>
          <w:smallCaps w:val="0"/>
          <w:sz w:val="22"/>
          <w:szCs w:val="22"/>
          <w:lang w:val="es-BO"/>
        </w:rPr>
      </w:pPr>
      <w:r w:rsidRPr="00A93DB9">
        <w:rPr>
          <w:sz w:val="22"/>
          <w:szCs w:val="22"/>
        </w:rPr>
        <w:t>II.</w:t>
      </w:r>
      <w:r w:rsidRPr="00A93DB9">
        <w:rPr>
          <w:rFonts w:eastAsiaTheme="minorEastAsia"/>
          <w:b w:val="0"/>
          <w:smallCaps w:val="0"/>
          <w:sz w:val="22"/>
          <w:szCs w:val="22"/>
          <w:lang w:val="es-BO"/>
        </w:rPr>
        <w:tab/>
      </w:r>
      <w:r w:rsidRPr="00A93DB9">
        <w:rPr>
          <w:sz w:val="22"/>
          <w:szCs w:val="22"/>
        </w:rPr>
        <w:t>Monitoreo</w:t>
      </w:r>
      <w:r w:rsidRPr="00A93DB9">
        <w:rPr>
          <w:sz w:val="22"/>
          <w:szCs w:val="22"/>
        </w:rPr>
        <w:tab/>
      </w:r>
      <w:r w:rsidRPr="00A93DB9">
        <w:rPr>
          <w:sz w:val="22"/>
          <w:szCs w:val="22"/>
        </w:rPr>
        <w:fldChar w:fldCharType="begin"/>
      </w:r>
      <w:r w:rsidRPr="00A93DB9">
        <w:rPr>
          <w:sz w:val="22"/>
          <w:szCs w:val="22"/>
        </w:rPr>
        <w:instrText xml:space="preserve"> PAGEREF _Toc36166558 \h </w:instrText>
      </w:r>
      <w:r w:rsidRPr="00A93DB9">
        <w:rPr>
          <w:sz w:val="22"/>
          <w:szCs w:val="22"/>
        </w:rPr>
      </w:r>
      <w:r w:rsidRPr="00A93DB9">
        <w:rPr>
          <w:sz w:val="22"/>
          <w:szCs w:val="22"/>
        </w:rPr>
        <w:fldChar w:fldCharType="separate"/>
      </w:r>
      <w:r w:rsidR="006B3B32">
        <w:rPr>
          <w:sz w:val="22"/>
          <w:szCs w:val="22"/>
        </w:rPr>
        <w:t>3</w:t>
      </w:r>
      <w:r w:rsidRPr="00A93DB9">
        <w:rPr>
          <w:sz w:val="22"/>
          <w:szCs w:val="22"/>
        </w:rPr>
        <w:fldChar w:fldCharType="end"/>
      </w:r>
    </w:p>
    <w:p w14:paraId="77A70AEF" w14:textId="7C1064BC"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A.</w:t>
      </w:r>
      <w:r w:rsidRPr="00A93DB9">
        <w:rPr>
          <w:rFonts w:ascii="Arial" w:eastAsiaTheme="minorEastAsia" w:hAnsi="Arial" w:cs="Arial"/>
          <w:sz w:val="22"/>
          <w:szCs w:val="22"/>
          <w:lang w:val="es-BO"/>
        </w:rPr>
        <w:tab/>
      </w:r>
      <w:r w:rsidRPr="00A93DB9">
        <w:rPr>
          <w:rFonts w:ascii="Arial" w:hAnsi="Arial" w:cs="Arial"/>
          <w:sz w:val="22"/>
          <w:szCs w:val="22"/>
        </w:rPr>
        <w:t>Indicadores</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_Toc36166559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3</w:t>
      </w:r>
      <w:r w:rsidRPr="00A93DB9">
        <w:rPr>
          <w:rFonts w:ascii="Arial" w:hAnsi="Arial" w:cs="Arial"/>
          <w:sz w:val="22"/>
          <w:szCs w:val="22"/>
        </w:rPr>
        <w:fldChar w:fldCharType="end"/>
      </w:r>
    </w:p>
    <w:p w14:paraId="5E5B5E0C" w14:textId="33134E79"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B.</w:t>
      </w:r>
      <w:r w:rsidRPr="00A93DB9">
        <w:rPr>
          <w:rFonts w:ascii="Arial" w:eastAsiaTheme="minorEastAsia" w:hAnsi="Arial" w:cs="Arial"/>
          <w:sz w:val="22"/>
          <w:szCs w:val="22"/>
          <w:lang w:val="es-BO"/>
        </w:rPr>
        <w:tab/>
      </w:r>
      <w:r w:rsidRPr="00A93DB9">
        <w:rPr>
          <w:rFonts w:ascii="Arial" w:hAnsi="Arial" w:cs="Arial"/>
          <w:sz w:val="22"/>
          <w:szCs w:val="22"/>
        </w:rPr>
        <w:t>Recolección de datos e instrumentos</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_Toc36166560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3</w:t>
      </w:r>
      <w:r w:rsidRPr="00A93DB9">
        <w:rPr>
          <w:rFonts w:ascii="Arial" w:hAnsi="Arial" w:cs="Arial"/>
          <w:sz w:val="22"/>
          <w:szCs w:val="22"/>
        </w:rPr>
        <w:fldChar w:fldCharType="end"/>
      </w:r>
    </w:p>
    <w:p w14:paraId="7233D50A" w14:textId="1B58B1B0"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C.</w:t>
      </w:r>
      <w:r w:rsidRPr="00A93DB9">
        <w:rPr>
          <w:rFonts w:ascii="Arial" w:eastAsiaTheme="minorEastAsia" w:hAnsi="Arial" w:cs="Arial"/>
          <w:sz w:val="22"/>
          <w:szCs w:val="22"/>
          <w:lang w:val="es-BO"/>
        </w:rPr>
        <w:tab/>
      </w:r>
      <w:r w:rsidRPr="00A93DB9">
        <w:rPr>
          <w:rFonts w:ascii="Arial" w:hAnsi="Arial" w:cs="Arial"/>
          <w:sz w:val="22"/>
          <w:szCs w:val="22"/>
        </w:rPr>
        <w:t>Presentación de informes</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_Toc36166561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3</w:t>
      </w:r>
      <w:r w:rsidRPr="00A93DB9">
        <w:rPr>
          <w:rFonts w:ascii="Arial" w:hAnsi="Arial" w:cs="Arial"/>
          <w:sz w:val="22"/>
          <w:szCs w:val="22"/>
        </w:rPr>
        <w:fldChar w:fldCharType="end"/>
      </w:r>
    </w:p>
    <w:p w14:paraId="4980C2F0" w14:textId="0B43D2B3"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D.</w:t>
      </w:r>
      <w:r w:rsidRPr="00A93DB9">
        <w:rPr>
          <w:rFonts w:ascii="Arial" w:eastAsiaTheme="minorEastAsia" w:hAnsi="Arial" w:cs="Arial"/>
          <w:sz w:val="22"/>
          <w:szCs w:val="22"/>
          <w:lang w:val="es-BO"/>
        </w:rPr>
        <w:tab/>
      </w:r>
      <w:r w:rsidRPr="00A93DB9">
        <w:rPr>
          <w:rFonts w:ascii="Arial" w:hAnsi="Arial" w:cs="Arial"/>
          <w:sz w:val="22"/>
          <w:szCs w:val="22"/>
        </w:rPr>
        <w:t>Coordinación, plan de trabajo y presupuesto del seguimiento</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_Toc36166562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9</w:t>
      </w:r>
      <w:r w:rsidRPr="00A93DB9">
        <w:rPr>
          <w:rFonts w:ascii="Arial" w:hAnsi="Arial" w:cs="Arial"/>
          <w:sz w:val="22"/>
          <w:szCs w:val="22"/>
        </w:rPr>
        <w:fldChar w:fldCharType="end"/>
      </w:r>
    </w:p>
    <w:p w14:paraId="6BC35703" w14:textId="768F87CA" w:rsidR="002B4219" w:rsidRPr="00A93DB9" w:rsidRDefault="002B4219">
      <w:pPr>
        <w:pStyle w:val="TOC1"/>
        <w:rPr>
          <w:rFonts w:eastAsiaTheme="minorEastAsia"/>
          <w:b w:val="0"/>
          <w:smallCaps w:val="0"/>
          <w:sz w:val="22"/>
          <w:szCs w:val="22"/>
          <w:lang w:val="es-BO"/>
        </w:rPr>
      </w:pPr>
      <w:r w:rsidRPr="00A93DB9">
        <w:rPr>
          <w:sz w:val="22"/>
          <w:szCs w:val="22"/>
        </w:rPr>
        <w:t>III.</w:t>
      </w:r>
      <w:r w:rsidRPr="00A93DB9">
        <w:rPr>
          <w:rFonts w:eastAsiaTheme="minorEastAsia"/>
          <w:b w:val="0"/>
          <w:smallCaps w:val="0"/>
          <w:sz w:val="22"/>
          <w:szCs w:val="22"/>
          <w:lang w:val="es-BO"/>
        </w:rPr>
        <w:tab/>
      </w:r>
      <w:r w:rsidRPr="00A93DB9">
        <w:rPr>
          <w:sz w:val="22"/>
          <w:szCs w:val="22"/>
        </w:rPr>
        <w:t>Evaluación</w:t>
      </w:r>
      <w:r w:rsidRPr="00A93DB9">
        <w:rPr>
          <w:sz w:val="22"/>
          <w:szCs w:val="22"/>
        </w:rPr>
        <w:tab/>
      </w:r>
      <w:r w:rsidRPr="00A93DB9">
        <w:rPr>
          <w:sz w:val="22"/>
          <w:szCs w:val="22"/>
        </w:rPr>
        <w:fldChar w:fldCharType="begin"/>
      </w:r>
      <w:r w:rsidRPr="00A93DB9">
        <w:rPr>
          <w:sz w:val="22"/>
          <w:szCs w:val="22"/>
        </w:rPr>
        <w:instrText xml:space="preserve"> PAGEREF _Toc36166563 \h </w:instrText>
      </w:r>
      <w:r w:rsidRPr="00A93DB9">
        <w:rPr>
          <w:sz w:val="22"/>
          <w:szCs w:val="22"/>
        </w:rPr>
      </w:r>
      <w:r w:rsidRPr="00A93DB9">
        <w:rPr>
          <w:sz w:val="22"/>
          <w:szCs w:val="22"/>
        </w:rPr>
        <w:fldChar w:fldCharType="separate"/>
      </w:r>
      <w:r w:rsidR="006B3B32">
        <w:rPr>
          <w:sz w:val="22"/>
          <w:szCs w:val="22"/>
        </w:rPr>
        <w:t>9</w:t>
      </w:r>
      <w:r w:rsidRPr="00A93DB9">
        <w:rPr>
          <w:sz w:val="22"/>
          <w:szCs w:val="22"/>
        </w:rPr>
        <w:fldChar w:fldCharType="end"/>
      </w:r>
    </w:p>
    <w:p w14:paraId="3FEE0886" w14:textId="7B595980"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A.</w:t>
      </w:r>
      <w:r w:rsidRPr="00A93DB9">
        <w:rPr>
          <w:rFonts w:ascii="Arial" w:eastAsiaTheme="minorEastAsia" w:hAnsi="Arial" w:cs="Arial"/>
          <w:sz w:val="22"/>
          <w:szCs w:val="22"/>
          <w:lang w:val="es-BO"/>
        </w:rPr>
        <w:tab/>
      </w:r>
      <w:r w:rsidRPr="00A93DB9">
        <w:rPr>
          <w:rFonts w:ascii="Arial" w:hAnsi="Arial" w:cs="Arial"/>
          <w:sz w:val="22"/>
          <w:szCs w:val="22"/>
        </w:rPr>
        <w:t>Principales preguntas de la evaluación</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_Toc36166564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9</w:t>
      </w:r>
      <w:r w:rsidRPr="00A93DB9">
        <w:rPr>
          <w:rFonts w:ascii="Arial" w:hAnsi="Arial" w:cs="Arial"/>
          <w:sz w:val="22"/>
          <w:szCs w:val="22"/>
        </w:rPr>
        <w:fldChar w:fldCharType="end"/>
      </w:r>
    </w:p>
    <w:p w14:paraId="29C9CF07" w14:textId="2DCB6CED"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B.</w:t>
      </w:r>
      <w:r w:rsidRPr="00A93DB9">
        <w:rPr>
          <w:rFonts w:ascii="Arial" w:eastAsiaTheme="minorEastAsia" w:hAnsi="Arial" w:cs="Arial"/>
          <w:sz w:val="22"/>
          <w:szCs w:val="22"/>
          <w:lang w:val="es-BO"/>
        </w:rPr>
        <w:tab/>
      </w:r>
      <w:r w:rsidRPr="00A93DB9">
        <w:rPr>
          <w:rFonts w:ascii="Arial" w:hAnsi="Arial" w:cs="Arial"/>
          <w:sz w:val="22"/>
          <w:szCs w:val="22"/>
        </w:rPr>
        <w:t>Principales indicadores de resultado</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_Toc36166565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10</w:t>
      </w:r>
      <w:r w:rsidRPr="00A93DB9">
        <w:rPr>
          <w:rFonts w:ascii="Arial" w:hAnsi="Arial" w:cs="Arial"/>
          <w:sz w:val="22"/>
          <w:szCs w:val="22"/>
        </w:rPr>
        <w:fldChar w:fldCharType="end"/>
      </w:r>
    </w:p>
    <w:p w14:paraId="3E180AEC" w14:textId="2EB51CAE"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C.</w:t>
      </w:r>
      <w:r w:rsidRPr="00A93DB9">
        <w:rPr>
          <w:rFonts w:ascii="Arial" w:eastAsiaTheme="minorEastAsia" w:hAnsi="Arial" w:cs="Arial"/>
          <w:sz w:val="22"/>
          <w:szCs w:val="22"/>
          <w:lang w:val="es-BO"/>
        </w:rPr>
        <w:tab/>
      </w:r>
      <w:r w:rsidRPr="00A93DB9">
        <w:rPr>
          <w:rFonts w:ascii="Arial" w:hAnsi="Arial" w:cs="Arial"/>
          <w:sz w:val="22"/>
          <w:szCs w:val="22"/>
        </w:rPr>
        <w:t>Conocimiento existente (evaluaciones previas, análisis financiero ex ante)</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_Toc36166566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15</w:t>
      </w:r>
      <w:r w:rsidRPr="00A93DB9">
        <w:rPr>
          <w:rFonts w:ascii="Arial" w:hAnsi="Arial" w:cs="Arial"/>
          <w:sz w:val="22"/>
          <w:szCs w:val="22"/>
        </w:rPr>
        <w:fldChar w:fldCharType="end"/>
      </w:r>
    </w:p>
    <w:p w14:paraId="3B67CF3C" w14:textId="701E8973"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D.</w:t>
      </w:r>
      <w:r w:rsidRPr="00A93DB9">
        <w:rPr>
          <w:rFonts w:ascii="Arial" w:eastAsiaTheme="minorEastAsia" w:hAnsi="Arial" w:cs="Arial"/>
          <w:sz w:val="22"/>
          <w:szCs w:val="22"/>
          <w:lang w:val="es-BO"/>
        </w:rPr>
        <w:tab/>
      </w:r>
      <w:r w:rsidRPr="00A93DB9">
        <w:rPr>
          <w:rFonts w:ascii="Arial" w:hAnsi="Arial" w:cs="Arial"/>
          <w:sz w:val="22"/>
          <w:szCs w:val="22"/>
        </w:rPr>
        <w:t>Metodología de la evaluación</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_Toc36166567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18</w:t>
      </w:r>
      <w:r w:rsidRPr="00A93DB9">
        <w:rPr>
          <w:rFonts w:ascii="Arial" w:hAnsi="Arial" w:cs="Arial"/>
          <w:sz w:val="22"/>
          <w:szCs w:val="22"/>
        </w:rPr>
        <w:fldChar w:fldCharType="end"/>
      </w:r>
    </w:p>
    <w:p w14:paraId="1885FFED" w14:textId="5E8BFA4F"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E.</w:t>
      </w:r>
      <w:r w:rsidRPr="00A93DB9">
        <w:rPr>
          <w:rFonts w:ascii="Arial" w:eastAsiaTheme="minorEastAsia" w:hAnsi="Arial" w:cs="Arial"/>
          <w:sz w:val="22"/>
          <w:szCs w:val="22"/>
          <w:lang w:val="es-BO"/>
        </w:rPr>
        <w:tab/>
      </w:r>
      <w:r w:rsidRPr="00A93DB9">
        <w:rPr>
          <w:rFonts w:ascii="Arial" w:hAnsi="Arial" w:cs="Arial"/>
          <w:sz w:val="22"/>
          <w:szCs w:val="22"/>
        </w:rPr>
        <w:t>Presentación de Informes</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_Toc36166568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19</w:t>
      </w:r>
      <w:r w:rsidRPr="00A93DB9">
        <w:rPr>
          <w:rFonts w:ascii="Arial" w:hAnsi="Arial" w:cs="Arial"/>
          <w:sz w:val="22"/>
          <w:szCs w:val="22"/>
        </w:rPr>
        <w:fldChar w:fldCharType="end"/>
      </w:r>
    </w:p>
    <w:p w14:paraId="67B7D361" w14:textId="3B0E9A84" w:rsidR="002B4219" w:rsidRPr="00A93DB9" w:rsidRDefault="002B4219">
      <w:pPr>
        <w:pStyle w:val="TOC2"/>
        <w:rPr>
          <w:rFonts w:ascii="Arial" w:eastAsiaTheme="minorEastAsia" w:hAnsi="Arial" w:cs="Arial"/>
          <w:sz w:val="22"/>
          <w:szCs w:val="22"/>
          <w:lang w:val="es-BO"/>
        </w:rPr>
      </w:pPr>
      <w:r w:rsidRPr="00A93DB9">
        <w:rPr>
          <w:rFonts w:ascii="Arial" w:hAnsi="Arial" w:cs="Arial"/>
          <w:sz w:val="22"/>
          <w:szCs w:val="22"/>
        </w:rPr>
        <w:t>F.</w:t>
      </w:r>
      <w:r w:rsidRPr="00A93DB9">
        <w:rPr>
          <w:rFonts w:ascii="Arial" w:eastAsiaTheme="minorEastAsia" w:hAnsi="Arial" w:cs="Arial"/>
          <w:sz w:val="22"/>
          <w:szCs w:val="22"/>
          <w:lang w:val="es-BO"/>
        </w:rPr>
        <w:tab/>
      </w:r>
      <w:r w:rsidRPr="00A93DB9">
        <w:rPr>
          <w:rFonts w:ascii="Arial" w:hAnsi="Arial" w:cs="Arial"/>
          <w:sz w:val="22"/>
          <w:szCs w:val="22"/>
        </w:rPr>
        <w:t>Coordinación, plan de trabajo y presupuesto de la evaluación</w:t>
      </w:r>
      <w:r w:rsidRPr="00A93DB9">
        <w:rPr>
          <w:rFonts w:ascii="Arial" w:hAnsi="Arial" w:cs="Arial"/>
          <w:sz w:val="22"/>
          <w:szCs w:val="22"/>
        </w:rPr>
        <w:tab/>
      </w:r>
      <w:r w:rsidRPr="00A93DB9">
        <w:rPr>
          <w:rFonts w:ascii="Arial" w:hAnsi="Arial" w:cs="Arial"/>
          <w:sz w:val="22"/>
          <w:szCs w:val="22"/>
        </w:rPr>
        <w:fldChar w:fldCharType="begin"/>
      </w:r>
      <w:r w:rsidRPr="00A93DB9">
        <w:rPr>
          <w:rFonts w:ascii="Arial" w:hAnsi="Arial" w:cs="Arial"/>
          <w:sz w:val="22"/>
          <w:szCs w:val="22"/>
        </w:rPr>
        <w:instrText xml:space="preserve"> PAGEREF _Toc36166569 \h </w:instrText>
      </w:r>
      <w:r w:rsidRPr="00A93DB9">
        <w:rPr>
          <w:rFonts w:ascii="Arial" w:hAnsi="Arial" w:cs="Arial"/>
          <w:sz w:val="22"/>
          <w:szCs w:val="22"/>
        </w:rPr>
      </w:r>
      <w:r w:rsidRPr="00A93DB9">
        <w:rPr>
          <w:rFonts w:ascii="Arial" w:hAnsi="Arial" w:cs="Arial"/>
          <w:sz w:val="22"/>
          <w:szCs w:val="22"/>
        </w:rPr>
        <w:fldChar w:fldCharType="separate"/>
      </w:r>
      <w:r w:rsidR="006B3B32">
        <w:rPr>
          <w:rFonts w:ascii="Arial" w:hAnsi="Arial" w:cs="Arial"/>
          <w:sz w:val="22"/>
          <w:szCs w:val="22"/>
        </w:rPr>
        <w:t>20</w:t>
      </w:r>
      <w:r w:rsidRPr="00A93DB9">
        <w:rPr>
          <w:rFonts w:ascii="Arial" w:hAnsi="Arial" w:cs="Arial"/>
          <w:sz w:val="22"/>
          <w:szCs w:val="22"/>
        </w:rPr>
        <w:fldChar w:fldCharType="end"/>
      </w:r>
    </w:p>
    <w:p w14:paraId="6CC90C50" w14:textId="1235177E" w:rsidR="003F69C9" w:rsidRPr="00A93DB9" w:rsidRDefault="00E3347F" w:rsidP="003F69C9">
      <w:pPr>
        <w:pStyle w:val="TOC3"/>
        <w:rPr>
          <w:rFonts w:ascii="Arial" w:hAnsi="Arial" w:cs="Arial"/>
          <w:sz w:val="22"/>
          <w:szCs w:val="22"/>
        </w:rPr>
      </w:pPr>
      <w:r w:rsidRPr="00A93DB9">
        <w:rPr>
          <w:rFonts w:ascii="Arial" w:hAnsi="Arial" w:cs="Arial"/>
          <w:sz w:val="22"/>
          <w:szCs w:val="22"/>
        </w:rPr>
        <w:fldChar w:fldCharType="end"/>
      </w:r>
    </w:p>
    <w:p w14:paraId="6CC90C51" w14:textId="77777777" w:rsidR="003F69C9" w:rsidRPr="00A93DB9" w:rsidRDefault="003F69C9" w:rsidP="003F69C9">
      <w:pPr>
        <w:rPr>
          <w:rFonts w:ascii="Arial" w:hAnsi="Arial" w:cs="Arial"/>
          <w:sz w:val="22"/>
          <w:szCs w:val="22"/>
          <w:lang w:val="es-ES"/>
        </w:rPr>
      </w:pPr>
    </w:p>
    <w:p w14:paraId="6CC90C52" w14:textId="77777777" w:rsidR="003F69C9" w:rsidRPr="00A93DB9" w:rsidRDefault="003F69C9" w:rsidP="003F69C9">
      <w:pPr>
        <w:rPr>
          <w:rFonts w:ascii="Arial" w:hAnsi="Arial" w:cs="Arial"/>
          <w:sz w:val="22"/>
          <w:szCs w:val="22"/>
          <w:lang w:val="es-ES"/>
        </w:rPr>
      </w:pPr>
    </w:p>
    <w:p w14:paraId="6CC90C68" w14:textId="01BE0653" w:rsidR="00532A6A" w:rsidRDefault="00532A6A">
      <w:pPr>
        <w:spacing w:after="200" w:line="276" w:lineRule="auto"/>
        <w:rPr>
          <w:rFonts w:ascii="Arial" w:hAnsi="Arial" w:cs="Arial"/>
          <w:sz w:val="22"/>
          <w:szCs w:val="22"/>
          <w:lang w:val="es-ES"/>
        </w:rPr>
      </w:pPr>
      <w:r>
        <w:rPr>
          <w:rFonts w:ascii="Arial" w:hAnsi="Arial" w:cs="Arial"/>
          <w:sz w:val="22"/>
          <w:szCs w:val="22"/>
          <w:lang w:val="es-ES"/>
        </w:rPr>
        <w:br w:type="page"/>
      </w:r>
    </w:p>
    <w:tbl>
      <w:tblPr>
        <w:tblW w:w="8640" w:type="dxa"/>
        <w:tblInd w:w="108" w:type="dxa"/>
        <w:tblLook w:val="01E0" w:firstRow="1" w:lastRow="1" w:firstColumn="1" w:lastColumn="1" w:noHBand="0" w:noVBand="0"/>
      </w:tblPr>
      <w:tblGrid>
        <w:gridCol w:w="1512"/>
        <w:gridCol w:w="7128"/>
      </w:tblGrid>
      <w:tr w:rsidR="00F52C57" w:rsidRPr="00046E14" w14:paraId="41DACFCB" w14:textId="77777777" w:rsidTr="002B7EF4">
        <w:trPr>
          <w:cantSplit/>
          <w:trHeight w:val="423"/>
        </w:trPr>
        <w:tc>
          <w:tcPr>
            <w:tcW w:w="8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8CB1469" w14:textId="77777777" w:rsidR="00F52C57" w:rsidRPr="00046E14" w:rsidRDefault="00F52C57" w:rsidP="002B7EF4">
            <w:pPr>
              <w:spacing w:before="20" w:after="20"/>
              <w:jc w:val="center"/>
              <w:rPr>
                <w:rFonts w:ascii="Arial" w:eastAsia="Arial Unicode MS" w:hAnsi="Arial" w:cs="Arial"/>
                <w:b/>
                <w:bCs/>
                <w:smallCaps/>
                <w:sz w:val="22"/>
                <w:szCs w:val="22"/>
                <w:lang w:val="es-ES"/>
              </w:rPr>
            </w:pPr>
            <w:r w:rsidRPr="00046E14">
              <w:rPr>
                <w:rFonts w:ascii="Arial" w:eastAsia="Arial Unicode MS" w:hAnsi="Arial" w:cs="Arial"/>
                <w:b/>
                <w:bCs/>
                <w:smallCaps/>
                <w:sz w:val="22"/>
                <w:szCs w:val="22"/>
                <w:lang w:val="es-ES"/>
              </w:rPr>
              <w:lastRenderedPageBreak/>
              <w:t>Abreviaturas</w:t>
            </w:r>
          </w:p>
        </w:tc>
      </w:tr>
      <w:tr w:rsidR="00F52C57" w:rsidRPr="006B55AD" w14:paraId="385923C9" w14:textId="77777777" w:rsidTr="002B7EF4">
        <w:trPr>
          <w:cantSplit/>
        </w:trPr>
        <w:tc>
          <w:tcPr>
            <w:tcW w:w="1512" w:type="dxa"/>
            <w:tcBorders>
              <w:top w:val="single" w:sz="4" w:space="0" w:color="auto"/>
              <w:left w:val="single" w:sz="4" w:space="0" w:color="auto"/>
            </w:tcBorders>
          </w:tcPr>
          <w:p w14:paraId="17347E9B" w14:textId="4854BAA9" w:rsidR="00F52C57" w:rsidRDefault="00F52C57" w:rsidP="002B7EF4">
            <w:pPr>
              <w:spacing w:before="20" w:after="20"/>
              <w:rPr>
                <w:rFonts w:ascii="Arial" w:hAnsi="Arial" w:cs="Arial"/>
                <w:sz w:val="22"/>
                <w:szCs w:val="22"/>
                <w:lang w:val="en-US"/>
              </w:rPr>
            </w:pPr>
            <w:r w:rsidRPr="009C4480">
              <w:rPr>
                <w:rFonts w:ascii="Arial" w:hAnsi="Arial" w:cs="Arial"/>
                <w:sz w:val="22"/>
                <w:szCs w:val="22"/>
                <w:lang w:val="en-US"/>
              </w:rPr>
              <w:t>FMM</w:t>
            </w:r>
          </w:p>
          <w:p w14:paraId="53E9C1F2" w14:textId="03579BBC" w:rsidR="00F52C57" w:rsidRPr="009C4480" w:rsidRDefault="00F52C57" w:rsidP="002B7EF4">
            <w:pPr>
              <w:spacing w:before="20" w:after="20"/>
              <w:rPr>
                <w:rFonts w:ascii="Arial" w:hAnsi="Arial" w:cs="Arial"/>
                <w:sz w:val="22"/>
                <w:szCs w:val="22"/>
                <w:lang w:val="en-US"/>
              </w:rPr>
            </w:pPr>
            <w:r>
              <w:rPr>
                <w:rFonts w:ascii="Arial" w:hAnsi="Arial" w:cs="Arial"/>
                <w:sz w:val="22"/>
                <w:szCs w:val="22"/>
                <w:lang w:val="en-US"/>
              </w:rPr>
              <w:t>MH</w:t>
            </w:r>
          </w:p>
        </w:tc>
        <w:tc>
          <w:tcPr>
            <w:tcW w:w="7128" w:type="dxa"/>
            <w:tcBorders>
              <w:top w:val="single" w:sz="4" w:space="0" w:color="auto"/>
              <w:right w:val="single" w:sz="4" w:space="0" w:color="auto"/>
            </w:tcBorders>
          </w:tcPr>
          <w:p w14:paraId="49C25640" w14:textId="77777777" w:rsidR="00F52C57" w:rsidRDefault="00F52C57" w:rsidP="002B7EF4">
            <w:pPr>
              <w:spacing w:before="20" w:after="20"/>
              <w:rPr>
                <w:rFonts w:ascii="Arial" w:hAnsi="Arial" w:cs="Arial"/>
                <w:sz w:val="22"/>
                <w:szCs w:val="22"/>
                <w:lang w:val="es-MX"/>
              </w:rPr>
            </w:pPr>
            <w:r w:rsidRPr="006B55AD">
              <w:rPr>
                <w:rFonts w:ascii="Arial" w:hAnsi="Arial" w:cs="Arial"/>
                <w:sz w:val="22"/>
                <w:szCs w:val="22"/>
                <w:lang w:val="es-MX"/>
              </w:rPr>
              <w:t>División de Gesti</w:t>
            </w:r>
            <w:r>
              <w:rPr>
                <w:rFonts w:ascii="Arial" w:hAnsi="Arial" w:cs="Arial"/>
                <w:sz w:val="22"/>
                <w:szCs w:val="22"/>
                <w:lang w:val="es-MX"/>
              </w:rPr>
              <w:t>ó</w:t>
            </w:r>
            <w:r w:rsidRPr="006B55AD">
              <w:rPr>
                <w:rFonts w:ascii="Arial" w:hAnsi="Arial" w:cs="Arial"/>
                <w:sz w:val="22"/>
                <w:szCs w:val="22"/>
                <w:lang w:val="es-MX"/>
              </w:rPr>
              <w:t>n Fiscal del BID</w:t>
            </w:r>
          </w:p>
          <w:p w14:paraId="56A5F948" w14:textId="637ED413" w:rsidR="00F52C57" w:rsidRPr="006B55AD" w:rsidRDefault="00F52C57" w:rsidP="002B7EF4">
            <w:pPr>
              <w:spacing w:before="20" w:after="20"/>
              <w:rPr>
                <w:rFonts w:ascii="Arial" w:hAnsi="Arial" w:cs="Arial"/>
                <w:sz w:val="22"/>
                <w:szCs w:val="22"/>
                <w:highlight w:val="yellow"/>
                <w:lang w:val="es-MX"/>
              </w:rPr>
            </w:pPr>
            <w:r>
              <w:rPr>
                <w:rFonts w:ascii="Arial" w:hAnsi="Arial" w:cs="Arial"/>
                <w:color w:val="000000"/>
                <w:sz w:val="22"/>
                <w:szCs w:val="22"/>
              </w:rPr>
              <w:t>Ministerio de Hacienda</w:t>
            </w:r>
          </w:p>
        </w:tc>
      </w:tr>
      <w:tr w:rsidR="00F52C57" w:rsidRPr="00046E14" w14:paraId="5CE26EA4" w14:textId="77777777" w:rsidTr="002B7EF4">
        <w:trPr>
          <w:cantSplit/>
        </w:trPr>
        <w:tc>
          <w:tcPr>
            <w:tcW w:w="1512" w:type="dxa"/>
            <w:tcBorders>
              <w:left w:val="single" w:sz="4" w:space="0" w:color="auto"/>
              <w:bottom w:val="single" w:sz="4" w:space="0" w:color="auto"/>
            </w:tcBorders>
          </w:tcPr>
          <w:p w14:paraId="4EBEADAF" w14:textId="77777777" w:rsidR="00F52C57" w:rsidRPr="00C93A2F" w:rsidRDefault="00F52C57" w:rsidP="002B7EF4">
            <w:pPr>
              <w:spacing w:before="20" w:after="20"/>
              <w:rPr>
                <w:rFonts w:ascii="Arial" w:hAnsi="Arial" w:cs="Arial"/>
                <w:sz w:val="22"/>
                <w:szCs w:val="22"/>
                <w:lang w:val="en-US"/>
              </w:rPr>
            </w:pPr>
            <w:r w:rsidRPr="00C93A2F">
              <w:rPr>
                <w:rFonts w:ascii="Arial" w:hAnsi="Arial" w:cs="Arial"/>
                <w:sz w:val="22"/>
                <w:szCs w:val="22"/>
                <w:lang w:val="en-US"/>
              </w:rPr>
              <w:t>MP</w:t>
            </w:r>
          </w:p>
          <w:p w14:paraId="041A0059" w14:textId="77777777" w:rsidR="00F52C57" w:rsidRPr="00C93A2F" w:rsidRDefault="00F52C57" w:rsidP="002B7EF4">
            <w:pPr>
              <w:spacing w:before="20" w:after="20"/>
              <w:rPr>
                <w:rFonts w:ascii="Arial" w:hAnsi="Arial" w:cs="Arial"/>
                <w:sz w:val="22"/>
                <w:szCs w:val="22"/>
                <w:lang w:val="en-US"/>
              </w:rPr>
            </w:pPr>
            <w:r w:rsidRPr="00C93A2F">
              <w:rPr>
                <w:rFonts w:ascii="Arial" w:hAnsi="Arial" w:cs="Arial"/>
                <w:sz w:val="22"/>
                <w:szCs w:val="22"/>
                <w:lang w:val="en-US"/>
              </w:rPr>
              <w:t>MR</w:t>
            </w:r>
          </w:p>
          <w:p w14:paraId="748C0DC7" w14:textId="77777777" w:rsidR="00F52C57" w:rsidRPr="00C93A2F" w:rsidRDefault="00F52C57" w:rsidP="002B7EF4">
            <w:pPr>
              <w:spacing w:before="20" w:after="20"/>
              <w:rPr>
                <w:rFonts w:ascii="Arial" w:hAnsi="Arial" w:cs="Arial"/>
                <w:sz w:val="22"/>
                <w:szCs w:val="22"/>
                <w:lang w:val="en-US"/>
              </w:rPr>
            </w:pPr>
            <w:r w:rsidRPr="00C93A2F">
              <w:rPr>
                <w:rFonts w:ascii="Arial" w:hAnsi="Arial" w:cs="Arial"/>
                <w:sz w:val="22"/>
                <w:szCs w:val="22"/>
                <w:lang w:val="en-US"/>
              </w:rPr>
              <w:t>OE</w:t>
            </w:r>
          </w:p>
          <w:p w14:paraId="3BF97504" w14:textId="77777777" w:rsidR="00F52C57" w:rsidRPr="00C93A2F" w:rsidRDefault="00F52C57" w:rsidP="002B7EF4">
            <w:pPr>
              <w:spacing w:before="20" w:after="20"/>
              <w:rPr>
                <w:rFonts w:ascii="Arial" w:hAnsi="Arial" w:cs="Arial"/>
                <w:sz w:val="22"/>
                <w:szCs w:val="22"/>
                <w:lang w:val="en-US"/>
              </w:rPr>
            </w:pPr>
            <w:r w:rsidRPr="00C93A2F">
              <w:rPr>
                <w:rFonts w:ascii="Arial" w:hAnsi="Arial" w:cs="Arial"/>
                <w:sz w:val="22"/>
                <w:szCs w:val="22"/>
                <w:lang w:val="en-US"/>
              </w:rPr>
              <w:t>PBL</w:t>
            </w:r>
          </w:p>
          <w:p w14:paraId="6C0AFFAE" w14:textId="77777777" w:rsidR="00F52C57" w:rsidRPr="00C93A2F" w:rsidRDefault="00F52C57" w:rsidP="002B7EF4">
            <w:pPr>
              <w:spacing w:before="20" w:after="20"/>
              <w:rPr>
                <w:rFonts w:ascii="Arial" w:hAnsi="Arial" w:cs="Arial"/>
                <w:sz w:val="22"/>
                <w:szCs w:val="22"/>
                <w:lang w:val="en-US"/>
              </w:rPr>
            </w:pPr>
            <w:r w:rsidRPr="00C93A2F">
              <w:rPr>
                <w:rFonts w:ascii="Arial" w:hAnsi="Arial" w:cs="Arial"/>
                <w:sz w:val="22"/>
                <w:szCs w:val="22"/>
                <w:lang w:val="en-US"/>
              </w:rPr>
              <w:t>PCR</w:t>
            </w:r>
          </w:p>
          <w:p w14:paraId="7CFF9F42" w14:textId="77777777" w:rsidR="00F52C57" w:rsidRPr="00C93A2F" w:rsidRDefault="00F52C57" w:rsidP="002B7EF4">
            <w:pPr>
              <w:spacing w:before="20" w:after="20"/>
              <w:rPr>
                <w:rFonts w:ascii="Arial" w:hAnsi="Arial" w:cs="Arial"/>
                <w:sz w:val="22"/>
                <w:szCs w:val="22"/>
                <w:lang w:val="en-US"/>
              </w:rPr>
            </w:pPr>
            <w:r w:rsidRPr="00C93A2F">
              <w:rPr>
                <w:rFonts w:ascii="Arial" w:hAnsi="Arial" w:cs="Arial"/>
                <w:sz w:val="22"/>
                <w:szCs w:val="22"/>
                <w:lang w:val="en-US"/>
              </w:rPr>
              <w:t>PIB</w:t>
            </w:r>
          </w:p>
          <w:p w14:paraId="758D9A4A" w14:textId="77777777" w:rsidR="00F52C57" w:rsidRPr="009C4480" w:rsidRDefault="00F52C57" w:rsidP="002B7EF4">
            <w:pPr>
              <w:spacing w:before="20" w:after="20"/>
              <w:rPr>
                <w:rFonts w:ascii="Arial" w:hAnsi="Arial" w:cs="Arial"/>
                <w:sz w:val="22"/>
                <w:szCs w:val="22"/>
              </w:rPr>
            </w:pPr>
            <w:r w:rsidRPr="009C4480">
              <w:rPr>
                <w:rFonts w:ascii="Arial" w:hAnsi="Arial" w:cs="Arial"/>
                <w:sz w:val="22"/>
                <w:szCs w:val="22"/>
              </w:rPr>
              <w:t>PMR</w:t>
            </w:r>
          </w:p>
          <w:p w14:paraId="5464F7B3" w14:textId="77777777" w:rsidR="00F52C57" w:rsidRPr="009C4480" w:rsidRDefault="00F52C57" w:rsidP="002B7EF4">
            <w:pPr>
              <w:spacing w:before="20" w:after="20"/>
              <w:rPr>
                <w:rFonts w:ascii="Arial" w:hAnsi="Arial" w:cs="Arial"/>
                <w:sz w:val="22"/>
                <w:szCs w:val="22"/>
                <w:lang w:val="es-ES"/>
              </w:rPr>
            </w:pPr>
            <w:r w:rsidRPr="009C4480">
              <w:rPr>
                <w:rFonts w:ascii="Arial" w:hAnsi="Arial" w:cs="Arial"/>
                <w:sz w:val="22"/>
                <w:szCs w:val="22"/>
              </w:rPr>
              <w:t>POD</w:t>
            </w:r>
          </w:p>
        </w:tc>
        <w:tc>
          <w:tcPr>
            <w:tcW w:w="7128" w:type="dxa"/>
            <w:tcBorders>
              <w:bottom w:val="single" w:sz="4" w:space="0" w:color="auto"/>
              <w:right w:val="single" w:sz="4" w:space="0" w:color="auto"/>
            </w:tcBorders>
          </w:tcPr>
          <w:p w14:paraId="407F80BE" w14:textId="77777777" w:rsidR="00F52C57" w:rsidRPr="002B7EF4" w:rsidRDefault="00F52C57" w:rsidP="002B7EF4">
            <w:pPr>
              <w:spacing w:before="20" w:after="20"/>
              <w:rPr>
                <w:rFonts w:ascii="Arial" w:hAnsi="Arial" w:cs="Arial"/>
                <w:sz w:val="22"/>
                <w:szCs w:val="22"/>
                <w:lang w:val="pt-BR"/>
              </w:rPr>
            </w:pPr>
            <w:r w:rsidRPr="002B7EF4">
              <w:rPr>
                <w:rFonts w:ascii="Arial" w:hAnsi="Arial" w:cs="Arial"/>
                <w:sz w:val="22"/>
                <w:szCs w:val="22"/>
                <w:lang w:val="pt-BR"/>
              </w:rPr>
              <w:t>Matriz de Políticas</w:t>
            </w:r>
          </w:p>
          <w:p w14:paraId="767AD662" w14:textId="77777777" w:rsidR="00F52C57" w:rsidRPr="002B7EF4" w:rsidRDefault="00F52C57" w:rsidP="002B7EF4">
            <w:pPr>
              <w:spacing w:before="20" w:after="20"/>
              <w:rPr>
                <w:rFonts w:ascii="Arial" w:hAnsi="Arial" w:cs="Arial"/>
                <w:sz w:val="22"/>
                <w:szCs w:val="22"/>
                <w:lang w:val="pt-BR"/>
              </w:rPr>
            </w:pPr>
            <w:r w:rsidRPr="002B7EF4">
              <w:rPr>
                <w:rFonts w:ascii="Arial" w:hAnsi="Arial" w:cs="Arial"/>
                <w:sz w:val="22"/>
                <w:szCs w:val="22"/>
                <w:lang w:val="pt-BR"/>
              </w:rPr>
              <w:t>Matriz de Resultados</w:t>
            </w:r>
          </w:p>
          <w:p w14:paraId="617F53E1" w14:textId="77777777" w:rsidR="00F52C57" w:rsidRPr="00175593" w:rsidRDefault="00F52C57" w:rsidP="002B7EF4">
            <w:pPr>
              <w:spacing w:before="20" w:after="20"/>
              <w:rPr>
                <w:rFonts w:ascii="Arial" w:eastAsiaTheme="minorHAnsi" w:hAnsi="Arial" w:cs="Arial"/>
                <w:iCs/>
                <w:sz w:val="22"/>
                <w:szCs w:val="22"/>
                <w:lang w:val="es-MX"/>
              </w:rPr>
            </w:pPr>
            <w:r w:rsidRPr="00175593">
              <w:rPr>
                <w:rFonts w:ascii="Arial" w:eastAsiaTheme="minorHAnsi" w:hAnsi="Arial" w:cs="Arial"/>
                <w:iCs/>
                <w:sz w:val="22"/>
                <w:szCs w:val="22"/>
                <w:lang w:val="es-MX"/>
              </w:rPr>
              <w:t>Organismo Ejecutor</w:t>
            </w:r>
          </w:p>
          <w:p w14:paraId="6CC1B654" w14:textId="77777777" w:rsidR="00F52C57" w:rsidRPr="00175593" w:rsidRDefault="00F52C57" w:rsidP="002B7EF4">
            <w:pPr>
              <w:spacing w:before="20" w:after="20"/>
              <w:rPr>
                <w:rFonts w:ascii="Arial" w:eastAsiaTheme="minorHAnsi" w:hAnsi="Arial" w:cs="Arial"/>
                <w:iCs/>
                <w:sz w:val="22"/>
                <w:szCs w:val="22"/>
                <w:lang w:val="es-MX"/>
              </w:rPr>
            </w:pPr>
            <w:r w:rsidRPr="00175593">
              <w:rPr>
                <w:rFonts w:ascii="Arial" w:hAnsi="Arial" w:cs="Arial"/>
                <w:sz w:val="22"/>
                <w:szCs w:val="22"/>
                <w:lang w:val="es-MX"/>
              </w:rPr>
              <w:t>Préstamo en Apoyo de Reformas de Política</w:t>
            </w:r>
          </w:p>
          <w:p w14:paraId="5E7C9B51" w14:textId="77777777" w:rsidR="00F52C57" w:rsidRPr="00600530" w:rsidRDefault="00F52C57" w:rsidP="002B7EF4">
            <w:pPr>
              <w:spacing w:before="20" w:after="20"/>
              <w:rPr>
                <w:rFonts w:ascii="Arial" w:hAnsi="Arial" w:cs="Arial"/>
                <w:sz w:val="22"/>
                <w:szCs w:val="22"/>
                <w:lang w:val="es-MX"/>
              </w:rPr>
            </w:pPr>
            <w:r w:rsidRPr="00175593">
              <w:rPr>
                <w:rFonts w:ascii="Arial" w:hAnsi="Arial" w:cs="Arial"/>
                <w:sz w:val="22"/>
                <w:szCs w:val="22"/>
                <w:lang w:val="es-MX"/>
              </w:rPr>
              <w:t>Informe</w:t>
            </w:r>
            <w:r w:rsidRPr="00600530">
              <w:rPr>
                <w:rFonts w:ascii="Arial" w:hAnsi="Arial" w:cs="Arial"/>
                <w:sz w:val="22"/>
                <w:szCs w:val="22"/>
                <w:lang w:val="es-ES"/>
              </w:rPr>
              <w:t xml:space="preserve"> de Terminación de Proyecto (Project </w:t>
            </w:r>
            <w:proofErr w:type="spellStart"/>
            <w:r w:rsidRPr="00600530">
              <w:rPr>
                <w:rFonts w:ascii="Arial" w:hAnsi="Arial" w:cs="Arial"/>
                <w:sz w:val="22"/>
                <w:szCs w:val="22"/>
              </w:rPr>
              <w:t>Completion</w:t>
            </w:r>
            <w:proofErr w:type="spellEnd"/>
            <w:r w:rsidRPr="00600530">
              <w:rPr>
                <w:rFonts w:ascii="Arial" w:hAnsi="Arial" w:cs="Arial"/>
                <w:sz w:val="22"/>
                <w:szCs w:val="22"/>
                <w:lang w:val="es-ES"/>
              </w:rPr>
              <w:t xml:space="preserve"> </w:t>
            </w:r>
            <w:proofErr w:type="spellStart"/>
            <w:r w:rsidRPr="00600530">
              <w:rPr>
                <w:rFonts w:ascii="Arial" w:hAnsi="Arial" w:cs="Arial"/>
                <w:sz w:val="22"/>
                <w:szCs w:val="22"/>
                <w:lang w:val="es-ES"/>
              </w:rPr>
              <w:t>Report</w:t>
            </w:r>
            <w:proofErr w:type="spellEnd"/>
            <w:r w:rsidRPr="00600530">
              <w:rPr>
                <w:rFonts w:ascii="Arial" w:hAnsi="Arial" w:cs="Arial"/>
                <w:sz w:val="22"/>
                <w:szCs w:val="22"/>
                <w:lang w:val="es-ES"/>
              </w:rPr>
              <w:t>)</w:t>
            </w:r>
          </w:p>
          <w:p w14:paraId="6D5F545B" w14:textId="77777777" w:rsidR="00F52C57" w:rsidRPr="00DB4716" w:rsidRDefault="00F52C57" w:rsidP="002B7EF4">
            <w:pPr>
              <w:spacing w:before="20" w:after="20"/>
              <w:rPr>
                <w:rFonts w:ascii="Arial" w:eastAsiaTheme="minorHAnsi" w:hAnsi="Arial" w:cs="Arial"/>
                <w:sz w:val="22"/>
                <w:szCs w:val="22"/>
                <w:lang w:val="es-419"/>
              </w:rPr>
            </w:pPr>
            <w:r w:rsidRPr="00DB4716">
              <w:rPr>
                <w:rFonts w:ascii="Arial" w:eastAsiaTheme="minorHAnsi" w:hAnsi="Arial" w:cs="Arial"/>
                <w:sz w:val="22"/>
                <w:szCs w:val="22"/>
                <w:lang w:val="es-419"/>
              </w:rPr>
              <w:t>Producto Interno Bruto</w:t>
            </w:r>
          </w:p>
          <w:p w14:paraId="7D341068" w14:textId="77777777" w:rsidR="00F52C57" w:rsidRPr="002B7EF4" w:rsidRDefault="00F52C57" w:rsidP="002B7EF4">
            <w:pPr>
              <w:spacing w:before="20" w:after="20"/>
              <w:rPr>
                <w:rFonts w:ascii="Arial" w:hAnsi="Arial" w:cs="Arial"/>
                <w:sz w:val="22"/>
                <w:szCs w:val="22"/>
                <w:lang w:val="pt-BR"/>
              </w:rPr>
            </w:pPr>
            <w:r w:rsidRPr="002B7EF4">
              <w:rPr>
                <w:rFonts w:ascii="Arial" w:hAnsi="Arial" w:cs="Arial"/>
                <w:sz w:val="22"/>
                <w:szCs w:val="22"/>
                <w:lang w:val="pt-BR"/>
              </w:rPr>
              <w:t xml:space="preserve">Informe de </w:t>
            </w:r>
            <w:proofErr w:type="spellStart"/>
            <w:r w:rsidRPr="002B7EF4">
              <w:rPr>
                <w:rFonts w:ascii="Arial" w:hAnsi="Arial" w:cs="Arial"/>
                <w:sz w:val="22"/>
                <w:szCs w:val="22"/>
                <w:lang w:val="pt-BR"/>
              </w:rPr>
              <w:t>Monitoreo</w:t>
            </w:r>
            <w:proofErr w:type="spellEnd"/>
            <w:r w:rsidRPr="002B7EF4">
              <w:rPr>
                <w:rFonts w:ascii="Arial" w:hAnsi="Arial" w:cs="Arial"/>
                <w:sz w:val="22"/>
                <w:szCs w:val="22"/>
                <w:lang w:val="pt-BR"/>
              </w:rPr>
              <w:t xml:space="preserve"> de Progreso (Project </w:t>
            </w:r>
            <w:proofErr w:type="spellStart"/>
            <w:r w:rsidRPr="002B7EF4">
              <w:rPr>
                <w:rFonts w:ascii="Arial" w:hAnsi="Arial" w:cs="Arial"/>
                <w:sz w:val="22"/>
                <w:szCs w:val="22"/>
                <w:lang w:val="pt-BR"/>
              </w:rPr>
              <w:t>Monitoring</w:t>
            </w:r>
            <w:proofErr w:type="spellEnd"/>
            <w:r w:rsidRPr="002B7EF4">
              <w:rPr>
                <w:rFonts w:ascii="Arial" w:hAnsi="Arial" w:cs="Arial"/>
                <w:sz w:val="22"/>
                <w:szCs w:val="22"/>
                <w:lang w:val="pt-BR"/>
              </w:rPr>
              <w:t xml:space="preserve"> </w:t>
            </w:r>
            <w:proofErr w:type="spellStart"/>
            <w:r w:rsidRPr="002B7EF4">
              <w:rPr>
                <w:rFonts w:ascii="Arial" w:hAnsi="Arial" w:cs="Arial"/>
                <w:sz w:val="22"/>
                <w:szCs w:val="22"/>
                <w:lang w:val="pt-BR"/>
              </w:rPr>
              <w:t>Report</w:t>
            </w:r>
            <w:proofErr w:type="spellEnd"/>
            <w:r w:rsidRPr="002B7EF4">
              <w:rPr>
                <w:rFonts w:ascii="Arial" w:hAnsi="Arial" w:cs="Arial"/>
                <w:sz w:val="22"/>
                <w:szCs w:val="22"/>
                <w:lang w:val="pt-BR"/>
              </w:rPr>
              <w:t>)</w:t>
            </w:r>
          </w:p>
          <w:p w14:paraId="51664E9B" w14:textId="77777777" w:rsidR="00F52C57" w:rsidRPr="00276323" w:rsidRDefault="00F52C57" w:rsidP="002B7EF4">
            <w:pPr>
              <w:spacing w:before="20" w:after="20"/>
              <w:rPr>
                <w:rFonts w:ascii="Arial" w:hAnsi="Arial" w:cs="Arial"/>
                <w:i/>
                <w:sz w:val="22"/>
                <w:szCs w:val="22"/>
                <w:highlight w:val="yellow"/>
                <w:lang w:val="es-ES"/>
              </w:rPr>
            </w:pPr>
            <w:r w:rsidRPr="00600530">
              <w:rPr>
                <w:rFonts w:ascii="Arial" w:hAnsi="Arial" w:cs="Arial"/>
                <w:sz w:val="22"/>
                <w:szCs w:val="22"/>
                <w:lang w:val="es-ES"/>
              </w:rPr>
              <w:t>Propuesta para el Desarrollo de la Operac</w:t>
            </w:r>
            <w:r>
              <w:rPr>
                <w:rFonts w:ascii="Arial" w:hAnsi="Arial" w:cs="Arial"/>
                <w:sz w:val="22"/>
                <w:szCs w:val="22"/>
                <w:lang w:val="es-ES"/>
              </w:rPr>
              <w:t>i</w:t>
            </w:r>
            <w:r w:rsidRPr="00600530">
              <w:rPr>
                <w:rFonts w:ascii="Arial" w:hAnsi="Arial" w:cs="Arial"/>
                <w:sz w:val="22"/>
                <w:szCs w:val="22"/>
                <w:lang w:val="es-ES"/>
              </w:rPr>
              <w:t>ón</w:t>
            </w:r>
          </w:p>
        </w:tc>
      </w:tr>
    </w:tbl>
    <w:p w14:paraId="72054569" w14:textId="77777777" w:rsidR="003F69C9" w:rsidRDefault="003F69C9" w:rsidP="003F69C9">
      <w:pPr>
        <w:rPr>
          <w:rFonts w:ascii="Arial" w:hAnsi="Arial" w:cs="Arial"/>
          <w:sz w:val="22"/>
          <w:szCs w:val="22"/>
          <w:lang w:val="es-ES"/>
        </w:rPr>
      </w:pPr>
    </w:p>
    <w:p w14:paraId="6CC90C69" w14:textId="77777777" w:rsidR="003F69C9" w:rsidRDefault="003F69C9" w:rsidP="003F69C9">
      <w:pPr>
        <w:rPr>
          <w:rFonts w:ascii="Arial" w:hAnsi="Arial" w:cs="Arial"/>
          <w:sz w:val="22"/>
          <w:szCs w:val="22"/>
          <w:lang w:val="es-ES"/>
        </w:rPr>
      </w:pPr>
    </w:p>
    <w:p w14:paraId="6CC90C91" w14:textId="77777777" w:rsidR="00ED751C" w:rsidRPr="00046E14" w:rsidRDefault="00ED751C" w:rsidP="00ED751C">
      <w:pPr>
        <w:pStyle w:val="AbbrDesc"/>
        <w:tabs>
          <w:tab w:val="left" w:pos="1440"/>
        </w:tabs>
        <w:rPr>
          <w:rFonts w:ascii="Arial" w:hAnsi="Arial" w:cs="Arial"/>
          <w:sz w:val="22"/>
          <w:szCs w:val="22"/>
          <w:lang w:val="es-ES"/>
        </w:rPr>
        <w:sectPr w:rsidR="00ED751C" w:rsidRPr="00046E14">
          <w:headerReference w:type="first" r:id="rId16"/>
          <w:pgSz w:w="12240" w:h="15840" w:code="1"/>
          <w:pgMar w:top="1440" w:right="1800" w:bottom="1440" w:left="1800" w:header="706" w:footer="706" w:gutter="0"/>
          <w:pgNumType w:fmt="lowerRoman" w:start="1"/>
          <w:cols w:space="720"/>
          <w:formProt w:val="0"/>
          <w:titlePg/>
        </w:sectPr>
      </w:pPr>
    </w:p>
    <w:p w14:paraId="6CC90C92" w14:textId="77777777" w:rsidR="003F69C9" w:rsidRDefault="003F69C9">
      <w:pPr>
        <w:spacing w:after="200" w:line="276" w:lineRule="auto"/>
        <w:rPr>
          <w:rFonts w:ascii="Arial" w:hAnsi="Arial" w:cs="Arial"/>
          <w:b/>
          <w:smallCaps/>
          <w:szCs w:val="22"/>
          <w:lang w:val="es-ES"/>
        </w:rPr>
      </w:pPr>
      <w:r>
        <w:rPr>
          <w:rFonts w:ascii="Arial" w:hAnsi="Arial" w:cs="Arial"/>
          <w:szCs w:val="22"/>
        </w:rPr>
        <w:br w:type="page"/>
      </w:r>
    </w:p>
    <w:p w14:paraId="6CC90C93" w14:textId="77777777" w:rsidR="00ED751C" w:rsidRPr="00EB0154" w:rsidRDefault="007C1307" w:rsidP="00EB2886">
      <w:pPr>
        <w:pStyle w:val="Chapter"/>
        <w:spacing w:before="360"/>
        <w:rPr>
          <w:rFonts w:ascii="Arial" w:hAnsi="Arial" w:cs="Arial"/>
          <w:szCs w:val="22"/>
        </w:rPr>
      </w:pPr>
      <w:bookmarkStart w:id="0" w:name="_Toc36166557"/>
      <w:r>
        <w:rPr>
          <w:rFonts w:ascii="Arial" w:hAnsi="Arial" w:cs="Arial"/>
          <w:szCs w:val="22"/>
        </w:rPr>
        <w:lastRenderedPageBreak/>
        <w:t>Introducción</w:t>
      </w:r>
      <w:bookmarkEnd w:id="0"/>
      <w:r>
        <w:rPr>
          <w:rFonts w:ascii="Arial" w:hAnsi="Arial" w:cs="Arial"/>
          <w:szCs w:val="22"/>
        </w:rPr>
        <w:t xml:space="preserve"> </w:t>
      </w:r>
    </w:p>
    <w:p w14:paraId="07B13B33" w14:textId="403F103B" w:rsidR="00023E76" w:rsidRPr="006655D5" w:rsidRDefault="00475BCE" w:rsidP="00562C84">
      <w:pPr>
        <w:pStyle w:val="Paragraph"/>
        <w:tabs>
          <w:tab w:val="clear" w:pos="2448"/>
          <w:tab w:val="num" w:pos="720"/>
          <w:tab w:val="num" w:pos="1440"/>
        </w:tabs>
        <w:ind w:left="720" w:hanging="720"/>
        <w:rPr>
          <w:rFonts w:ascii="Arial" w:hAnsi="Arial" w:cs="Arial"/>
          <w:color w:val="000000"/>
          <w:sz w:val="22"/>
          <w:szCs w:val="22"/>
        </w:rPr>
      </w:pPr>
      <w:r w:rsidRPr="00475BCE">
        <w:rPr>
          <w:rFonts w:ascii="Arial" w:hAnsi="Arial" w:cs="Arial"/>
          <w:sz w:val="22"/>
          <w:szCs w:val="22"/>
          <w:lang w:val="es-MX"/>
        </w:rPr>
        <w:t>El objetivo general del programa es fortalecer la eficiencia y eficacia de la política pública y la gestión fiscal para atender la crisis sanitaria y económica causada por el COVID-19, mediante el diseño e implementación de medidas de política efectivas y fiscalmente responsables. Los objetivos específicos son: (i) promover la disponibilidad y ejecución oportuna de recursos públicos para atender los efectos de la crisis sanitaria causada por el COVID-19; (ii) fortalecer el efecto anticíclico de la política pública y gestión fiscal a través de la introducción temporal de medidas para la protección del ingreso de los hogares vulnerables y para el incremento de la liquidez de las firmas durante la crisis sanitaria y económica; y (</w:t>
      </w:r>
      <w:proofErr w:type="spellStart"/>
      <w:r w:rsidRPr="00475BCE">
        <w:rPr>
          <w:rFonts w:ascii="Arial" w:hAnsi="Arial" w:cs="Arial"/>
          <w:sz w:val="22"/>
          <w:szCs w:val="22"/>
          <w:lang w:val="es-MX"/>
        </w:rPr>
        <w:t>iii</w:t>
      </w:r>
      <w:proofErr w:type="spellEnd"/>
      <w:r w:rsidRPr="00475BCE">
        <w:rPr>
          <w:rFonts w:ascii="Arial" w:hAnsi="Arial" w:cs="Arial"/>
          <w:sz w:val="22"/>
          <w:szCs w:val="22"/>
          <w:lang w:val="es-MX"/>
        </w:rPr>
        <w:t>) promover la recuperación económica y fiscal en el periodo post pandemia</w:t>
      </w:r>
      <w:r w:rsidR="006655D5" w:rsidRPr="00375419">
        <w:rPr>
          <w:rFonts w:ascii="Arial" w:hAnsi="Arial" w:cs="Arial"/>
          <w:sz w:val="22"/>
          <w:szCs w:val="22"/>
          <w:lang w:val="es-MX"/>
        </w:rPr>
        <w:t>.</w:t>
      </w:r>
      <w:r w:rsidR="006655D5" w:rsidRPr="0023048A">
        <w:rPr>
          <w:rFonts w:ascii="Arial" w:hAnsi="Arial" w:cs="Arial"/>
          <w:sz w:val="22"/>
          <w:szCs w:val="22"/>
          <w:lang w:val="es-MX"/>
        </w:rPr>
        <w:t xml:space="preserve"> </w:t>
      </w:r>
      <w:r w:rsidR="00D34B84" w:rsidRPr="0023048A">
        <w:rPr>
          <w:rFonts w:ascii="Arial" w:hAnsi="Arial" w:cs="Arial"/>
          <w:color w:val="000000"/>
          <w:sz w:val="22"/>
          <w:szCs w:val="22"/>
        </w:rPr>
        <w:t>El organismo</w:t>
      </w:r>
      <w:r w:rsidR="00D34B84" w:rsidRPr="006655D5">
        <w:rPr>
          <w:rFonts w:ascii="Arial" w:hAnsi="Arial" w:cs="Arial"/>
          <w:color w:val="000000"/>
          <w:sz w:val="22"/>
          <w:szCs w:val="22"/>
        </w:rPr>
        <w:t xml:space="preserve"> ejecutor</w:t>
      </w:r>
      <w:r w:rsidR="006B55AD" w:rsidRPr="006655D5">
        <w:rPr>
          <w:rFonts w:ascii="Arial" w:hAnsi="Arial" w:cs="Arial"/>
          <w:color w:val="000000"/>
          <w:sz w:val="22"/>
          <w:szCs w:val="22"/>
        </w:rPr>
        <w:t xml:space="preserve"> (OE)</w:t>
      </w:r>
      <w:r w:rsidR="00D34B84" w:rsidRPr="006655D5">
        <w:rPr>
          <w:rFonts w:ascii="Arial" w:hAnsi="Arial" w:cs="Arial"/>
          <w:color w:val="000000"/>
          <w:sz w:val="22"/>
          <w:szCs w:val="22"/>
        </w:rPr>
        <w:t xml:space="preserve"> de este programa es</w:t>
      </w:r>
      <w:r w:rsidR="00974816">
        <w:rPr>
          <w:rFonts w:ascii="Arial" w:hAnsi="Arial" w:cs="Arial"/>
          <w:color w:val="000000"/>
          <w:sz w:val="22"/>
          <w:szCs w:val="22"/>
        </w:rPr>
        <w:t xml:space="preserve"> el Ministerio de </w:t>
      </w:r>
      <w:r w:rsidR="00EB0438">
        <w:rPr>
          <w:rFonts w:ascii="Arial" w:hAnsi="Arial" w:cs="Arial"/>
          <w:color w:val="000000"/>
          <w:sz w:val="22"/>
          <w:szCs w:val="22"/>
        </w:rPr>
        <w:t>Hacienda</w:t>
      </w:r>
      <w:r w:rsidR="00974816">
        <w:rPr>
          <w:rFonts w:ascii="Arial" w:hAnsi="Arial" w:cs="Arial"/>
          <w:color w:val="000000"/>
          <w:sz w:val="22"/>
          <w:szCs w:val="22"/>
        </w:rPr>
        <w:t xml:space="preserve"> (M</w:t>
      </w:r>
      <w:r w:rsidR="00EB0438">
        <w:rPr>
          <w:rFonts w:ascii="Arial" w:hAnsi="Arial" w:cs="Arial"/>
          <w:color w:val="000000"/>
          <w:sz w:val="22"/>
          <w:szCs w:val="22"/>
        </w:rPr>
        <w:t>H</w:t>
      </w:r>
      <w:r w:rsidR="00974816">
        <w:rPr>
          <w:rFonts w:ascii="Arial" w:hAnsi="Arial" w:cs="Arial"/>
          <w:color w:val="000000"/>
          <w:sz w:val="22"/>
          <w:szCs w:val="22"/>
        </w:rPr>
        <w:t>)</w:t>
      </w:r>
      <w:r w:rsidR="00D34B84" w:rsidRPr="006655D5">
        <w:rPr>
          <w:rFonts w:ascii="Arial" w:hAnsi="Arial" w:cs="Arial"/>
          <w:color w:val="000000"/>
          <w:sz w:val="22"/>
          <w:szCs w:val="22"/>
        </w:rPr>
        <w:t>.</w:t>
      </w:r>
    </w:p>
    <w:p w14:paraId="21E4ACE4" w14:textId="504D258A" w:rsidR="008A0183" w:rsidRPr="008A0183" w:rsidRDefault="00E42B20" w:rsidP="00E6181F">
      <w:pPr>
        <w:pStyle w:val="Paragraph"/>
        <w:tabs>
          <w:tab w:val="clear" w:pos="2448"/>
          <w:tab w:val="num" w:pos="720"/>
          <w:tab w:val="num" w:pos="1440"/>
        </w:tabs>
        <w:ind w:left="720" w:hanging="720"/>
        <w:rPr>
          <w:rFonts w:ascii="Arial" w:hAnsi="Arial" w:cs="Arial"/>
          <w:color w:val="000000"/>
          <w:sz w:val="22"/>
          <w:szCs w:val="22"/>
        </w:rPr>
      </w:pPr>
      <w:r w:rsidRPr="00105B52">
        <w:rPr>
          <w:rFonts w:ascii="Arial" w:eastAsiaTheme="minorHAnsi" w:hAnsi="Arial" w:cs="Arial"/>
          <w:sz w:val="22"/>
          <w:szCs w:val="22"/>
          <w:lang w:val="es-MX"/>
        </w:rPr>
        <w:t xml:space="preserve">El </w:t>
      </w:r>
      <w:r w:rsidR="002B7EF4">
        <w:rPr>
          <w:rFonts w:ascii="Arial" w:eastAsiaTheme="minorHAnsi" w:hAnsi="Arial" w:cs="Arial"/>
          <w:sz w:val="22"/>
          <w:szCs w:val="22"/>
          <w:lang w:val="es-MX"/>
        </w:rPr>
        <w:t>p</w:t>
      </w:r>
      <w:r w:rsidRPr="00105B52">
        <w:rPr>
          <w:rFonts w:ascii="Arial" w:eastAsiaTheme="minorHAnsi" w:hAnsi="Arial" w:cs="Arial"/>
          <w:sz w:val="22"/>
          <w:szCs w:val="22"/>
          <w:lang w:val="es-MX"/>
        </w:rPr>
        <w:t xml:space="preserve">rograma se </w:t>
      </w:r>
      <w:r w:rsidRPr="00176591">
        <w:rPr>
          <w:rFonts w:ascii="Arial" w:eastAsiaTheme="minorHAnsi" w:hAnsi="Arial" w:cs="Arial"/>
          <w:sz w:val="22"/>
          <w:szCs w:val="22"/>
          <w:lang w:val="es-MX"/>
        </w:rPr>
        <w:t>estructura bajo un Préstamo de Apoyo a Reformas de Política bajo la modalidad programática, con una serie de dos operaciones independientes</w:t>
      </w:r>
      <w:r w:rsidR="00176591">
        <w:rPr>
          <w:rFonts w:ascii="Arial" w:eastAsiaTheme="minorHAnsi" w:hAnsi="Arial" w:cs="Arial"/>
          <w:sz w:val="22"/>
          <w:szCs w:val="22"/>
          <w:lang w:val="es-MX"/>
        </w:rPr>
        <w:t>,</w:t>
      </w:r>
      <w:r w:rsidRPr="00176591">
        <w:rPr>
          <w:rFonts w:ascii="Arial" w:eastAsiaTheme="minorHAnsi" w:hAnsi="Arial" w:cs="Arial"/>
          <w:sz w:val="22"/>
          <w:szCs w:val="22"/>
          <w:lang w:val="es-MX"/>
        </w:rPr>
        <w:t xml:space="preserve"> pero técnicamente vinculadas</w:t>
      </w:r>
      <w:r w:rsidR="00176591">
        <w:rPr>
          <w:rFonts w:ascii="Arial" w:eastAsiaTheme="minorHAnsi" w:hAnsi="Arial" w:cs="Arial"/>
          <w:sz w:val="22"/>
          <w:szCs w:val="22"/>
          <w:lang w:val="es-MX"/>
        </w:rPr>
        <w:t>,</w:t>
      </w:r>
      <w:r w:rsidRPr="00176591">
        <w:rPr>
          <w:rFonts w:ascii="Arial" w:eastAsiaTheme="minorHAnsi" w:hAnsi="Arial" w:cs="Arial"/>
          <w:sz w:val="22"/>
          <w:szCs w:val="22"/>
          <w:lang w:val="es-MX"/>
        </w:rPr>
        <w:t xml:space="preserve"> cuyas acciones de política buscan apoyar al país en la adopción de medidas que permitan</w:t>
      </w:r>
      <w:r w:rsidRPr="00105B52">
        <w:rPr>
          <w:rFonts w:ascii="Arial" w:eastAsiaTheme="minorHAnsi" w:hAnsi="Arial" w:cs="Arial"/>
          <w:sz w:val="22"/>
          <w:szCs w:val="22"/>
          <w:lang w:val="es-MX"/>
        </w:rPr>
        <w:t xml:space="preserve"> dar respuesta a los principales retos que enfrenta para atender la crisis sanitaria y económica causada por el COVID-19. Esta primera operación se orienta principalmente a respaldar las medidas </w:t>
      </w:r>
      <w:r>
        <w:rPr>
          <w:rFonts w:ascii="Arial" w:eastAsiaTheme="minorHAnsi" w:hAnsi="Arial" w:cs="Arial"/>
          <w:sz w:val="22"/>
          <w:szCs w:val="22"/>
          <w:lang w:val="es-MX"/>
        </w:rPr>
        <w:t xml:space="preserve">de política </w:t>
      </w:r>
      <w:r w:rsidR="007F271E">
        <w:rPr>
          <w:rFonts w:ascii="Arial" w:eastAsiaTheme="minorHAnsi" w:hAnsi="Arial" w:cs="Arial"/>
          <w:sz w:val="22"/>
          <w:szCs w:val="22"/>
          <w:lang w:val="es-MX"/>
        </w:rPr>
        <w:t xml:space="preserve">pública </w:t>
      </w:r>
      <w:r w:rsidRPr="00105B52">
        <w:rPr>
          <w:rFonts w:ascii="Arial" w:eastAsiaTheme="minorHAnsi" w:hAnsi="Arial" w:cs="Arial"/>
          <w:sz w:val="22"/>
          <w:szCs w:val="22"/>
          <w:lang w:val="es-MX"/>
        </w:rPr>
        <w:t>necesarias para atender desde una perspectiva de políticas públicas</w:t>
      </w:r>
      <w:r>
        <w:rPr>
          <w:rFonts w:ascii="Arial" w:eastAsiaTheme="minorHAnsi" w:hAnsi="Arial" w:cs="Arial"/>
          <w:sz w:val="22"/>
          <w:szCs w:val="22"/>
          <w:lang w:val="es-MX"/>
        </w:rPr>
        <w:t>,</w:t>
      </w:r>
      <w:r w:rsidRPr="00105B52">
        <w:rPr>
          <w:rFonts w:ascii="Arial" w:eastAsiaTheme="minorHAnsi" w:hAnsi="Arial" w:cs="Arial"/>
          <w:sz w:val="22"/>
          <w:szCs w:val="22"/>
          <w:lang w:val="es-MX"/>
        </w:rPr>
        <w:t xml:space="preserve"> la crisis sanitaria y económica. </w:t>
      </w:r>
      <w:r w:rsidRPr="00FC1EDA">
        <w:rPr>
          <w:rFonts w:ascii="Arial" w:eastAsiaTheme="minorHAnsi" w:hAnsi="Arial" w:cs="Arial"/>
          <w:sz w:val="22"/>
          <w:szCs w:val="22"/>
          <w:lang w:val="es-MX"/>
        </w:rPr>
        <w:t>La segunda operación de la serie buscará promover la recuperación económi</w:t>
      </w:r>
      <w:r w:rsidRPr="00105B52">
        <w:rPr>
          <w:rFonts w:ascii="Arial" w:eastAsiaTheme="minorHAnsi" w:hAnsi="Arial" w:cs="Arial"/>
          <w:sz w:val="22"/>
          <w:szCs w:val="22"/>
          <w:lang w:val="es-MX"/>
        </w:rPr>
        <w:t xml:space="preserve">ca y fiscal a través de la </w:t>
      </w:r>
      <w:r w:rsidRPr="00105B52">
        <w:rPr>
          <w:rFonts w:ascii="Arial" w:hAnsi="Arial" w:cs="Arial"/>
          <w:sz w:val="22"/>
          <w:szCs w:val="22"/>
          <w:lang w:val="es-MX"/>
        </w:rPr>
        <w:t xml:space="preserve">implementación de </w:t>
      </w:r>
      <w:r>
        <w:rPr>
          <w:rFonts w:ascii="Arial" w:hAnsi="Arial" w:cs="Arial"/>
          <w:sz w:val="22"/>
          <w:szCs w:val="22"/>
          <w:lang w:val="es-MX"/>
        </w:rPr>
        <w:t>políticas</w:t>
      </w:r>
      <w:r w:rsidRPr="00105B52">
        <w:rPr>
          <w:rFonts w:ascii="Arial" w:hAnsi="Arial" w:cs="Arial"/>
          <w:sz w:val="22"/>
          <w:szCs w:val="22"/>
          <w:lang w:val="es-MX"/>
        </w:rPr>
        <w:t xml:space="preserve"> para retomar el crecimiento con equidad y sostenibilidad fiscal en el periodo post</w:t>
      </w:r>
      <w:r>
        <w:rPr>
          <w:rFonts w:ascii="Arial" w:hAnsi="Arial" w:cs="Arial"/>
          <w:sz w:val="22"/>
          <w:szCs w:val="22"/>
          <w:lang w:val="es-MX"/>
        </w:rPr>
        <w:t xml:space="preserve"> </w:t>
      </w:r>
      <w:r w:rsidRPr="00105B52">
        <w:rPr>
          <w:rFonts w:ascii="Arial" w:hAnsi="Arial" w:cs="Arial"/>
          <w:sz w:val="22"/>
          <w:szCs w:val="22"/>
          <w:lang w:val="es-MX"/>
        </w:rPr>
        <w:t>pandemia.</w:t>
      </w:r>
    </w:p>
    <w:p w14:paraId="33FECA7E" w14:textId="7E56795D" w:rsidR="001F64ED" w:rsidRPr="00967329" w:rsidRDefault="00E03871" w:rsidP="00967329">
      <w:pPr>
        <w:pStyle w:val="Paragraph"/>
        <w:tabs>
          <w:tab w:val="clear" w:pos="2448"/>
          <w:tab w:val="num" w:pos="720"/>
          <w:tab w:val="num" w:pos="1440"/>
        </w:tabs>
        <w:ind w:left="720" w:hanging="720"/>
        <w:rPr>
          <w:rFonts w:ascii="Arial" w:hAnsi="Arial" w:cs="Arial"/>
          <w:sz w:val="22"/>
          <w:szCs w:val="22"/>
          <w:lang w:val="es-MX"/>
        </w:rPr>
      </w:pPr>
      <w:r>
        <w:rPr>
          <w:rFonts w:ascii="Arial" w:hAnsi="Arial" w:cs="Arial"/>
          <w:color w:val="000000"/>
          <w:sz w:val="22"/>
          <w:szCs w:val="22"/>
        </w:rPr>
        <w:t xml:space="preserve">El programa cuenta con </w:t>
      </w:r>
      <w:r w:rsidR="00E21DED">
        <w:rPr>
          <w:rFonts w:ascii="Arial" w:hAnsi="Arial" w:cs="Arial"/>
          <w:color w:val="000000"/>
          <w:sz w:val="22"/>
          <w:szCs w:val="22"/>
        </w:rPr>
        <w:t>cuatro</w:t>
      </w:r>
      <w:r w:rsidR="005D6650">
        <w:rPr>
          <w:rFonts w:ascii="Arial" w:hAnsi="Arial" w:cs="Arial"/>
          <w:color w:val="000000"/>
          <w:sz w:val="22"/>
          <w:szCs w:val="22"/>
        </w:rPr>
        <w:t xml:space="preserve"> componentes. </w:t>
      </w:r>
      <w:r w:rsidR="00E4448D" w:rsidRPr="00E6181F">
        <w:rPr>
          <w:rFonts w:ascii="Arial" w:hAnsi="Arial" w:cs="Arial"/>
          <w:color w:val="000000"/>
          <w:sz w:val="22"/>
          <w:szCs w:val="22"/>
        </w:rPr>
        <w:t xml:space="preserve">El primer componente se relaciona con la estabilidad macroeconómica y tiene como objetivo asegurar un contexto macroeconómico congruente con los objetivos del programa según </w:t>
      </w:r>
      <w:r w:rsidR="00E4448D">
        <w:rPr>
          <w:rFonts w:ascii="Arial" w:hAnsi="Arial" w:cs="Arial"/>
          <w:color w:val="000000"/>
          <w:sz w:val="22"/>
          <w:szCs w:val="22"/>
        </w:rPr>
        <w:t xml:space="preserve">lo </w:t>
      </w:r>
      <w:r w:rsidR="00E4448D" w:rsidRPr="00E6181F">
        <w:rPr>
          <w:rFonts w:ascii="Arial" w:hAnsi="Arial" w:cs="Arial"/>
          <w:color w:val="000000"/>
          <w:sz w:val="22"/>
          <w:szCs w:val="22"/>
        </w:rPr>
        <w:t>establecido en su Matriz de Políticas. El segundo componente trata sobre el fortalecimiento de la política</w:t>
      </w:r>
      <w:r w:rsidR="00114D43">
        <w:rPr>
          <w:rFonts w:ascii="Arial" w:hAnsi="Arial" w:cs="Arial"/>
          <w:color w:val="000000"/>
          <w:sz w:val="22"/>
          <w:szCs w:val="22"/>
        </w:rPr>
        <w:t xml:space="preserve"> pública</w:t>
      </w:r>
      <w:r w:rsidR="00E4448D" w:rsidRPr="00E6181F">
        <w:rPr>
          <w:rFonts w:ascii="Arial" w:hAnsi="Arial" w:cs="Arial"/>
          <w:color w:val="000000"/>
          <w:sz w:val="22"/>
          <w:szCs w:val="22"/>
        </w:rPr>
        <w:t xml:space="preserve"> y gestión fiscal para la atención de la emergencia sanitaria y tiene como objetivo </w:t>
      </w:r>
      <w:r w:rsidR="00772452" w:rsidRPr="0015667F">
        <w:rPr>
          <w:rFonts w:ascii="Arial" w:hAnsi="Arial" w:cs="Arial"/>
          <w:spacing w:val="-4"/>
          <w:sz w:val="22"/>
          <w:szCs w:val="22"/>
          <w:lang w:val="es-MX"/>
        </w:rPr>
        <w:t xml:space="preserve">promover la disponibilidad </w:t>
      </w:r>
      <w:r w:rsidR="00772452">
        <w:rPr>
          <w:rFonts w:ascii="Arial" w:hAnsi="Arial" w:cs="Arial"/>
          <w:spacing w:val="-4"/>
          <w:sz w:val="22"/>
          <w:szCs w:val="22"/>
          <w:lang w:val="es-MX"/>
        </w:rPr>
        <w:t xml:space="preserve">y ejecución </w:t>
      </w:r>
      <w:r w:rsidR="00772452" w:rsidRPr="0015667F">
        <w:rPr>
          <w:rFonts w:ascii="Arial" w:hAnsi="Arial" w:cs="Arial"/>
          <w:spacing w:val="-4"/>
          <w:sz w:val="22"/>
          <w:szCs w:val="22"/>
          <w:lang w:val="es-MX"/>
        </w:rPr>
        <w:t xml:space="preserve">oportuna de </w:t>
      </w:r>
      <w:r w:rsidR="00772452" w:rsidRPr="0015667F">
        <w:rPr>
          <w:rFonts w:ascii="Arial" w:hAnsi="Arial" w:cs="Arial"/>
          <w:sz w:val="22"/>
          <w:szCs w:val="22"/>
        </w:rPr>
        <w:t>recursos materiales y financieros para atender los efectos de la crisis sanitaria</w:t>
      </w:r>
      <w:r w:rsidR="00E4448D" w:rsidRPr="00E6181F">
        <w:rPr>
          <w:rFonts w:ascii="Arial" w:hAnsi="Arial" w:cs="Arial"/>
          <w:color w:val="000000"/>
          <w:sz w:val="22"/>
          <w:szCs w:val="22"/>
        </w:rPr>
        <w:t>. El tercer componente, denominado fortalecimiento de la política</w:t>
      </w:r>
      <w:r w:rsidR="00FD6ADE">
        <w:rPr>
          <w:rFonts w:ascii="Arial" w:hAnsi="Arial" w:cs="Arial"/>
          <w:color w:val="000000"/>
          <w:sz w:val="22"/>
          <w:szCs w:val="22"/>
        </w:rPr>
        <w:t xml:space="preserve"> pública</w:t>
      </w:r>
      <w:r w:rsidR="00E4448D" w:rsidRPr="00E6181F">
        <w:rPr>
          <w:rFonts w:ascii="Arial" w:hAnsi="Arial" w:cs="Arial"/>
          <w:color w:val="000000"/>
          <w:sz w:val="22"/>
          <w:szCs w:val="22"/>
        </w:rPr>
        <w:t xml:space="preserve"> y gestión fiscal para la atención de la crisis económica, busca </w:t>
      </w:r>
      <w:r w:rsidR="00542235" w:rsidRPr="00475BCE">
        <w:rPr>
          <w:rFonts w:ascii="Arial" w:hAnsi="Arial" w:cs="Arial"/>
          <w:sz w:val="22"/>
          <w:szCs w:val="22"/>
          <w:lang w:val="es-MX"/>
        </w:rPr>
        <w:t>fortalecer el efecto anticíclico de la política pública y gestión fiscal a través de la introducción temporal de medidas para la protección del ingreso de los hogares vulnerables y para el incremento de la liquidez de las firmas durante la crisis sanitaria y económica</w:t>
      </w:r>
      <w:r w:rsidR="00E4448D" w:rsidRPr="00967329">
        <w:rPr>
          <w:rFonts w:ascii="Arial" w:hAnsi="Arial" w:cs="Arial"/>
          <w:color w:val="000000"/>
          <w:sz w:val="22"/>
          <w:szCs w:val="22"/>
        </w:rPr>
        <w:t xml:space="preserve">. El cuarto </w:t>
      </w:r>
      <w:r w:rsidR="00E4448D" w:rsidRPr="0013637C">
        <w:rPr>
          <w:rFonts w:ascii="Arial" w:hAnsi="Arial" w:cs="Arial"/>
          <w:color w:val="000000"/>
          <w:sz w:val="22"/>
          <w:szCs w:val="22"/>
        </w:rPr>
        <w:t>y último componente se refiere</w:t>
      </w:r>
      <w:r w:rsidR="00E4448D" w:rsidRPr="00967329">
        <w:rPr>
          <w:rFonts w:ascii="Arial" w:hAnsi="Arial" w:cs="Arial"/>
          <w:color w:val="000000"/>
          <w:sz w:val="22"/>
          <w:szCs w:val="22"/>
        </w:rPr>
        <w:t xml:space="preserve"> al fortalecimiento económico y fiscal para el periodo post pandemia, y tiene como finalidad </w:t>
      </w:r>
      <w:r w:rsidR="00031CEB" w:rsidRPr="00967329">
        <w:rPr>
          <w:rFonts w:ascii="Arial" w:hAnsi="Arial" w:cs="Arial"/>
          <w:sz w:val="22"/>
          <w:szCs w:val="22"/>
          <w:lang w:val="es-MX"/>
        </w:rPr>
        <w:t>promover la recuperación económica y fiscal en el periodo post pandemia</w:t>
      </w:r>
      <w:r w:rsidR="00A159C1" w:rsidRPr="00967329">
        <w:rPr>
          <w:rFonts w:ascii="Arial" w:hAnsi="Arial" w:cs="Arial"/>
          <w:color w:val="000000"/>
          <w:sz w:val="22"/>
          <w:szCs w:val="22"/>
        </w:rPr>
        <w:t>.</w:t>
      </w:r>
      <w:r w:rsidR="001F64ED" w:rsidRPr="00967329">
        <w:rPr>
          <w:rFonts w:ascii="Arial" w:hAnsi="Arial" w:cs="Arial"/>
          <w:color w:val="000000"/>
          <w:sz w:val="22"/>
          <w:szCs w:val="22"/>
        </w:rPr>
        <w:t xml:space="preserve"> </w:t>
      </w:r>
    </w:p>
    <w:p w14:paraId="2B56D563" w14:textId="411E08D6" w:rsidR="00520674" w:rsidRPr="000A2758" w:rsidRDefault="007A7B87" w:rsidP="00D64609">
      <w:pPr>
        <w:pStyle w:val="Paragraph"/>
        <w:tabs>
          <w:tab w:val="clear" w:pos="2448"/>
          <w:tab w:val="num" w:pos="720"/>
          <w:tab w:val="num" w:pos="1440"/>
        </w:tabs>
        <w:ind w:left="720" w:hanging="720"/>
        <w:rPr>
          <w:rFonts w:ascii="Arial" w:hAnsi="Arial" w:cs="Arial"/>
          <w:color w:val="000000"/>
          <w:sz w:val="22"/>
          <w:szCs w:val="22"/>
        </w:rPr>
      </w:pPr>
      <w:r w:rsidRPr="00E6181F">
        <w:rPr>
          <w:rFonts w:ascii="Arial" w:hAnsi="Arial" w:cs="Arial"/>
          <w:color w:val="000000"/>
          <w:sz w:val="22"/>
          <w:szCs w:val="22"/>
        </w:rPr>
        <w:t>El presente document</w:t>
      </w:r>
      <w:r>
        <w:rPr>
          <w:rFonts w:ascii="Arial" w:hAnsi="Arial" w:cs="Arial"/>
          <w:color w:val="000000"/>
          <w:sz w:val="22"/>
          <w:szCs w:val="22"/>
        </w:rPr>
        <w:t>o</w:t>
      </w:r>
      <w:r w:rsidRPr="00E6181F">
        <w:rPr>
          <w:rFonts w:ascii="Arial" w:hAnsi="Arial" w:cs="Arial"/>
          <w:color w:val="000000"/>
          <w:sz w:val="22"/>
          <w:szCs w:val="22"/>
        </w:rPr>
        <w:t xml:space="preserve"> presenta el plan de monitoreo y evaluación del </w:t>
      </w:r>
      <w:r w:rsidR="002B7EF4">
        <w:rPr>
          <w:rFonts w:ascii="Arial" w:hAnsi="Arial" w:cs="Arial"/>
          <w:color w:val="000000"/>
          <w:sz w:val="22"/>
          <w:szCs w:val="22"/>
        </w:rPr>
        <w:t>p</w:t>
      </w:r>
      <w:r w:rsidRPr="00E6181F">
        <w:rPr>
          <w:rFonts w:ascii="Arial" w:hAnsi="Arial" w:cs="Arial"/>
          <w:color w:val="000000"/>
          <w:sz w:val="22"/>
          <w:szCs w:val="22"/>
        </w:rPr>
        <w:t xml:space="preserve">rograma y cuenta con dos secciones, además de esta sección introductoria. La primera sección se refiere al monitoreo del programa, el </w:t>
      </w:r>
      <w:r>
        <w:rPr>
          <w:rFonts w:ascii="Arial" w:hAnsi="Arial" w:cs="Arial"/>
          <w:color w:val="000000"/>
          <w:sz w:val="22"/>
          <w:szCs w:val="22"/>
        </w:rPr>
        <w:t>cual</w:t>
      </w:r>
      <w:r w:rsidRPr="00E6181F">
        <w:rPr>
          <w:rFonts w:ascii="Arial" w:hAnsi="Arial" w:cs="Arial"/>
          <w:color w:val="000000"/>
          <w:sz w:val="22"/>
          <w:szCs w:val="22"/>
        </w:rPr>
        <w:t xml:space="preserve"> se realizará principalmente a través de informes oficiales que incluirán información detallada y presentarán la evidencia correspondiente al cumplimiento de las condiciones planteadas en la Matriz de Políticas del </w:t>
      </w:r>
      <w:r w:rsidR="002B7EF4">
        <w:rPr>
          <w:rFonts w:ascii="Arial" w:hAnsi="Arial" w:cs="Arial"/>
          <w:color w:val="000000"/>
          <w:sz w:val="22"/>
          <w:szCs w:val="22"/>
        </w:rPr>
        <w:t>p</w:t>
      </w:r>
      <w:r w:rsidRPr="00E6181F">
        <w:rPr>
          <w:rFonts w:ascii="Arial" w:hAnsi="Arial" w:cs="Arial"/>
          <w:color w:val="000000"/>
          <w:sz w:val="22"/>
          <w:szCs w:val="22"/>
        </w:rPr>
        <w:t xml:space="preserve">rograma. La segunda sección presenta la estrategia de evaluación del </w:t>
      </w:r>
      <w:r w:rsidR="002B7EF4">
        <w:rPr>
          <w:rFonts w:ascii="Arial" w:hAnsi="Arial" w:cs="Arial"/>
          <w:color w:val="000000"/>
          <w:sz w:val="22"/>
          <w:szCs w:val="22"/>
        </w:rPr>
        <w:t>p</w:t>
      </w:r>
      <w:r w:rsidRPr="00E6181F">
        <w:rPr>
          <w:rFonts w:ascii="Arial" w:hAnsi="Arial" w:cs="Arial"/>
          <w:color w:val="000000"/>
          <w:sz w:val="22"/>
          <w:szCs w:val="22"/>
        </w:rPr>
        <w:t xml:space="preserve">rograma, </w:t>
      </w:r>
      <w:r w:rsidR="00E36CA8">
        <w:rPr>
          <w:rFonts w:ascii="Arial" w:hAnsi="Arial" w:cs="Arial"/>
          <w:color w:val="000000"/>
          <w:sz w:val="22"/>
          <w:szCs w:val="22"/>
        </w:rPr>
        <w:t>la cual incluye</w:t>
      </w:r>
      <w:r w:rsidR="00FC1EDA">
        <w:rPr>
          <w:rFonts w:ascii="Arial" w:hAnsi="Arial" w:cs="Arial"/>
          <w:color w:val="000000"/>
          <w:sz w:val="22"/>
          <w:szCs w:val="22"/>
        </w:rPr>
        <w:t xml:space="preserve">: </w:t>
      </w:r>
      <w:r w:rsidR="00B836E4" w:rsidRPr="002D7BBE">
        <w:rPr>
          <w:rFonts w:ascii="Arial" w:hAnsi="Arial" w:cs="Arial"/>
          <w:color w:val="000000"/>
          <w:sz w:val="22"/>
          <w:szCs w:val="22"/>
        </w:rPr>
        <w:t xml:space="preserve">(i) un análisis antes y después del desempeño de los indicadores de resultado e impacto incluidos en la Matriz de </w:t>
      </w:r>
      <w:r w:rsidR="00B836E4" w:rsidRPr="002D7BBE">
        <w:rPr>
          <w:rFonts w:ascii="Arial" w:hAnsi="Arial" w:cs="Arial"/>
          <w:color w:val="000000"/>
          <w:sz w:val="22"/>
          <w:szCs w:val="22"/>
        </w:rPr>
        <w:lastRenderedPageBreak/>
        <w:t>Resultados; (</w:t>
      </w:r>
      <w:proofErr w:type="spellStart"/>
      <w:r w:rsidR="00B836E4" w:rsidRPr="002D7BBE">
        <w:rPr>
          <w:rFonts w:ascii="Arial" w:hAnsi="Arial" w:cs="Arial"/>
          <w:color w:val="000000"/>
          <w:sz w:val="22"/>
          <w:szCs w:val="22"/>
        </w:rPr>
        <w:t>ii</w:t>
      </w:r>
      <w:proofErr w:type="spellEnd"/>
      <w:r w:rsidR="00B836E4" w:rsidRPr="002D7BBE">
        <w:rPr>
          <w:rFonts w:ascii="Arial" w:hAnsi="Arial" w:cs="Arial"/>
          <w:color w:val="000000"/>
          <w:sz w:val="22"/>
          <w:szCs w:val="22"/>
        </w:rPr>
        <w:t>) una revisión de la teoría de cambio de la intervención;</w:t>
      </w:r>
      <w:r w:rsidR="00B669EC">
        <w:rPr>
          <w:rFonts w:ascii="Arial" w:hAnsi="Arial" w:cs="Arial"/>
          <w:color w:val="000000"/>
          <w:sz w:val="22"/>
          <w:szCs w:val="22"/>
        </w:rPr>
        <w:t xml:space="preserve"> y</w:t>
      </w:r>
      <w:r w:rsidR="00B836E4" w:rsidRPr="002D7BBE">
        <w:rPr>
          <w:rFonts w:ascii="Arial" w:hAnsi="Arial" w:cs="Arial"/>
          <w:color w:val="000000"/>
          <w:sz w:val="22"/>
          <w:szCs w:val="22"/>
        </w:rPr>
        <w:t xml:space="preserve"> (</w:t>
      </w:r>
      <w:proofErr w:type="spellStart"/>
      <w:r w:rsidR="00B836E4" w:rsidRPr="002D7BBE">
        <w:rPr>
          <w:rFonts w:ascii="Arial" w:hAnsi="Arial" w:cs="Arial"/>
          <w:color w:val="000000"/>
          <w:sz w:val="22"/>
          <w:szCs w:val="22"/>
        </w:rPr>
        <w:t>iii</w:t>
      </w:r>
      <w:proofErr w:type="spellEnd"/>
      <w:r w:rsidR="00B836E4" w:rsidRPr="002D7BBE">
        <w:rPr>
          <w:rFonts w:ascii="Arial" w:hAnsi="Arial" w:cs="Arial"/>
          <w:color w:val="000000"/>
          <w:sz w:val="22"/>
          <w:szCs w:val="22"/>
        </w:rPr>
        <w:t xml:space="preserve">) una revisión de la evidencia en la literatura sobre la efectividad de intervenciones similares en contextos comparables. </w:t>
      </w:r>
      <w:r w:rsidR="00B836E4" w:rsidRPr="002D7BBE">
        <w:rPr>
          <w:rFonts w:ascii="Arial" w:hAnsi="Arial" w:cs="Arial"/>
          <w:sz w:val="22"/>
          <w:szCs w:val="22"/>
        </w:rPr>
        <w:t xml:space="preserve">Las principales preguntas de esta evaluación estarán referidas a si las políticas implementadas lograron </w:t>
      </w:r>
      <w:r w:rsidR="00B836E4">
        <w:rPr>
          <w:rFonts w:ascii="Arial" w:hAnsi="Arial" w:cs="Arial"/>
          <w:sz w:val="22"/>
          <w:szCs w:val="22"/>
        </w:rPr>
        <w:t>contribuir a los objetivos del programa</w:t>
      </w:r>
      <w:r w:rsidR="000A2758">
        <w:rPr>
          <w:rFonts w:ascii="Arial" w:hAnsi="Arial" w:cs="Arial"/>
          <w:color w:val="000000"/>
          <w:sz w:val="22"/>
          <w:szCs w:val="22"/>
        </w:rPr>
        <w:t xml:space="preserve">. </w:t>
      </w:r>
      <w:r w:rsidRPr="000A2758">
        <w:rPr>
          <w:rFonts w:ascii="Arial" w:hAnsi="Arial" w:cs="Arial"/>
          <w:color w:val="000000"/>
          <w:sz w:val="22"/>
          <w:szCs w:val="22"/>
        </w:rPr>
        <w:t>A través del análisis a realizarse, se tratará de identificar lecciones aprendidas para futuras operaciones del Banco en materia de política y gestión fiscal para atender crisis sanitarias y otras emergencias</w:t>
      </w:r>
      <w:r w:rsidR="00EB1388" w:rsidRPr="000A2758">
        <w:rPr>
          <w:rFonts w:ascii="Arial" w:hAnsi="Arial" w:cs="Arial"/>
          <w:color w:val="000000"/>
          <w:sz w:val="22"/>
          <w:szCs w:val="22"/>
        </w:rPr>
        <w:t>.</w:t>
      </w:r>
    </w:p>
    <w:p w14:paraId="6CC90C96" w14:textId="588EBDE1" w:rsidR="00ED751C" w:rsidRDefault="007C1307" w:rsidP="00D55E4C">
      <w:pPr>
        <w:pStyle w:val="Chapter"/>
        <w:widowControl w:val="0"/>
        <w:spacing w:before="360"/>
        <w:rPr>
          <w:rFonts w:ascii="Arial" w:hAnsi="Arial" w:cs="Arial"/>
          <w:szCs w:val="22"/>
        </w:rPr>
      </w:pPr>
      <w:bookmarkStart w:id="1" w:name="_Toc36166558"/>
      <w:r>
        <w:rPr>
          <w:rFonts w:ascii="Arial" w:hAnsi="Arial" w:cs="Arial"/>
          <w:szCs w:val="22"/>
        </w:rPr>
        <w:t>Monitoreo</w:t>
      </w:r>
      <w:bookmarkEnd w:id="1"/>
    </w:p>
    <w:p w14:paraId="4CDD63E0" w14:textId="3246EE68" w:rsidR="006F1D55" w:rsidRPr="006F1D55" w:rsidRDefault="006F1D55" w:rsidP="006F1D55">
      <w:pPr>
        <w:pStyle w:val="Paragraph"/>
        <w:tabs>
          <w:tab w:val="clear" w:pos="2448"/>
          <w:tab w:val="num" w:pos="720"/>
          <w:tab w:val="num" w:pos="1440"/>
        </w:tabs>
        <w:ind w:left="720" w:hanging="720"/>
        <w:rPr>
          <w:rFonts w:ascii="Arial" w:hAnsi="Arial" w:cs="Arial"/>
          <w:color w:val="000000"/>
          <w:sz w:val="22"/>
          <w:szCs w:val="22"/>
        </w:rPr>
      </w:pPr>
      <w:r w:rsidRPr="006F1D55">
        <w:rPr>
          <w:rFonts w:ascii="Arial" w:hAnsi="Arial" w:cs="Arial"/>
          <w:color w:val="000000"/>
          <w:sz w:val="22"/>
          <w:szCs w:val="22"/>
        </w:rPr>
        <w:t xml:space="preserve">La presente sección describe el proceso de monitoreo para esta operación, incluyendo la descripción de los principales indicadores a ser monitoreados, la identificación de fuentes de datos, </w:t>
      </w:r>
      <w:r w:rsidR="00E867DB">
        <w:rPr>
          <w:rFonts w:ascii="Arial" w:hAnsi="Arial" w:cs="Arial"/>
          <w:color w:val="000000"/>
          <w:sz w:val="22"/>
          <w:szCs w:val="22"/>
        </w:rPr>
        <w:t>el reporte</w:t>
      </w:r>
      <w:r w:rsidRPr="006F1D55">
        <w:rPr>
          <w:rFonts w:ascii="Arial" w:hAnsi="Arial" w:cs="Arial"/>
          <w:color w:val="000000"/>
          <w:sz w:val="22"/>
          <w:szCs w:val="22"/>
        </w:rPr>
        <w:t>, el plan de trabajo de monitoreo y su presupuesto correspondiente.</w:t>
      </w:r>
    </w:p>
    <w:p w14:paraId="6CC90C97" w14:textId="77777777" w:rsidR="00960179" w:rsidRPr="00960179" w:rsidRDefault="00EB0154" w:rsidP="003173DB">
      <w:pPr>
        <w:pStyle w:val="FirstHeading"/>
        <w:spacing w:before="0"/>
        <w:ind w:left="720"/>
        <w:rPr>
          <w:rFonts w:ascii="Arial" w:hAnsi="Arial" w:cs="Arial"/>
          <w:sz w:val="22"/>
          <w:szCs w:val="22"/>
        </w:rPr>
      </w:pPr>
      <w:r w:rsidRPr="00EB0154">
        <w:rPr>
          <w:rFonts w:ascii="Arial" w:hAnsi="Arial" w:cs="Arial"/>
          <w:sz w:val="22"/>
          <w:szCs w:val="22"/>
        </w:rPr>
        <w:fldChar w:fldCharType="begin"/>
      </w:r>
      <w:r w:rsidRPr="00EB0154">
        <w:rPr>
          <w:rFonts w:ascii="Arial" w:hAnsi="Arial" w:cs="Arial"/>
          <w:sz w:val="22"/>
          <w:szCs w:val="22"/>
        </w:rPr>
        <w:instrText xml:space="preserve"> SEQ "</w:instrText>
      </w:r>
      <w:r w:rsidRPr="00EB0154">
        <w:rPr>
          <w:rFonts w:ascii="Arial" w:hAnsi="Arial" w:cs="Arial"/>
          <w:sz w:val="22"/>
          <w:szCs w:val="22"/>
        </w:rPr>
        <w:fldChar w:fldCharType="begin"/>
      </w:r>
      <w:r w:rsidRPr="00EB0154">
        <w:rPr>
          <w:rFonts w:ascii="Arial" w:hAnsi="Arial" w:cs="Arial"/>
          <w:sz w:val="22"/>
          <w:szCs w:val="22"/>
        </w:rPr>
        <w:instrText xml:space="preserve"> SECTION  \* MERGEFORMAT </w:instrText>
      </w:r>
      <w:r w:rsidRPr="00EB0154">
        <w:rPr>
          <w:rFonts w:ascii="Arial" w:hAnsi="Arial" w:cs="Arial"/>
          <w:sz w:val="22"/>
          <w:szCs w:val="22"/>
        </w:rPr>
        <w:fldChar w:fldCharType="separate"/>
      </w:r>
      <w:r w:rsidRPr="00EB0154">
        <w:rPr>
          <w:rFonts w:ascii="Arial" w:hAnsi="Arial" w:cs="Arial"/>
          <w:sz w:val="22"/>
          <w:szCs w:val="22"/>
        </w:rPr>
        <w:instrText>5</w:instrText>
      </w:r>
      <w:r w:rsidRPr="00EB0154">
        <w:rPr>
          <w:rFonts w:ascii="Arial" w:hAnsi="Arial" w:cs="Arial"/>
          <w:sz w:val="22"/>
          <w:szCs w:val="22"/>
        </w:rPr>
        <w:fldChar w:fldCharType="end"/>
      </w:r>
      <w:r w:rsidRPr="00EB0154">
        <w:rPr>
          <w:rFonts w:ascii="Arial" w:hAnsi="Arial" w:cs="Arial"/>
          <w:sz w:val="22"/>
          <w:szCs w:val="22"/>
        </w:rPr>
        <w:instrText xml:space="preserve">#"\* ALPHABETIC \* MERGEFORMAT </w:instrText>
      </w:r>
      <w:r w:rsidRPr="00EB0154">
        <w:rPr>
          <w:rFonts w:ascii="Arial" w:hAnsi="Arial" w:cs="Arial"/>
          <w:sz w:val="22"/>
          <w:szCs w:val="22"/>
        </w:rPr>
        <w:fldChar w:fldCharType="separate"/>
      </w:r>
      <w:bookmarkStart w:id="2" w:name="_Toc36166559"/>
      <w:r w:rsidRPr="00EB0154">
        <w:rPr>
          <w:rFonts w:ascii="Arial" w:hAnsi="Arial" w:cs="Arial"/>
          <w:noProof/>
          <w:sz w:val="22"/>
          <w:szCs w:val="22"/>
        </w:rPr>
        <w:t>A</w:t>
      </w:r>
      <w:r w:rsidRPr="00EB0154">
        <w:rPr>
          <w:rFonts w:ascii="Arial" w:hAnsi="Arial" w:cs="Arial"/>
          <w:sz w:val="22"/>
          <w:szCs w:val="22"/>
        </w:rPr>
        <w:fldChar w:fldCharType="end"/>
      </w:r>
      <w:r w:rsidRPr="00EB0154">
        <w:rPr>
          <w:rFonts w:ascii="Arial" w:hAnsi="Arial" w:cs="Arial"/>
          <w:sz w:val="22"/>
          <w:szCs w:val="22"/>
        </w:rPr>
        <w:t>.</w:t>
      </w:r>
      <w:r w:rsidRPr="00EB0154">
        <w:rPr>
          <w:rFonts w:ascii="Arial" w:hAnsi="Arial" w:cs="Arial"/>
          <w:sz w:val="22"/>
          <w:szCs w:val="22"/>
        </w:rPr>
        <w:tab/>
      </w:r>
      <w:r w:rsidR="007C1307">
        <w:rPr>
          <w:rFonts w:ascii="Arial" w:hAnsi="Arial" w:cs="Arial"/>
          <w:sz w:val="22"/>
          <w:szCs w:val="22"/>
        </w:rPr>
        <w:t>Indicadores</w:t>
      </w:r>
      <w:bookmarkEnd w:id="2"/>
    </w:p>
    <w:p w14:paraId="3D307634" w14:textId="6AF7FF9B" w:rsidR="001F64ED" w:rsidRPr="00E6181F" w:rsidRDefault="007B67F5" w:rsidP="00E6181F">
      <w:pPr>
        <w:pStyle w:val="Paragraph"/>
        <w:tabs>
          <w:tab w:val="clear" w:pos="2448"/>
          <w:tab w:val="num" w:pos="720"/>
          <w:tab w:val="num" w:pos="1440"/>
        </w:tabs>
        <w:ind w:left="720" w:hanging="720"/>
        <w:rPr>
          <w:rFonts w:ascii="Arial" w:hAnsi="Arial" w:cs="Arial"/>
          <w:color w:val="000000"/>
          <w:sz w:val="22"/>
          <w:szCs w:val="22"/>
        </w:rPr>
      </w:pPr>
      <w:r>
        <w:rPr>
          <w:rFonts w:ascii="Arial" w:hAnsi="Arial" w:cs="Arial"/>
          <w:color w:val="000000"/>
          <w:sz w:val="22"/>
          <w:szCs w:val="22"/>
        </w:rPr>
        <w:t xml:space="preserve">A lo largo de la ejecución del presente </w:t>
      </w:r>
      <w:r w:rsidR="002B7EF4">
        <w:rPr>
          <w:rFonts w:ascii="Arial" w:hAnsi="Arial" w:cs="Arial"/>
          <w:color w:val="000000"/>
          <w:sz w:val="22"/>
          <w:szCs w:val="22"/>
        </w:rPr>
        <w:t>p</w:t>
      </w:r>
      <w:r w:rsidR="00B761E0">
        <w:rPr>
          <w:rFonts w:ascii="Arial" w:hAnsi="Arial" w:cs="Arial"/>
          <w:color w:val="000000"/>
          <w:sz w:val="22"/>
          <w:szCs w:val="22"/>
        </w:rPr>
        <w:t>rograma</w:t>
      </w:r>
      <w:r>
        <w:rPr>
          <w:rFonts w:ascii="Arial" w:hAnsi="Arial" w:cs="Arial"/>
          <w:color w:val="000000"/>
          <w:sz w:val="22"/>
          <w:szCs w:val="22"/>
        </w:rPr>
        <w:t xml:space="preserve"> se hará seguimiento continuo a los indicadores de producto establecidos en la matriz de resultados. Dichos productos son claves, dado que se relacionan con las condiciones establecidas en la Matriz de Políticas</w:t>
      </w:r>
      <w:r w:rsidR="00AB1F0C">
        <w:rPr>
          <w:rFonts w:ascii="Arial" w:hAnsi="Arial" w:cs="Arial"/>
          <w:color w:val="000000"/>
          <w:sz w:val="22"/>
          <w:szCs w:val="22"/>
        </w:rPr>
        <w:t xml:space="preserve"> (MP)</w:t>
      </w:r>
      <w:r>
        <w:rPr>
          <w:rFonts w:ascii="Arial" w:hAnsi="Arial" w:cs="Arial"/>
          <w:color w:val="000000"/>
          <w:sz w:val="22"/>
          <w:szCs w:val="22"/>
        </w:rPr>
        <w:t xml:space="preserve">. El Cuadro 1 </w:t>
      </w:r>
      <w:r w:rsidR="006F1D55">
        <w:rPr>
          <w:rFonts w:ascii="Arial" w:hAnsi="Arial" w:cs="Arial"/>
          <w:color w:val="000000"/>
          <w:sz w:val="22"/>
          <w:szCs w:val="22"/>
        </w:rPr>
        <w:t>presenta</w:t>
      </w:r>
      <w:r>
        <w:rPr>
          <w:rFonts w:ascii="Arial" w:hAnsi="Arial" w:cs="Arial"/>
          <w:color w:val="000000"/>
          <w:sz w:val="22"/>
          <w:szCs w:val="22"/>
        </w:rPr>
        <w:t xml:space="preserve"> los indicadores de producto a los que se hará seguimiento durante la ejecución del programa</w:t>
      </w:r>
      <w:r w:rsidR="006F1D55">
        <w:rPr>
          <w:rFonts w:ascii="Arial" w:hAnsi="Arial" w:cs="Arial"/>
          <w:color w:val="000000"/>
          <w:sz w:val="22"/>
          <w:szCs w:val="22"/>
        </w:rPr>
        <w:t xml:space="preserve">, incluyendo línea base, medios de verificación y meta a fines </w:t>
      </w:r>
      <w:r w:rsidR="001F64ED">
        <w:rPr>
          <w:rFonts w:ascii="Arial" w:hAnsi="Arial" w:cs="Arial"/>
          <w:color w:val="000000"/>
          <w:sz w:val="22"/>
          <w:szCs w:val="22"/>
        </w:rPr>
        <w:t xml:space="preserve">de </w:t>
      </w:r>
      <w:r>
        <w:rPr>
          <w:rFonts w:ascii="Arial" w:hAnsi="Arial" w:cs="Arial"/>
          <w:color w:val="000000"/>
          <w:sz w:val="22"/>
          <w:szCs w:val="22"/>
        </w:rPr>
        <w:t>20</w:t>
      </w:r>
      <w:r w:rsidR="001F64ED">
        <w:rPr>
          <w:rFonts w:ascii="Arial" w:hAnsi="Arial" w:cs="Arial"/>
          <w:color w:val="000000"/>
          <w:sz w:val="22"/>
          <w:szCs w:val="22"/>
        </w:rPr>
        <w:t>20</w:t>
      </w:r>
      <w:r>
        <w:rPr>
          <w:rFonts w:ascii="Arial" w:hAnsi="Arial" w:cs="Arial"/>
          <w:color w:val="000000"/>
          <w:sz w:val="22"/>
          <w:szCs w:val="22"/>
        </w:rPr>
        <w:t xml:space="preserve">, cuando las reformas introducidas </w:t>
      </w:r>
      <w:r w:rsidR="00FD334A">
        <w:rPr>
          <w:rFonts w:ascii="Arial" w:hAnsi="Arial" w:cs="Arial"/>
          <w:color w:val="000000"/>
          <w:sz w:val="22"/>
          <w:szCs w:val="22"/>
        </w:rPr>
        <w:t>hayan</w:t>
      </w:r>
      <w:r>
        <w:rPr>
          <w:rFonts w:ascii="Arial" w:hAnsi="Arial" w:cs="Arial"/>
          <w:color w:val="000000"/>
          <w:sz w:val="22"/>
          <w:szCs w:val="22"/>
        </w:rPr>
        <w:t xml:space="preserve"> genera</w:t>
      </w:r>
      <w:r w:rsidR="00FD334A">
        <w:rPr>
          <w:rFonts w:ascii="Arial" w:hAnsi="Arial" w:cs="Arial"/>
          <w:color w:val="000000"/>
          <w:sz w:val="22"/>
          <w:szCs w:val="22"/>
        </w:rPr>
        <w:t>do</w:t>
      </w:r>
      <w:r>
        <w:rPr>
          <w:rFonts w:ascii="Arial" w:hAnsi="Arial" w:cs="Arial"/>
          <w:color w:val="000000"/>
          <w:sz w:val="22"/>
          <w:szCs w:val="22"/>
        </w:rPr>
        <w:t xml:space="preserve"> los productos esperados.</w:t>
      </w:r>
    </w:p>
    <w:p w14:paraId="07336EE1" w14:textId="77777777" w:rsidR="001F64ED" w:rsidRDefault="001F64ED" w:rsidP="003173DB">
      <w:pPr>
        <w:pStyle w:val="FirstHeading"/>
        <w:spacing w:after="0"/>
        <w:ind w:left="720"/>
        <w:rPr>
          <w:rFonts w:ascii="Arial" w:hAnsi="Arial" w:cs="Arial"/>
          <w:sz w:val="22"/>
          <w:szCs w:val="22"/>
        </w:rPr>
      </w:pPr>
      <w:bookmarkStart w:id="3" w:name="_Toc36166560"/>
      <w:r>
        <w:rPr>
          <w:rFonts w:ascii="Arial" w:hAnsi="Arial" w:cs="Arial"/>
          <w:sz w:val="22"/>
          <w:szCs w:val="22"/>
        </w:rPr>
        <w:t>B.</w:t>
      </w:r>
      <w:r>
        <w:rPr>
          <w:rFonts w:ascii="Arial" w:hAnsi="Arial" w:cs="Arial"/>
          <w:sz w:val="22"/>
          <w:szCs w:val="22"/>
        </w:rPr>
        <w:tab/>
        <w:t>Recolección de datos e instrumentos</w:t>
      </w:r>
      <w:bookmarkEnd w:id="3"/>
    </w:p>
    <w:p w14:paraId="5B3153E0" w14:textId="2D0DBA45" w:rsidR="001F64ED" w:rsidRPr="00E6181F" w:rsidRDefault="001F64ED" w:rsidP="00E6181F">
      <w:pPr>
        <w:pStyle w:val="Paragraph"/>
        <w:tabs>
          <w:tab w:val="clear" w:pos="2448"/>
          <w:tab w:val="num" w:pos="720"/>
          <w:tab w:val="num" w:pos="1440"/>
        </w:tabs>
        <w:ind w:left="720" w:hanging="720"/>
        <w:rPr>
          <w:rFonts w:ascii="Arial" w:hAnsi="Arial" w:cs="Arial"/>
          <w:color w:val="000000"/>
          <w:sz w:val="22"/>
          <w:szCs w:val="22"/>
        </w:rPr>
      </w:pPr>
      <w:r w:rsidRPr="007C1307">
        <w:rPr>
          <w:rFonts w:ascii="Arial" w:hAnsi="Arial" w:cs="Arial"/>
          <w:color w:val="000000"/>
          <w:sz w:val="22"/>
          <w:szCs w:val="22"/>
        </w:rPr>
        <w:t>A nivel de productos, la información será pres</w:t>
      </w:r>
      <w:r>
        <w:rPr>
          <w:rFonts w:ascii="Arial" w:hAnsi="Arial" w:cs="Arial"/>
          <w:color w:val="000000"/>
          <w:sz w:val="22"/>
          <w:szCs w:val="22"/>
        </w:rPr>
        <w:t xml:space="preserve">entada al Banco como parte del </w:t>
      </w:r>
      <w:r w:rsidRPr="007C1307">
        <w:rPr>
          <w:rFonts w:ascii="Arial" w:hAnsi="Arial" w:cs="Arial"/>
          <w:color w:val="000000"/>
          <w:sz w:val="22"/>
          <w:szCs w:val="22"/>
        </w:rPr>
        <w:t xml:space="preserve">informe de cumplimiento de </w:t>
      </w:r>
      <w:r>
        <w:rPr>
          <w:rFonts w:ascii="Arial" w:hAnsi="Arial" w:cs="Arial"/>
          <w:color w:val="000000"/>
          <w:sz w:val="22"/>
          <w:szCs w:val="22"/>
        </w:rPr>
        <w:t>los compromisos</w:t>
      </w:r>
      <w:r w:rsidRPr="007C1307">
        <w:rPr>
          <w:rFonts w:ascii="Arial" w:hAnsi="Arial" w:cs="Arial"/>
          <w:color w:val="000000"/>
          <w:sz w:val="22"/>
          <w:szCs w:val="22"/>
        </w:rPr>
        <w:t xml:space="preserve"> </w:t>
      </w:r>
      <w:r w:rsidR="00E636CB">
        <w:rPr>
          <w:rFonts w:ascii="Arial" w:hAnsi="Arial" w:cs="Arial"/>
          <w:color w:val="000000"/>
          <w:sz w:val="22"/>
          <w:szCs w:val="22"/>
        </w:rPr>
        <w:t xml:space="preserve">del </w:t>
      </w:r>
      <w:r w:rsidR="002B7EF4">
        <w:rPr>
          <w:rFonts w:ascii="Arial" w:hAnsi="Arial" w:cs="Arial"/>
          <w:color w:val="000000"/>
          <w:sz w:val="22"/>
          <w:szCs w:val="22"/>
        </w:rPr>
        <w:t>p</w:t>
      </w:r>
      <w:r w:rsidR="00E636CB">
        <w:rPr>
          <w:rFonts w:ascii="Arial" w:hAnsi="Arial" w:cs="Arial"/>
          <w:color w:val="000000"/>
          <w:sz w:val="22"/>
          <w:szCs w:val="22"/>
        </w:rPr>
        <w:t>rograma</w:t>
      </w:r>
      <w:r w:rsidRPr="007C1307">
        <w:rPr>
          <w:rFonts w:ascii="Arial" w:hAnsi="Arial" w:cs="Arial"/>
          <w:color w:val="000000"/>
          <w:sz w:val="22"/>
          <w:szCs w:val="22"/>
        </w:rPr>
        <w:t xml:space="preserve">. </w:t>
      </w:r>
      <w:r>
        <w:rPr>
          <w:rFonts w:ascii="Arial" w:hAnsi="Arial" w:cs="Arial"/>
          <w:color w:val="000000"/>
          <w:sz w:val="22"/>
          <w:szCs w:val="22"/>
        </w:rPr>
        <w:t>Los productos a los que se les dará seguimiento son los que se especifican en la sección de productos de la matriz de resultados</w:t>
      </w:r>
      <w:r w:rsidR="00FF0B0B">
        <w:rPr>
          <w:rFonts w:ascii="Arial" w:hAnsi="Arial" w:cs="Arial"/>
          <w:color w:val="000000"/>
          <w:sz w:val="22"/>
          <w:szCs w:val="22"/>
        </w:rPr>
        <w:t xml:space="preserve"> (MR)</w:t>
      </w:r>
      <w:r>
        <w:rPr>
          <w:rFonts w:ascii="Arial" w:hAnsi="Arial" w:cs="Arial"/>
          <w:color w:val="000000"/>
          <w:sz w:val="22"/>
          <w:szCs w:val="22"/>
        </w:rPr>
        <w:t xml:space="preserve"> de esta operación. </w:t>
      </w:r>
      <w:r w:rsidRPr="007C1307">
        <w:rPr>
          <w:rFonts w:ascii="Arial" w:hAnsi="Arial" w:cs="Arial"/>
          <w:color w:val="000000"/>
          <w:sz w:val="22"/>
          <w:szCs w:val="22"/>
        </w:rPr>
        <w:t>En dicho informe se verificará el avance</w:t>
      </w:r>
      <w:r>
        <w:rPr>
          <w:rFonts w:ascii="Arial" w:hAnsi="Arial" w:cs="Arial"/>
          <w:color w:val="000000"/>
          <w:sz w:val="22"/>
          <w:szCs w:val="22"/>
        </w:rPr>
        <w:t xml:space="preserve"> o el </w:t>
      </w:r>
      <w:r w:rsidRPr="007C1307">
        <w:rPr>
          <w:rFonts w:ascii="Arial" w:hAnsi="Arial" w:cs="Arial"/>
          <w:color w:val="000000"/>
          <w:sz w:val="22"/>
          <w:szCs w:val="22"/>
        </w:rPr>
        <w:t xml:space="preserve">cumplimiento de cada uno de los indicadores durante el período evaluado y se deberá presentar la documentación de respaldo correspondiente. </w:t>
      </w:r>
    </w:p>
    <w:p w14:paraId="5272DB85" w14:textId="6F4F5854" w:rsidR="001F64ED" w:rsidRPr="00E6181F" w:rsidRDefault="001F64ED" w:rsidP="00E6181F">
      <w:pPr>
        <w:pStyle w:val="Paragraph"/>
        <w:tabs>
          <w:tab w:val="clear" w:pos="2448"/>
          <w:tab w:val="num" w:pos="720"/>
          <w:tab w:val="num" w:pos="1440"/>
        </w:tabs>
        <w:ind w:left="720" w:hanging="720"/>
        <w:rPr>
          <w:rFonts w:ascii="Arial" w:hAnsi="Arial" w:cs="Arial"/>
          <w:color w:val="000000"/>
          <w:sz w:val="22"/>
          <w:szCs w:val="22"/>
        </w:rPr>
      </w:pPr>
      <w:r w:rsidRPr="007C1307">
        <w:rPr>
          <w:rFonts w:ascii="Arial" w:hAnsi="Arial" w:cs="Arial"/>
          <w:color w:val="000000"/>
          <w:sz w:val="22"/>
          <w:szCs w:val="22"/>
        </w:rPr>
        <w:t xml:space="preserve">Para el seguimiento de los resultados, se utilizará la información publicada </w:t>
      </w:r>
      <w:r>
        <w:rPr>
          <w:rFonts w:ascii="Arial" w:hAnsi="Arial" w:cs="Arial"/>
          <w:color w:val="000000"/>
          <w:sz w:val="22"/>
          <w:szCs w:val="22"/>
        </w:rPr>
        <w:t>en medios</w:t>
      </w:r>
      <w:r w:rsidRPr="007C1307">
        <w:rPr>
          <w:rFonts w:ascii="Arial" w:hAnsi="Arial" w:cs="Arial"/>
          <w:color w:val="000000"/>
          <w:sz w:val="22"/>
          <w:szCs w:val="22"/>
        </w:rPr>
        <w:t xml:space="preserve"> oficiales</w:t>
      </w:r>
      <w:r>
        <w:rPr>
          <w:rFonts w:ascii="Arial" w:hAnsi="Arial" w:cs="Arial"/>
          <w:color w:val="000000"/>
          <w:sz w:val="22"/>
          <w:szCs w:val="22"/>
        </w:rPr>
        <w:t xml:space="preserve"> por parte del </w:t>
      </w:r>
      <w:r w:rsidRPr="007C1307">
        <w:rPr>
          <w:rFonts w:ascii="Arial" w:hAnsi="Arial" w:cs="Arial"/>
          <w:color w:val="000000"/>
          <w:sz w:val="22"/>
          <w:szCs w:val="22"/>
        </w:rPr>
        <w:t>Gobierno</w:t>
      </w:r>
      <w:r>
        <w:rPr>
          <w:rFonts w:ascii="Arial" w:hAnsi="Arial" w:cs="Arial"/>
          <w:color w:val="000000"/>
          <w:sz w:val="22"/>
          <w:szCs w:val="22"/>
        </w:rPr>
        <w:t>. También se utilizará</w:t>
      </w:r>
      <w:r w:rsidR="001C362E">
        <w:rPr>
          <w:rFonts w:ascii="Arial" w:hAnsi="Arial" w:cs="Arial"/>
          <w:color w:val="000000"/>
          <w:sz w:val="22"/>
          <w:szCs w:val="22"/>
        </w:rPr>
        <w:t xml:space="preserve">n otras fuentes de información, las cuales se encuentran especificadas en la columna de medios de verificación de la </w:t>
      </w:r>
      <w:r w:rsidR="00483BA2">
        <w:rPr>
          <w:rFonts w:ascii="Arial" w:hAnsi="Arial" w:cs="Arial"/>
          <w:color w:val="000000"/>
          <w:sz w:val="22"/>
          <w:szCs w:val="22"/>
        </w:rPr>
        <w:t>MR</w:t>
      </w:r>
      <w:r w:rsidRPr="007C1307">
        <w:rPr>
          <w:rFonts w:ascii="Arial" w:hAnsi="Arial" w:cs="Arial"/>
          <w:color w:val="000000"/>
          <w:sz w:val="22"/>
          <w:szCs w:val="22"/>
        </w:rPr>
        <w:t>.</w:t>
      </w:r>
      <w:r w:rsidR="001C362E">
        <w:rPr>
          <w:rFonts w:ascii="Arial" w:hAnsi="Arial" w:cs="Arial"/>
          <w:color w:val="000000"/>
          <w:sz w:val="22"/>
          <w:szCs w:val="22"/>
        </w:rPr>
        <w:t xml:space="preserve"> </w:t>
      </w:r>
      <w:r w:rsidRPr="001C362E">
        <w:rPr>
          <w:rFonts w:ascii="Arial" w:hAnsi="Arial" w:cs="Arial"/>
          <w:color w:val="000000"/>
          <w:sz w:val="22"/>
          <w:szCs w:val="22"/>
        </w:rPr>
        <w:t>La información requerida para monitorear y verificar el cumplimiento de los indicadores se verificará en</w:t>
      </w:r>
      <w:r w:rsidR="001C362E">
        <w:rPr>
          <w:rFonts w:ascii="Arial" w:hAnsi="Arial" w:cs="Arial"/>
          <w:color w:val="000000"/>
          <w:sz w:val="22"/>
          <w:szCs w:val="22"/>
        </w:rPr>
        <w:t xml:space="preserve"> medios oficiales </w:t>
      </w:r>
      <w:r w:rsidRPr="001C362E">
        <w:rPr>
          <w:rFonts w:ascii="Arial" w:hAnsi="Arial" w:cs="Arial"/>
          <w:color w:val="000000"/>
          <w:sz w:val="22"/>
          <w:szCs w:val="22"/>
        </w:rPr>
        <w:t xml:space="preserve">o se </w:t>
      </w:r>
      <w:r w:rsidR="001C362E">
        <w:rPr>
          <w:rFonts w:ascii="Arial" w:hAnsi="Arial" w:cs="Arial"/>
          <w:color w:val="000000"/>
          <w:sz w:val="22"/>
          <w:szCs w:val="22"/>
        </w:rPr>
        <w:t xml:space="preserve">solicitará al </w:t>
      </w:r>
      <w:r w:rsidR="006B55AD">
        <w:rPr>
          <w:rFonts w:ascii="Arial" w:hAnsi="Arial" w:cs="Arial"/>
          <w:color w:val="000000"/>
          <w:sz w:val="22"/>
          <w:szCs w:val="22"/>
        </w:rPr>
        <w:t>OE</w:t>
      </w:r>
      <w:r w:rsidRPr="001C362E">
        <w:rPr>
          <w:rFonts w:ascii="Arial" w:hAnsi="Arial" w:cs="Arial"/>
          <w:color w:val="000000"/>
          <w:sz w:val="22"/>
          <w:szCs w:val="22"/>
        </w:rPr>
        <w:t>.</w:t>
      </w:r>
      <w:r w:rsidRPr="00E6181F">
        <w:rPr>
          <w:rFonts w:ascii="Arial" w:hAnsi="Arial" w:cs="Arial"/>
          <w:color w:val="000000"/>
          <w:sz w:val="22"/>
          <w:szCs w:val="22"/>
        </w:rPr>
        <w:t xml:space="preserve"> </w:t>
      </w:r>
    </w:p>
    <w:p w14:paraId="1B5C5596" w14:textId="77777777" w:rsidR="001F64ED" w:rsidRPr="00EB0154" w:rsidRDefault="001F64ED" w:rsidP="005009E2">
      <w:pPr>
        <w:pStyle w:val="FirstHeading"/>
        <w:ind w:left="720"/>
        <w:rPr>
          <w:rFonts w:ascii="Arial" w:hAnsi="Arial" w:cs="Arial"/>
          <w:noProof/>
          <w:sz w:val="22"/>
          <w:szCs w:val="22"/>
        </w:rPr>
      </w:pPr>
      <w:bookmarkStart w:id="4" w:name="_Toc36166561"/>
      <w:r>
        <w:rPr>
          <w:rFonts w:ascii="Arial" w:hAnsi="Arial" w:cs="Arial"/>
          <w:sz w:val="22"/>
          <w:szCs w:val="22"/>
        </w:rPr>
        <w:t>C</w:t>
      </w:r>
      <w:r w:rsidRPr="00EB0154">
        <w:rPr>
          <w:rFonts w:ascii="Arial" w:hAnsi="Arial" w:cs="Arial"/>
          <w:sz w:val="22"/>
          <w:szCs w:val="22"/>
        </w:rPr>
        <w:t>.</w:t>
      </w:r>
      <w:r w:rsidRPr="00EB0154">
        <w:rPr>
          <w:rFonts w:ascii="Arial" w:hAnsi="Arial" w:cs="Arial"/>
          <w:sz w:val="22"/>
          <w:szCs w:val="22"/>
        </w:rPr>
        <w:tab/>
      </w:r>
      <w:r>
        <w:rPr>
          <w:rFonts w:ascii="Arial" w:hAnsi="Arial" w:cs="Arial"/>
          <w:sz w:val="22"/>
          <w:szCs w:val="22"/>
        </w:rPr>
        <w:t>Presentación de informes</w:t>
      </w:r>
      <w:bookmarkEnd w:id="4"/>
    </w:p>
    <w:p w14:paraId="343FA23A" w14:textId="1A555829" w:rsidR="009F6FC6" w:rsidRPr="00E6181F" w:rsidRDefault="00B9411E" w:rsidP="00E6181F">
      <w:pPr>
        <w:pStyle w:val="Paragraph"/>
        <w:tabs>
          <w:tab w:val="clear" w:pos="2448"/>
          <w:tab w:val="num" w:pos="720"/>
          <w:tab w:val="num" w:pos="1440"/>
        </w:tabs>
        <w:ind w:left="720" w:hanging="720"/>
        <w:rPr>
          <w:rFonts w:ascii="Arial" w:hAnsi="Arial" w:cs="Arial"/>
          <w:color w:val="000000"/>
          <w:sz w:val="22"/>
          <w:szCs w:val="22"/>
        </w:rPr>
      </w:pPr>
      <w:r w:rsidRPr="00B9411E">
        <w:rPr>
          <w:rFonts w:ascii="Arial" w:hAnsi="Arial" w:cs="Arial"/>
          <w:b/>
          <w:bCs/>
          <w:color w:val="000000"/>
          <w:sz w:val="22"/>
          <w:szCs w:val="22"/>
        </w:rPr>
        <w:t xml:space="preserve">Informe de cumplimiento de condiciones </w:t>
      </w:r>
      <w:r>
        <w:rPr>
          <w:rFonts w:ascii="Arial" w:hAnsi="Arial" w:cs="Arial"/>
          <w:b/>
          <w:bCs/>
          <w:color w:val="000000"/>
          <w:sz w:val="22"/>
          <w:szCs w:val="22"/>
        </w:rPr>
        <w:t>de</w:t>
      </w:r>
      <w:r w:rsidRPr="00B9411E">
        <w:rPr>
          <w:rFonts w:ascii="Arial" w:hAnsi="Arial" w:cs="Arial"/>
          <w:b/>
          <w:bCs/>
          <w:color w:val="000000"/>
          <w:sz w:val="22"/>
          <w:szCs w:val="22"/>
        </w:rPr>
        <w:t xml:space="preserve"> desembolso</w:t>
      </w:r>
      <w:r>
        <w:rPr>
          <w:rFonts w:ascii="Arial" w:hAnsi="Arial" w:cs="Arial"/>
          <w:color w:val="000000"/>
          <w:sz w:val="22"/>
          <w:szCs w:val="22"/>
        </w:rPr>
        <w:t xml:space="preserve">. </w:t>
      </w:r>
      <w:r w:rsidR="001F64ED" w:rsidRPr="00AB1F0C">
        <w:rPr>
          <w:rFonts w:ascii="Arial" w:hAnsi="Arial" w:cs="Arial"/>
          <w:color w:val="000000"/>
          <w:sz w:val="22"/>
          <w:szCs w:val="22"/>
        </w:rPr>
        <w:t xml:space="preserve">El principal insumo de monitoreo de la operación será el informe </w:t>
      </w:r>
      <w:r w:rsidR="00AB1F0C" w:rsidRPr="00AB1F0C">
        <w:rPr>
          <w:rFonts w:ascii="Arial" w:hAnsi="Arial" w:cs="Arial"/>
          <w:color w:val="000000"/>
          <w:sz w:val="22"/>
          <w:szCs w:val="22"/>
        </w:rPr>
        <w:t>sobre el</w:t>
      </w:r>
      <w:r w:rsidR="001F64ED" w:rsidRPr="00AB1F0C">
        <w:rPr>
          <w:rFonts w:ascii="Arial" w:hAnsi="Arial" w:cs="Arial"/>
          <w:color w:val="000000"/>
          <w:sz w:val="22"/>
          <w:szCs w:val="22"/>
        </w:rPr>
        <w:t xml:space="preserve"> cumplimiento de</w:t>
      </w:r>
      <w:r w:rsidR="00AB1F0C" w:rsidRPr="00AB1F0C">
        <w:rPr>
          <w:rFonts w:ascii="Arial" w:hAnsi="Arial" w:cs="Arial"/>
          <w:color w:val="000000"/>
          <w:sz w:val="22"/>
          <w:szCs w:val="22"/>
        </w:rPr>
        <w:t xml:space="preserve"> condiciones para desembolso</w:t>
      </w:r>
      <w:r w:rsidR="001F64ED" w:rsidRPr="00AB1F0C">
        <w:rPr>
          <w:rFonts w:ascii="Arial" w:hAnsi="Arial" w:cs="Arial"/>
          <w:color w:val="000000"/>
          <w:sz w:val="22"/>
          <w:szCs w:val="22"/>
        </w:rPr>
        <w:t xml:space="preserve"> del préstamo</w:t>
      </w:r>
      <w:r w:rsidR="00AB1F0C" w:rsidRPr="00AB1F0C">
        <w:rPr>
          <w:rFonts w:ascii="Arial" w:hAnsi="Arial" w:cs="Arial"/>
          <w:color w:val="000000"/>
          <w:sz w:val="22"/>
          <w:szCs w:val="22"/>
        </w:rPr>
        <w:t>. Este informe</w:t>
      </w:r>
      <w:r w:rsidR="00AB1F0C">
        <w:rPr>
          <w:rFonts w:ascii="Arial" w:hAnsi="Arial" w:cs="Arial"/>
          <w:color w:val="000000"/>
          <w:sz w:val="22"/>
          <w:szCs w:val="22"/>
        </w:rPr>
        <w:t xml:space="preserve"> </w:t>
      </w:r>
      <w:r w:rsidR="001F64ED" w:rsidRPr="00AB1F0C">
        <w:rPr>
          <w:rFonts w:ascii="Arial" w:hAnsi="Arial" w:cs="Arial"/>
          <w:color w:val="000000"/>
          <w:sz w:val="22"/>
          <w:szCs w:val="22"/>
        </w:rPr>
        <w:t>verificar</w:t>
      </w:r>
      <w:r w:rsidR="001C362E" w:rsidRPr="00AB1F0C">
        <w:rPr>
          <w:rFonts w:ascii="Arial" w:hAnsi="Arial" w:cs="Arial"/>
          <w:color w:val="000000"/>
          <w:sz w:val="22"/>
          <w:szCs w:val="22"/>
        </w:rPr>
        <w:t>á</w:t>
      </w:r>
      <w:r w:rsidR="001F64ED" w:rsidRPr="00AB1F0C">
        <w:rPr>
          <w:rFonts w:ascii="Arial" w:hAnsi="Arial" w:cs="Arial"/>
          <w:color w:val="000000"/>
          <w:sz w:val="22"/>
          <w:szCs w:val="22"/>
        </w:rPr>
        <w:t xml:space="preserve"> el cumplimiento de los compromisos definidos para esta operación en la </w:t>
      </w:r>
      <w:r w:rsidR="00AB1F0C">
        <w:rPr>
          <w:rFonts w:ascii="Arial" w:hAnsi="Arial" w:cs="Arial"/>
          <w:color w:val="000000"/>
          <w:sz w:val="22"/>
          <w:szCs w:val="22"/>
        </w:rPr>
        <w:t>MP</w:t>
      </w:r>
      <w:r w:rsidR="001F64ED" w:rsidRPr="00AB1F0C">
        <w:rPr>
          <w:rFonts w:ascii="Arial" w:hAnsi="Arial" w:cs="Arial"/>
          <w:color w:val="000000"/>
          <w:sz w:val="22"/>
          <w:szCs w:val="22"/>
        </w:rPr>
        <w:t xml:space="preserve"> (ver Anexo II</w:t>
      </w:r>
      <w:r w:rsidR="002B7EF4">
        <w:rPr>
          <w:rFonts w:ascii="Arial" w:hAnsi="Arial" w:cs="Arial"/>
          <w:color w:val="000000"/>
          <w:sz w:val="22"/>
          <w:szCs w:val="22"/>
        </w:rPr>
        <w:t>)</w:t>
      </w:r>
      <w:r w:rsidR="001F64ED" w:rsidRPr="00AB1F0C">
        <w:rPr>
          <w:rFonts w:ascii="Arial" w:hAnsi="Arial" w:cs="Arial"/>
          <w:color w:val="000000"/>
          <w:sz w:val="22"/>
          <w:szCs w:val="22"/>
        </w:rPr>
        <w:t xml:space="preserve"> </w:t>
      </w:r>
      <w:r w:rsidR="00AB1F0C">
        <w:rPr>
          <w:rFonts w:ascii="Arial" w:hAnsi="Arial" w:cs="Arial"/>
          <w:color w:val="000000"/>
          <w:sz w:val="22"/>
          <w:szCs w:val="22"/>
        </w:rPr>
        <w:t xml:space="preserve">y será elaborado </w:t>
      </w:r>
      <w:r w:rsidR="00AB1F0C" w:rsidRPr="007C1307">
        <w:rPr>
          <w:rFonts w:ascii="Arial" w:hAnsi="Arial" w:cs="Arial"/>
          <w:color w:val="000000"/>
          <w:sz w:val="22"/>
          <w:szCs w:val="22"/>
        </w:rPr>
        <w:t xml:space="preserve">posteriormente a la aprobación del </w:t>
      </w:r>
      <w:r w:rsidR="002B7EF4">
        <w:rPr>
          <w:rFonts w:ascii="Arial" w:hAnsi="Arial" w:cs="Arial"/>
          <w:color w:val="000000"/>
          <w:sz w:val="22"/>
          <w:szCs w:val="22"/>
        </w:rPr>
        <w:t>p</w:t>
      </w:r>
      <w:r w:rsidR="00AB1F0C" w:rsidRPr="007C1307">
        <w:rPr>
          <w:rFonts w:ascii="Arial" w:hAnsi="Arial" w:cs="Arial"/>
          <w:color w:val="000000"/>
          <w:sz w:val="22"/>
          <w:szCs w:val="22"/>
        </w:rPr>
        <w:t>rograma por parte del Directorio del Banco</w:t>
      </w:r>
      <w:r w:rsidR="00AB1F0C">
        <w:rPr>
          <w:rFonts w:ascii="Arial" w:hAnsi="Arial" w:cs="Arial"/>
          <w:color w:val="000000"/>
          <w:sz w:val="22"/>
          <w:szCs w:val="22"/>
        </w:rPr>
        <w:t>, una vez que todas las condiciones de la MP se encuentren cumplidas.</w:t>
      </w:r>
    </w:p>
    <w:p w14:paraId="639FC6D0" w14:textId="32D77641" w:rsidR="000B35E0" w:rsidRPr="000B35E0" w:rsidRDefault="000B35E0" w:rsidP="000B35E0">
      <w:pPr>
        <w:pStyle w:val="Paragraph"/>
        <w:tabs>
          <w:tab w:val="clear" w:pos="2448"/>
          <w:tab w:val="num" w:pos="720"/>
          <w:tab w:val="num" w:pos="1440"/>
        </w:tabs>
        <w:ind w:left="720" w:hanging="720"/>
        <w:rPr>
          <w:rFonts w:ascii="Arial" w:hAnsi="Arial" w:cs="Arial"/>
          <w:color w:val="000000"/>
          <w:sz w:val="22"/>
          <w:szCs w:val="22"/>
        </w:rPr>
      </w:pPr>
      <w:r w:rsidRPr="000B35E0">
        <w:rPr>
          <w:rFonts w:ascii="Arial" w:hAnsi="Arial" w:cs="Arial"/>
          <w:b/>
          <w:bCs/>
          <w:color w:val="000000"/>
          <w:sz w:val="22"/>
          <w:szCs w:val="22"/>
          <w:lang w:val="es-BO"/>
        </w:rPr>
        <w:lastRenderedPageBreak/>
        <w:t>Informe de Monitoreo de Progreso</w:t>
      </w:r>
      <w:r w:rsidR="000533D7">
        <w:rPr>
          <w:rFonts w:ascii="Arial" w:hAnsi="Arial" w:cs="Arial"/>
          <w:b/>
          <w:bCs/>
          <w:color w:val="000000"/>
          <w:sz w:val="22"/>
          <w:szCs w:val="22"/>
          <w:lang w:val="es-BO"/>
        </w:rPr>
        <w:t xml:space="preserve"> (PMR)</w:t>
      </w:r>
      <w:r w:rsidRPr="000B35E0">
        <w:rPr>
          <w:rFonts w:ascii="Arial" w:hAnsi="Arial" w:cs="Arial"/>
          <w:color w:val="000000"/>
          <w:sz w:val="22"/>
          <w:szCs w:val="22"/>
          <w:lang w:val="es-BO"/>
        </w:rPr>
        <w:t xml:space="preserve">. </w:t>
      </w:r>
      <w:r w:rsidRPr="009A50B7">
        <w:rPr>
          <w:rFonts w:ascii="Arial" w:hAnsi="Arial" w:cs="Arial"/>
          <w:color w:val="000000"/>
          <w:sz w:val="22"/>
          <w:szCs w:val="22"/>
          <w:lang w:val="es-BO"/>
        </w:rPr>
        <w:t>La herramienta principal para reportar el monitoreo</w:t>
      </w:r>
      <w:r w:rsidR="009A50B7" w:rsidRPr="009A50B7">
        <w:rPr>
          <w:rFonts w:ascii="Arial" w:hAnsi="Arial" w:cs="Arial"/>
          <w:color w:val="000000"/>
          <w:sz w:val="22"/>
          <w:szCs w:val="22"/>
          <w:lang w:val="es-BO"/>
        </w:rPr>
        <w:t xml:space="preserve"> del </w:t>
      </w:r>
      <w:r w:rsidR="00DB7FFB">
        <w:rPr>
          <w:rFonts w:ascii="Arial" w:hAnsi="Arial" w:cs="Arial"/>
          <w:color w:val="000000"/>
          <w:sz w:val="22"/>
          <w:szCs w:val="22"/>
          <w:lang w:val="es-BO"/>
        </w:rPr>
        <w:t xml:space="preserve">programa </w:t>
      </w:r>
      <w:r w:rsidR="009A50B7" w:rsidRPr="009A50B7">
        <w:rPr>
          <w:rFonts w:ascii="Arial" w:hAnsi="Arial" w:cs="Arial"/>
          <w:color w:val="000000"/>
          <w:sz w:val="22"/>
          <w:szCs w:val="22"/>
          <w:lang w:val="es-BO"/>
        </w:rPr>
        <w:t>es</w:t>
      </w:r>
      <w:r w:rsidR="009A50B7">
        <w:rPr>
          <w:rFonts w:ascii="Arial" w:hAnsi="Arial" w:cs="Arial"/>
          <w:color w:val="000000"/>
          <w:sz w:val="22"/>
          <w:szCs w:val="22"/>
          <w:lang w:val="es-BO"/>
        </w:rPr>
        <w:t xml:space="preserve"> el Informe de Monitoreo de Progreso (PMR). </w:t>
      </w:r>
      <w:r w:rsidR="00EB7F2A" w:rsidRPr="00DB7FFB">
        <w:rPr>
          <w:rFonts w:ascii="Arial" w:hAnsi="Arial" w:cs="Arial"/>
          <w:color w:val="000000"/>
          <w:sz w:val="22"/>
          <w:szCs w:val="22"/>
          <w:lang w:val="es-BO"/>
        </w:rPr>
        <w:t>Las fuentes de información primarias</w:t>
      </w:r>
      <w:r w:rsidR="00DB7FFB" w:rsidRPr="00DB7FFB">
        <w:rPr>
          <w:rFonts w:ascii="Arial" w:hAnsi="Arial" w:cs="Arial"/>
          <w:color w:val="000000"/>
          <w:sz w:val="22"/>
          <w:szCs w:val="22"/>
          <w:lang w:val="es-BO"/>
        </w:rPr>
        <w:t xml:space="preserve"> para alimentar el PMR incl</w:t>
      </w:r>
      <w:r w:rsidR="00DB7FFB">
        <w:rPr>
          <w:rFonts w:ascii="Arial" w:hAnsi="Arial" w:cs="Arial"/>
          <w:color w:val="000000"/>
          <w:sz w:val="22"/>
          <w:szCs w:val="22"/>
          <w:lang w:val="es-BO"/>
        </w:rPr>
        <w:t>uirán: la M</w:t>
      </w:r>
      <w:r w:rsidR="00981042">
        <w:rPr>
          <w:rFonts w:ascii="Arial" w:hAnsi="Arial" w:cs="Arial"/>
          <w:color w:val="000000"/>
          <w:sz w:val="22"/>
          <w:szCs w:val="22"/>
          <w:lang w:val="es-BO"/>
        </w:rPr>
        <w:t>R</w:t>
      </w:r>
      <w:r w:rsidR="00DB7FFB">
        <w:rPr>
          <w:rFonts w:ascii="Arial" w:hAnsi="Arial" w:cs="Arial"/>
          <w:color w:val="000000"/>
          <w:sz w:val="22"/>
          <w:szCs w:val="22"/>
          <w:lang w:val="es-BO"/>
        </w:rPr>
        <w:t xml:space="preserve">, Matriz de Riesgos, reportes financieros auditados, entre otros. </w:t>
      </w:r>
    </w:p>
    <w:p w14:paraId="16AC3426" w14:textId="5337BE20" w:rsidR="00651BB6" w:rsidRPr="00B9411E" w:rsidRDefault="00B9411E" w:rsidP="00B9411E">
      <w:pPr>
        <w:pStyle w:val="Paragraph"/>
        <w:tabs>
          <w:tab w:val="clear" w:pos="2448"/>
          <w:tab w:val="num" w:pos="720"/>
          <w:tab w:val="num" w:pos="1440"/>
        </w:tabs>
        <w:ind w:left="720" w:hanging="720"/>
        <w:rPr>
          <w:rFonts w:ascii="Arial" w:hAnsi="Arial" w:cs="Arial"/>
          <w:color w:val="000000"/>
          <w:sz w:val="22"/>
          <w:szCs w:val="22"/>
        </w:rPr>
        <w:sectPr w:rsidR="00651BB6" w:rsidRPr="00B9411E" w:rsidSect="009F6FC6">
          <w:type w:val="continuous"/>
          <w:pgSz w:w="12240" w:h="15840" w:code="1"/>
          <w:pgMar w:top="1440" w:right="1800" w:bottom="1440" w:left="1800" w:header="706" w:footer="706" w:gutter="0"/>
          <w:pgNumType w:start="1"/>
          <w:cols w:space="720"/>
          <w:formProt w:val="0"/>
          <w:docGrid w:linePitch="326"/>
        </w:sectPr>
      </w:pPr>
      <w:r w:rsidRPr="00B9411E">
        <w:rPr>
          <w:rFonts w:ascii="Arial" w:hAnsi="Arial" w:cs="Arial"/>
          <w:b/>
          <w:bCs/>
          <w:color w:val="000000"/>
          <w:sz w:val="22"/>
          <w:szCs w:val="22"/>
        </w:rPr>
        <w:t>Informe de Terminación de Proyecto</w:t>
      </w:r>
      <w:r w:rsidR="000533D7">
        <w:rPr>
          <w:rFonts w:ascii="Arial" w:hAnsi="Arial" w:cs="Arial"/>
          <w:b/>
          <w:bCs/>
          <w:color w:val="000000"/>
          <w:sz w:val="22"/>
          <w:szCs w:val="22"/>
        </w:rPr>
        <w:t xml:space="preserve"> (PCR)</w:t>
      </w:r>
      <w:r>
        <w:rPr>
          <w:rFonts w:ascii="Arial" w:hAnsi="Arial" w:cs="Arial"/>
          <w:color w:val="000000"/>
          <w:sz w:val="22"/>
          <w:szCs w:val="22"/>
        </w:rPr>
        <w:t>. E</w:t>
      </w:r>
      <w:r w:rsidR="00AB1F0C" w:rsidRPr="00E6181F">
        <w:rPr>
          <w:rFonts w:ascii="Arial" w:hAnsi="Arial" w:cs="Arial"/>
          <w:color w:val="000000"/>
          <w:sz w:val="22"/>
          <w:szCs w:val="22"/>
        </w:rPr>
        <w:t xml:space="preserve">l Informe de Terminación de Proyecto (PCR, por su sigla en inglés), </w:t>
      </w:r>
      <w:r w:rsidRPr="00AB1F0C">
        <w:rPr>
          <w:rFonts w:ascii="Arial" w:hAnsi="Arial" w:cs="Arial"/>
          <w:color w:val="000000"/>
          <w:sz w:val="22"/>
          <w:szCs w:val="22"/>
        </w:rPr>
        <w:t>examinará los resultados alcanzados por el programa, medidos en cuanto al logro de las metas y desempeño de los indicadores establecidos en la M</w:t>
      </w:r>
      <w:r w:rsidR="00981042">
        <w:rPr>
          <w:rFonts w:ascii="Arial" w:hAnsi="Arial" w:cs="Arial"/>
          <w:color w:val="000000"/>
          <w:sz w:val="22"/>
          <w:szCs w:val="22"/>
        </w:rPr>
        <w:t>R</w:t>
      </w:r>
      <w:r>
        <w:rPr>
          <w:rFonts w:ascii="Arial" w:hAnsi="Arial" w:cs="Arial"/>
          <w:color w:val="000000"/>
          <w:sz w:val="22"/>
          <w:szCs w:val="22"/>
        </w:rPr>
        <w:t xml:space="preserve">. EL PCR </w:t>
      </w:r>
      <w:r w:rsidR="00AB1F0C" w:rsidRPr="00E6181F">
        <w:rPr>
          <w:rFonts w:ascii="Arial" w:hAnsi="Arial" w:cs="Arial"/>
          <w:color w:val="000000"/>
          <w:sz w:val="22"/>
          <w:szCs w:val="22"/>
        </w:rPr>
        <w:t>se presentará en los tiempos establecidos en el documento de Marco de Efectividad en el Desarrollo vigente</w:t>
      </w:r>
      <w:r>
        <w:rPr>
          <w:rFonts w:ascii="Arial" w:hAnsi="Arial" w:cs="Arial"/>
          <w:color w:val="000000"/>
          <w:sz w:val="22"/>
          <w:szCs w:val="22"/>
        </w:rPr>
        <w:t xml:space="preserve"> y contendrá el informe de cumplimiento de condiciones de desembolso.</w:t>
      </w:r>
    </w:p>
    <w:p w14:paraId="19CB5DED" w14:textId="03938025" w:rsidR="00441FF0" w:rsidRDefault="009F6FC6" w:rsidP="002B4219">
      <w:pPr>
        <w:spacing w:after="120"/>
        <w:jc w:val="center"/>
        <w:rPr>
          <w:rFonts w:ascii="Arial" w:hAnsi="Arial" w:cs="Arial"/>
          <w:b/>
          <w:bCs/>
          <w:sz w:val="22"/>
          <w:szCs w:val="18"/>
        </w:rPr>
      </w:pPr>
      <w:r w:rsidRPr="008E51AD">
        <w:rPr>
          <w:rFonts w:ascii="Arial" w:hAnsi="Arial" w:cs="Arial"/>
          <w:b/>
          <w:bCs/>
          <w:sz w:val="22"/>
          <w:szCs w:val="18"/>
        </w:rPr>
        <w:lastRenderedPageBreak/>
        <w:t>Cuadro 1</w:t>
      </w:r>
      <w:r w:rsidR="008A049C">
        <w:rPr>
          <w:rFonts w:ascii="Arial" w:hAnsi="Arial" w:cs="Arial"/>
          <w:b/>
          <w:bCs/>
          <w:sz w:val="22"/>
          <w:szCs w:val="18"/>
        </w:rPr>
        <w:t xml:space="preserve">. </w:t>
      </w:r>
      <w:r w:rsidRPr="008E51AD">
        <w:rPr>
          <w:rFonts w:ascii="Arial" w:hAnsi="Arial" w:cs="Arial"/>
          <w:b/>
          <w:bCs/>
          <w:sz w:val="22"/>
          <w:szCs w:val="18"/>
        </w:rPr>
        <w:t>Indicadores de Productos</w:t>
      </w:r>
      <w:r w:rsidR="00566708" w:rsidRPr="008E51AD">
        <w:rPr>
          <w:rFonts w:ascii="Arial" w:hAnsi="Arial" w:cs="Arial"/>
          <w:b/>
          <w:bCs/>
          <w:sz w:val="22"/>
          <w:szCs w:val="18"/>
        </w:rPr>
        <w:t xml:space="preserve"> </w:t>
      </w:r>
    </w:p>
    <w:p w14:paraId="02C4D6DC" w14:textId="77777777" w:rsidR="009F6FC6" w:rsidRDefault="009F6FC6" w:rsidP="009F6FC6">
      <w:pPr>
        <w:pStyle w:val="FirstHeading"/>
        <w:spacing w:after="0"/>
        <w:rPr>
          <w:rFonts w:ascii="Arial" w:hAnsi="Arial" w:cs="Arial"/>
          <w:sz w:val="22"/>
          <w:szCs w:val="22"/>
        </w:rPr>
      </w:pPr>
    </w:p>
    <w:tbl>
      <w:tblPr>
        <w:tblW w:w="1334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590"/>
        <w:gridCol w:w="1260"/>
        <w:gridCol w:w="990"/>
        <w:gridCol w:w="1350"/>
        <w:gridCol w:w="990"/>
        <w:gridCol w:w="1710"/>
        <w:gridCol w:w="2453"/>
      </w:tblGrid>
      <w:tr w:rsidR="00DC09C3" w:rsidRPr="00E801A2" w14:paraId="17426271" w14:textId="77777777" w:rsidTr="00E34630">
        <w:trPr>
          <w:trHeight w:val="1070"/>
          <w:tblHead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1A605BA"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Productos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368B29"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Unidad de Medida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C856E86"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 xml:space="preserve">Línea de Base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5EDE13A"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 xml:space="preserve">Año </w:t>
            </w:r>
          </w:p>
          <w:p w14:paraId="11E619AF"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Línea de Base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373F71C"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Meta Final</w:t>
            </w:r>
          </w:p>
          <w:p w14:paraId="52DBD146"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(2020)</w:t>
            </w:r>
            <w:r w:rsidRPr="00E801A2">
              <w:rPr>
                <w:rStyle w:val="FootnoteReference"/>
                <w:rFonts w:ascii="Arial" w:hAnsi="Arial" w:cs="Arial"/>
                <w:b/>
                <w:color w:val="D9D9D9" w:themeColor="background1" w:themeShade="D9"/>
                <w:sz w:val="20"/>
                <w:lang w:val="es-MX" w:eastAsia="zh-CN"/>
              </w:rPr>
              <w:footnoteReference w:id="2"/>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5F85E0B"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Medios de Verificación</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43CB040" w14:textId="77777777" w:rsidR="00DC09C3" w:rsidRPr="00E801A2" w:rsidRDefault="00DC09C3" w:rsidP="00E34630">
            <w:pPr>
              <w:jc w:val="center"/>
              <w:rPr>
                <w:rFonts w:ascii="Arial" w:hAnsi="Arial" w:cs="Arial"/>
                <w:b/>
                <w:sz w:val="20"/>
                <w:lang w:val="es-MX" w:eastAsia="zh-CN"/>
              </w:rPr>
            </w:pPr>
            <w:r w:rsidRPr="00E801A2">
              <w:rPr>
                <w:rFonts w:ascii="Arial" w:hAnsi="Arial" w:cs="Arial"/>
                <w:b/>
                <w:sz w:val="20"/>
                <w:lang w:val="es-MX" w:eastAsia="zh-CN"/>
              </w:rPr>
              <w:t>Comentarios</w:t>
            </w:r>
          </w:p>
        </w:tc>
      </w:tr>
      <w:tr w:rsidR="00DC09C3" w:rsidRPr="00105987" w14:paraId="3EBD34F7" w14:textId="77777777" w:rsidTr="00E34630">
        <w:trPr>
          <w:trHeight w:val="64"/>
        </w:trPr>
        <w:tc>
          <w:tcPr>
            <w:tcW w:w="13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14:paraId="68C73EB3" w14:textId="77777777" w:rsidR="00DC09C3" w:rsidRPr="00105987" w:rsidRDefault="00DC09C3" w:rsidP="00E34630">
            <w:pPr>
              <w:spacing w:before="60" w:after="60"/>
              <w:rPr>
                <w:rFonts w:ascii="Arial" w:hAnsi="Arial" w:cs="Arial"/>
                <w:b/>
                <w:sz w:val="20"/>
                <w:lang w:val="es-MX" w:eastAsia="zh-CN"/>
              </w:rPr>
            </w:pPr>
            <w:r w:rsidRPr="00105987">
              <w:rPr>
                <w:rFonts w:ascii="Arial" w:hAnsi="Arial" w:cs="Arial"/>
                <w:b/>
                <w:sz w:val="20"/>
                <w:lang w:val="es-MX" w:eastAsia="zh-CN"/>
              </w:rPr>
              <w:t xml:space="preserve">Componente </w:t>
            </w:r>
            <w:r>
              <w:rPr>
                <w:rFonts w:ascii="Arial" w:hAnsi="Arial" w:cs="Arial"/>
                <w:b/>
                <w:sz w:val="20"/>
                <w:lang w:val="es-MX" w:eastAsia="zh-CN"/>
              </w:rPr>
              <w:t>2.</w:t>
            </w:r>
            <w:r w:rsidRPr="00823623">
              <w:rPr>
                <w:rFonts w:ascii="Arial" w:hAnsi="Arial" w:cs="Arial"/>
                <w:b/>
                <w:sz w:val="20"/>
                <w:lang w:val="es-MX" w:eastAsia="zh-CN"/>
              </w:rPr>
              <w:t xml:space="preserve"> </w:t>
            </w:r>
            <w:r w:rsidRPr="00823623">
              <w:rPr>
                <w:rFonts w:ascii="Arial" w:hAnsi="Arial" w:cs="Arial"/>
                <w:b/>
                <w:bCs/>
                <w:spacing w:val="-4"/>
                <w:sz w:val="20"/>
                <w:lang w:val="es-MX"/>
              </w:rPr>
              <w:t>Fortalecimiento de la política</w:t>
            </w:r>
            <w:r>
              <w:rPr>
                <w:rFonts w:ascii="Arial" w:hAnsi="Arial" w:cs="Arial"/>
                <w:b/>
                <w:bCs/>
                <w:spacing w:val="-4"/>
                <w:sz w:val="20"/>
                <w:lang w:val="es-MX"/>
              </w:rPr>
              <w:t xml:space="preserve"> pública</w:t>
            </w:r>
            <w:r w:rsidRPr="00823623">
              <w:rPr>
                <w:rFonts w:ascii="Arial" w:hAnsi="Arial" w:cs="Arial"/>
                <w:b/>
                <w:bCs/>
                <w:spacing w:val="-4"/>
                <w:sz w:val="20"/>
                <w:lang w:val="es-MX"/>
              </w:rPr>
              <w:t xml:space="preserve"> y gestión fiscal para la atención de la crisis sanitaria causada por el COVID-19</w:t>
            </w:r>
            <w:r>
              <w:rPr>
                <w:rFonts w:ascii="Arial" w:hAnsi="Arial" w:cs="Arial"/>
                <w:b/>
                <w:bCs/>
                <w:spacing w:val="-4"/>
                <w:sz w:val="20"/>
                <w:lang w:val="es-MX"/>
              </w:rPr>
              <w:t>.</w:t>
            </w:r>
          </w:p>
        </w:tc>
      </w:tr>
      <w:tr w:rsidR="002D3BFE" w:rsidRPr="00021B3F" w14:paraId="09B0774A" w14:textId="77777777" w:rsidTr="00E34630">
        <w:trPr>
          <w:trHeight w:val="6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5BCB2" w14:textId="73D0387E" w:rsidR="002D3BFE" w:rsidRPr="005A6C34" w:rsidRDefault="002D3BFE" w:rsidP="002D3BFE">
            <w:pPr>
              <w:pStyle w:val="ListParagraph"/>
              <w:spacing w:before="40" w:after="40"/>
              <w:ind w:left="0"/>
              <w:jc w:val="both"/>
              <w:rPr>
                <w:rFonts w:ascii="Arial" w:hAnsi="Arial" w:cs="Arial"/>
                <w:sz w:val="20"/>
                <w:lang w:val="es-ES"/>
              </w:rPr>
            </w:pPr>
            <w:r w:rsidRPr="005A6C34">
              <w:rPr>
                <w:rFonts w:ascii="Arial" w:hAnsi="Arial" w:cs="Arial"/>
                <w:spacing w:val="-4"/>
                <w:sz w:val="20"/>
                <w:lang w:val="es-ES"/>
              </w:rPr>
              <w:t xml:space="preserve">Normativa de autorización al gobierno de un endeudamiento excepcional de </w:t>
            </w:r>
            <w:r>
              <w:rPr>
                <w:rFonts w:ascii="Arial" w:hAnsi="Arial" w:cs="Arial"/>
                <w:spacing w:val="-4"/>
                <w:sz w:val="20"/>
                <w:lang w:val="es-ES"/>
              </w:rPr>
              <w:t>US</w:t>
            </w:r>
            <w:r w:rsidRPr="005A6C34">
              <w:rPr>
                <w:rFonts w:ascii="Arial" w:hAnsi="Arial" w:cs="Arial"/>
                <w:spacing w:val="-4"/>
                <w:sz w:val="20"/>
                <w:lang w:val="es-ES"/>
              </w:rPr>
              <w:t>$2.000</w:t>
            </w:r>
            <w:r>
              <w:rPr>
                <w:rFonts w:ascii="Arial" w:hAnsi="Arial" w:cs="Arial"/>
                <w:spacing w:val="-4"/>
                <w:sz w:val="20"/>
                <w:lang w:val="es-ES"/>
              </w:rPr>
              <w:t> </w:t>
            </w:r>
            <w:r w:rsidRPr="005A6C34">
              <w:rPr>
                <w:rFonts w:ascii="Arial" w:hAnsi="Arial" w:cs="Arial"/>
                <w:spacing w:val="-4"/>
                <w:sz w:val="20"/>
                <w:lang w:val="es-ES"/>
              </w:rPr>
              <w:t xml:space="preserve">millones para </w:t>
            </w:r>
            <w:r>
              <w:rPr>
                <w:rFonts w:ascii="Arial" w:hAnsi="Arial" w:cs="Arial"/>
                <w:spacing w:val="-4"/>
                <w:sz w:val="20"/>
                <w:lang w:val="es-ES"/>
              </w:rPr>
              <w:t xml:space="preserve">el </w:t>
            </w:r>
            <w:r w:rsidRPr="005A6C34">
              <w:rPr>
                <w:rFonts w:ascii="Arial" w:hAnsi="Arial" w:cs="Arial"/>
                <w:spacing w:val="-4"/>
                <w:sz w:val="20"/>
                <w:lang w:val="es-ES"/>
              </w:rPr>
              <w:t>financiamiento</w:t>
            </w:r>
            <w:r>
              <w:rPr>
                <w:rFonts w:ascii="Arial" w:hAnsi="Arial" w:cs="Arial"/>
                <w:spacing w:val="-4"/>
                <w:sz w:val="20"/>
                <w:lang w:val="es-ES"/>
              </w:rPr>
              <w:t xml:space="preserve"> de un FERRE</w:t>
            </w:r>
            <w:r w:rsidRPr="005A6C34">
              <w:rPr>
                <w:rFonts w:ascii="Arial" w:hAnsi="Arial" w:cs="Arial"/>
                <w:spacing w:val="-4"/>
                <w:sz w:val="20"/>
                <w:lang w:val="es-ES"/>
              </w:rPr>
              <w:t>, aprobada</w:t>
            </w:r>
            <w:r>
              <w:rPr>
                <w:rFonts w:ascii="Arial" w:hAnsi="Arial" w:cs="Arial"/>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4F81F" w14:textId="77777777" w:rsidR="002D3BFE" w:rsidRPr="00021B3F" w:rsidRDefault="002D3BFE" w:rsidP="002D3BFE">
            <w:pPr>
              <w:spacing w:before="40" w:after="40"/>
              <w:rPr>
                <w:rFonts w:ascii="Arial" w:hAnsi="Arial" w:cs="Arial"/>
                <w:sz w:val="20"/>
                <w:lang w:val="es-MX" w:eastAsia="zh-CN"/>
              </w:rPr>
            </w:pPr>
            <w:r w:rsidRPr="00021B3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6FB1" w14:textId="77777777" w:rsidR="002D3BFE" w:rsidRPr="00021B3F" w:rsidRDefault="002D3BFE" w:rsidP="002D3BFE">
            <w:pPr>
              <w:spacing w:before="40" w:after="40"/>
              <w:jc w:val="center"/>
              <w:rPr>
                <w:rFonts w:ascii="Arial" w:hAnsi="Arial" w:cs="Arial"/>
                <w:sz w:val="20"/>
                <w:lang w:val="es-MX" w:eastAsia="zh-CN"/>
              </w:rPr>
            </w:pPr>
            <w:r w:rsidRPr="00021B3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C9624" w14:textId="77777777" w:rsidR="002D3BFE" w:rsidRPr="00021B3F" w:rsidRDefault="002D3BFE" w:rsidP="002D3BFE">
            <w:pPr>
              <w:spacing w:before="40" w:after="40"/>
              <w:jc w:val="center"/>
              <w:rPr>
                <w:rFonts w:ascii="Arial" w:hAnsi="Arial" w:cs="Arial"/>
                <w:sz w:val="20"/>
                <w:lang w:val="es-MX" w:eastAsia="zh-CN"/>
              </w:rPr>
            </w:pPr>
            <w:r w:rsidRPr="00021B3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8CFCD" w14:textId="77777777" w:rsidR="002D3BFE" w:rsidRPr="00021B3F" w:rsidRDefault="002D3BFE" w:rsidP="002D3BFE">
            <w:pPr>
              <w:spacing w:before="40" w:after="40"/>
              <w:jc w:val="center"/>
              <w:rPr>
                <w:rFonts w:ascii="Arial" w:hAnsi="Arial" w:cs="Arial"/>
                <w:sz w:val="20"/>
                <w:lang w:val="es-MX" w:eastAsia="zh-CN"/>
              </w:rPr>
            </w:pPr>
            <w:r w:rsidRPr="00021B3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8B474" w14:textId="0F6E3250" w:rsidR="002D3BFE" w:rsidRPr="00021B3F" w:rsidRDefault="002D3BFE" w:rsidP="002D3BFE">
            <w:pPr>
              <w:spacing w:before="40" w:after="40"/>
              <w:rPr>
                <w:rFonts w:ascii="Arial" w:hAnsi="Arial" w:cs="Arial"/>
                <w:sz w:val="20"/>
                <w:lang w:val="es-MX" w:eastAsia="zh-CN"/>
              </w:rPr>
            </w:pPr>
            <w:r w:rsidRPr="00B110B9">
              <w:rPr>
                <w:rFonts w:ascii="Arial" w:hAnsi="Arial" w:cs="Arial"/>
                <w:sz w:val="20"/>
              </w:rPr>
              <w:t>Publicación en el Diario Oficial</w:t>
            </w:r>
            <w:r>
              <w:rPr>
                <w:rFonts w:ascii="Arial" w:hAnsi="Arial" w:cs="Arial"/>
                <w:sz w:val="20"/>
              </w:rPr>
              <w:t xml:space="preserve"> (DO) </w:t>
            </w:r>
            <w:r w:rsidRPr="00B110B9">
              <w:rPr>
                <w:rFonts w:ascii="Arial" w:hAnsi="Arial" w:cs="Arial"/>
                <w:sz w:val="20"/>
              </w:rPr>
              <w:t xml:space="preserve">del Decreto Legislativo </w:t>
            </w:r>
            <w:r>
              <w:rPr>
                <w:rFonts w:ascii="Arial" w:hAnsi="Arial" w:cs="Arial"/>
                <w:sz w:val="20"/>
              </w:rPr>
              <w:t xml:space="preserve">(DL) </w:t>
            </w:r>
            <w:r w:rsidRPr="00B110B9">
              <w:rPr>
                <w:rFonts w:ascii="Arial" w:hAnsi="Arial" w:cs="Arial"/>
                <w:sz w:val="20"/>
              </w:rPr>
              <w:t>608</w:t>
            </w:r>
            <w:r>
              <w:rPr>
                <w:rFonts w:ascii="Arial" w:hAnsi="Arial" w:cs="Arial"/>
                <w:sz w:val="20"/>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F9CD6" w14:textId="51CD0ADF" w:rsidR="002D3BFE" w:rsidRPr="00021B3F" w:rsidRDefault="002D3BFE" w:rsidP="002D3BFE">
            <w:pPr>
              <w:spacing w:before="40" w:after="40"/>
              <w:rPr>
                <w:rFonts w:ascii="Arial" w:hAnsi="Arial" w:cs="Arial"/>
                <w:sz w:val="20"/>
                <w:lang w:val="es-MX" w:eastAsia="zh-CN"/>
              </w:rPr>
            </w:pPr>
            <w:r w:rsidRPr="005A6C34">
              <w:rPr>
                <w:rFonts w:ascii="Arial" w:hAnsi="Arial" w:cs="Arial"/>
                <w:noProof/>
                <w:color w:val="000000"/>
                <w:sz w:val="20"/>
                <w:lang w:val="es-MX"/>
              </w:rPr>
              <w:t>Línea de base a inicio de año y metas a diciembre de cada año.</w:t>
            </w:r>
          </w:p>
        </w:tc>
      </w:tr>
      <w:tr w:rsidR="0066705A" w:rsidRPr="00021B3F" w14:paraId="3F6BAE02" w14:textId="77777777" w:rsidTr="00E34630">
        <w:trPr>
          <w:trHeight w:val="6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D188A" w14:textId="0A31B808" w:rsidR="0066705A" w:rsidRPr="00021B3F" w:rsidRDefault="0066705A" w:rsidP="0066705A">
            <w:pPr>
              <w:pStyle w:val="ListParagraph"/>
              <w:spacing w:before="40" w:after="40"/>
              <w:ind w:left="0"/>
              <w:rPr>
                <w:rFonts w:ascii="Arial" w:hAnsi="Arial" w:cs="Arial"/>
                <w:sz w:val="20"/>
                <w:lang w:val="es-MX" w:eastAsia="zh-CN"/>
              </w:rPr>
            </w:pPr>
            <w:r>
              <w:rPr>
                <w:rFonts w:ascii="Arial" w:hAnsi="Arial" w:cs="Arial"/>
                <w:spacing w:val="-4"/>
                <w:sz w:val="20"/>
                <w:lang w:val="es-ES"/>
              </w:rPr>
              <w:t>Portal web gubernamental con la publicación de los i</w:t>
            </w:r>
            <w:r w:rsidRPr="00D00761">
              <w:rPr>
                <w:rFonts w:ascii="Arial" w:hAnsi="Arial" w:cs="Arial"/>
                <w:spacing w:val="-4"/>
                <w:sz w:val="20"/>
                <w:lang w:val="es-ES"/>
              </w:rPr>
              <w:t>nformes sobre los gastos relacionados con la emergencia COVID-19 previstos en el D</w:t>
            </w:r>
            <w:r>
              <w:rPr>
                <w:rFonts w:ascii="Arial" w:hAnsi="Arial" w:cs="Arial"/>
                <w:spacing w:val="-4"/>
                <w:sz w:val="20"/>
                <w:lang w:val="es-ES"/>
              </w:rPr>
              <w:t>L</w:t>
            </w:r>
            <w:r w:rsidRPr="00D00761">
              <w:rPr>
                <w:rFonts w:ascii="Arial" w:hAnsi="Arial" w:cs="Arial"/>
                <w:spacing w:val="-4"/>
                <w:sz w:val="20"/>
                <w:lang w:val="es-ES"/>
              </w:rPr>
              <w:t xml:space="preserve"> 606</w:t>
            </w:r>
            <w:r>
              <w:rPr>
                <w:rFonts w:ascii="Arial" w:hAnsi="Arial" w:cs="Arial"/>
                <w:spacing w:val="-4"/>
                <w:sz w:val="20"/>
                <w:lang w:val="es-ES"/>
              </w:rPr>
              <w:t>, funcionando.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34AFD" w14:textId="7FA5EAD1" w:rsidR="0066705A" w:rsidRPr="00021B3F" w:rsidRDefault="0066705A" w:rsidP="0066705A">
            <w:pPr>
              <w:spacing w:before="40" w:after="40"/>
              <w:jc w:val="center"/>
              <w:rPr>
                <w:rFonts w:ascii="Arial" w:hAnsi="Arial" w:cs="Arial"/>
                <w:sz w:val="20"/>
                <w:lang w:val="es-MX" w:eastAsia="zh-CN"/>
              </w:rPr>
            </w:pPr>
            <w:r>
              <w:rPr>
                <w:rFonts w:ascii="Arial" w:hAnsi="Arial" w:cs="Arial"/>
                <w:sz w:val="20"/>
                <w:lang w:val="es-ES" w:eastAsia="zh-CN"/>
              </w:rPr>
              <w:t>Informes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0921E" w14:textId="5D697032" w:rsidR="0066705A" w:rsidRPr="00021B3F" w:rsidRDefault="0066705A" w:rsidP="0066705A">
            <w:pPr>
              <w:spacing w:before="40" w:after="40"/>
              <w:jc w:val="center"/>
              <w:rPr>
                <w:rFonts w:ascii="Arial" w:hAnsi="Arial" w:cs="Arial"/>
                <w:sz w:val="20"/>
                <w:lang w:val="es-MX" w:eastAsia="zh-CN"/>
              </w:rPr>
            </w:pPr>
            <w:r>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26A4F" w14:textId="3989170A" w:rsidR="0066705A" w:rsidRPr="00021B3F" w:rsidRDefault="0066705A" w:rsidP="0066705A">
            <w:pPr>
              <w:spacing w:before="40" w:after="40"/>
              <w:jc w:val="center"/>
              <w:rPr>
                <w:rFonts w:ascii="Arial" w:hAnsi="Arial" w:cs="Arial"/>
                <w:sz w:val="20"/>
                <w:lang w:val="es-MX" w:eastAsia="zh-CN"/>
              </w:rPr>
            </w:pPr>
            <w:r>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51144" w14:textId="1BCA7BE6" w:rsidR="0066705A" w:rsidRPr="00021B3F" w:rsidRDefault="0066705A" w:rsidP="0066705A">
            <w:pPr>
              <w:spacing w:before="40" w:after="40"/>
              <w:jc w:val="center"/>
              <w:rPr>
                <w:rFonts w:ascii="Arial" w:hAnsi="Arial" w:cs="Arial"/>
                <w:sz w:val="20"/>
                <w:lang w:val="es-MX" w:eastAsia="zh-CN"/>
              </w:rPr>
            </w:pPr>
            <w:r>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46339" w14:textId="126CF346" w:rsidR="0066705A" w:rsidRPr="00021B3F" w:rsidRDefault="0066705A" w:rsidP="0066705A">
            <w:pPr>
              <w:spacing w:before="40" w:after="40"/>
              <w:rPr>
                <w:rFonts w:ascii="Arial" w:hAnsi="Arial" w:cs="Arial"/>
                <w:sz w:val="20"/>
                <w:lang w:val="es-MX" w:eastAsia="zh-CN"/>
              </w:rPr>
            </w:pPr>
            <w:r w:rsidRPr="00230D15">
              <w:rPr>
                <w:rFonts w:ascii="Arial" w:hAnsi="Arial" w:cs="Arial"/>
                <w:sz w:val="20"/>
              </w:rPr>
              <w:t>Informes actualizados disponibles en la página web de una institución gubernamental.</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F75EB" w14:textId="1B7C451D" w:rsidR="0066705A" w:rsidRPr="00021B3F" w:rsidRDefault="0066705A" w:rsidP="0066705A">
            <w:pPr>
              <w:spacing w:before="40" w:after="40"/>
              <w:rPr>
                <w:rFonts w:ascii="Arial" w:hAnsi="Arial" w:cs="Arial"/>
                <w:sz w:val="20"/>
                <w:lang w:val="es-MX" w:eastAsia="zh-CN"/>
              </w:rPr>
            </w:pPr>
            <w:r w:rsidRPr="005A6C34">
              <w:rPr>
                <w:rFonts w:ascii="Arial" w:hAnsi="Arial" w:cs="Arial"/>
                <w:noProof/>
                <w:color w:val="000000"/>
                <w:sz w:val="20"/>
                <w:lang w:val="es-MX"/>
              </w:rPr>
              <w:t>Línea de base a inicio de año y metas a diciembre de cada año.</w:t>
            </w:r>
          </w:p>
        </w:tc>
      </w:tr>
      <w:tr w:rsidR="00855ED8" w:rsidRPr="005A6C34" w14:paraId="50319840" w14:textId="77777777" w:rsidTr="00E34630">
        <w:trPr>
          <w:trHeight w:val="6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F6376" w14:textId="7F54AF85" w:rsidR="00855ED8" w:rsidRPr="005A6C34" w:rsidRDefault="00855ED8" w:rsidP="00855ED8">
            <w:pPr>
              <w:pStyle w:val="ListParagraph"/>
              <w:spacing w:before="40" w:after="40"/>
              <w:ind w:left="0"/>
              <w:rPr>
                <w:rFonts w:ascii="Arial" w:hAnsi="Arial" w:cs="Arial"/>
                <w:spacing w:val="-4"/>
                <w:sz w:val="20"/>
                <w:lang w:val="es-ES"/>
              </w:rPr>
            </w:pPr>
            <w:r w:rsidRPr="005A6C34">
              <w:rPr>
                <w:rFonts w:ascii="Arial" w:hAnsi="Arial" w:cs="Arial"/>
                <w:spacing w:val="-4"/>
                <w:sz w:val="20"/>
                <w:lang w:val="es-ES"/>
              </w:rPr>
              <w:t>Normativa de suspensión temporal de la L</w:t>
            </w:r>
            <w:r>
              <w:rPr>
                <w:rFonts w:ascii="Arial" w:hAnsi="Arial" w:cs="Arial"/>
                <w:spacing w:val="-4"/>
                <w:sz w:val="20"/>
                <w:lang w:val="es-ES"/>
              </w:rPr>
              <w:t>RF</w:t>
            </w:r>
            <w:r w:rsidRPr="005A6C34">
              <w:rPr>
                <w:rFonts w:ascii="Arial" w:hAnsi="Arial" w:cs="Arial"/>
                <w:spacing w:val="-4"/>
                <w:sz w:val="20"/>
                <w:lang w:val="es-ES"/>
              </w:rPr>
              <w:t xml:space="preserve"> y</w:t>
            </w:r>
            <w:r>
              <w:rPr>
                <w:rFonts w:ascii="Arial" w:hAnsi="Arial" w:cs="Arial"/>
                <w:spacing w:val="-4"/>
                <w:sz w:val="20"/>
                <w:lang w:val="es-ES"/>
              </w:rPr>
              <w:t>,</w:t>
            </w:r>
            <w:r w:rsidRPr="005A6C34">
              <w:rPr>
                <w:rFonts w:ascii="Arial" w:hAnsi="Arial" w:cs="Arial"/>
                <w:spacing w:val="-4"/>
                <w:sz w:val="20"/>
                <w:lang w:val="es-ES"/>
              </w:rPr>
              <w:t xml:space="preserve"> consecuentemente, la aplicación de los parámetros y metas fiscales requerid</w:t>
            </w:r>
            <w:r>
              <w:rPr>
                <w:rFonts w:ascii="Arial" w:hAnsi="Arial" w:cs="Arial"/>
                <w:spacing w:val="-4"/>
                <w:sz w:val="20"/>
                <w:lang w:val="es-ES"/>
              </w:rPr>
              <w:t>o</w:t>
            </w:r>
            <w:r w:rsidRPr="005A6C34">
              <w:rPr>
                <w:rFonts w:ascii="Arial" w:hAnsi="Arial" w:cs="Arial"/>
                <w:spacing w:val="-4"/>
                <w:sz w:val="20"/>
                <w:lang w:val="es-ES"/>
              </w:rPr>
              <w:t>s en dicha ley mientras duren los efectos de la emergencia nacional por la pandemia, aprobada</w:t>
            </w:r>
            <w:r>
              <w:rPr>
                <w:rFonts w:ascii="Arial" w:hAnsi="Arial" w:cs="Arial"/>
                <w:spacing w:val="-4"/>
                <w:sz w:val="20"/>
                <w:lang w:val="es-ES"/>
              </w:rPr>
              <w:t>.</w:t>
            </w:r>
            <w:r w:rsidRPr="005A6C34">
              <w:rPr>
                <w:rFonts w:ascii="Arial" w:hAnsi="Arial" w:cs="Arial"/>
                <w:spacing w:val="-4"/>
                <w:sz w:val="20"/>
                <w:lang w:val="es-ES"/>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76C74" w14:textId="66B478BD" w:rsidR="00855ED8" w:rsidRPr="00021B3F" w:rsidRDefault="00855ED8" w:rsidP="00855ED8">
            <w:pPr>
              <w:spacing w:before="40" w:after="40"/>
              <w:jc w:val="center"/>
              <w:rPr>
                <w:rFonts w:ascii="Arial" w:hAnsi="Arial" w:cs="Arial"/>
                <w:sz w:val="20"/>
                <w:lang w:val="es-MX" w:eastAsia="zh-CN"/>
              </w:rPr>
            </w:pPr>
            <w:r w:rsidRPr="00021B3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855A9" w14:textId="7ED2E990" w:rsidR="00855ED8" w:rsidRPr="00021B3F" w:rsidRDefault="00855ED8" w:rsidP="00855ED8">
            <w:pPr>
              <w:spacing w:before="40" w:after="40"/>
              <w:jc w:val="center"/>
              <w:rPr>
                <w:rFonts w:ascii="Arial" w:hAnsi="Arial" w:cs="Arial"/>
                <w:sz w:val="20"/>
                <w:lang w:val="es-MX" w:eastAsia="zh-CN"/>
              </w:rPr>
            </w:pPr>
            <w:r w:rsidRPr="00021B3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B2517" w14:textId="3A4EC2CD" w:rsidR="00855ED8" w:rsidRPr="00021B3F" w:rsidRDefault="00855ED8" w:rsidP="00855ED8">
            <w:pPr>
              <w:spacing w:before="40" w:after="40"/>
              <w:jc w:val="center"/>
              <w:rPr>
                <w:rFonts w:ascii="Arial" w:hAnsi="Arial" w:cs="Arial"/>
                <w:sz w:val="20"/>
                <w:lang w:val="es-MX" w:eastAsia="zh-CN"/>
              </w:rPr>
            </w:pPr>
            <w:r w:rsidRPr="00021B3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AA97E" w14:textId="1E529799" w:rsidR="00855ED8" w:rsidRPr="00021B3F" w:rsidRDefault="00855ED8" w:rsidP="00855ED8">
            <w:pPr>
              <w:spacing w:before="40" w:after="40"/>
              <w:jc w:val="center"/>
              <w:rPr>
                <w:rFonts w:ascii="Arial" w:hAnsi="Arial" w:cs="Arial"/>
                <w:sz w:val="20"/>
                <w:lang w:val="es-MX" w:eastAsia="zh-CN"/>
              </w:rPr>
            </w:pPr>
            <w:r w:rsidRPr="00021B3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4FADA" w14:textId="32C416EA" w:rsidR="00855ED8" w:rsidRPr="00021B3F" w:rsidRDefault="00855ED8" w:rsidP="00855ED8">
            <w:pPr>
              <w:spacing w:before="40" w:after="40"/>
              <w:rPr>
                <w:rFonts w:ascii="Arial" w:hAnsi="Arial" w:cs="Arial"/>
                <w:sz w:val="20"/>
                <w:lang w:val="es-MX" w:eastAsia="zh-CN"/>
              </w:rPr>
            </w:pPr>
            <w:r w:rsidRPr="00B110B9">
              <w:rPr>
                <w:rFonts w:ascii="Arial" w:hAnsi="Arial" w:cs="Arial"/>
                <w:sz w:val="20"/>
              </w:rPr>
              <w:t>Publicación en el D</w:t>
            </w:r>
            <w:r>
              <w:rPr>
                <w:rFonts w:ascii="Arial" w:hAnsi="Arial" w:cs="Arial"/>
                <w:sz w:val="20"/>
              </w:rPr>
              <w:t>O</w:t>
            </w:r>
            <w:r w:rsidRPr="00B110B9">
              <w:rPr>
                <w:rFonts w:ascii="Arial" w:hAnsi="Arial" w:cs="Arial"/>
                <w:sz w:val="20"/>
              </w:rPr>
              <w:t xml:space="preserve"> </w:t>
            </w:r>
            <w:r>
              <w:rPr>
                <w:rFonts w:ascii="Arial" w:hAnsi="Arial" w:cs="Arial"/>
                <w:sz w:val="20"/>
              </w:rPr>
              <w:t xml:space="preserve">del </w:t>
            </w:r>
            <w:r w:rsidRPr="00B110B9">
              <w:rPr>
                <w:rFonts w:ascii="Arial" w:hAnsi="Arial" w:cs="Arial"/>
                <w:sz w:val="20"/>
              </w:rPr>
              <w:t>D</w:t>
            </w:r>
            <w:r>
              <w:rPr>
                <w:rFonts w:ascii="Arial" w:hAnsi="Arial" w:cs="Arial"/>
                <w:sz w:val="20"/>
              </w:rPr>
              <w:t>L </w:t>
            </w:r>
            <w:r w:rsidRPr="00B110B9">
              <w:rPr>
                <w:rFonts w:ascii="Arial" w:hAnsi="Arial" w:cs="Arial"/>
                <w:sz w:val="20"/>
              </w:rPr>
              <w:t>607</w:t>
            </w:r>
            <w:r>
              <w:rPr>
                <w:rFonts w:ascii="Arial" w:hAnsi="Arial" w:cs="Arial"/>
                <w:sz w:val="20"/>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839E4" w14:textId="218D69A1" w:rsidR="00855ED8" w:rsidRPr="005A6C34" w:rsidRDefault="00855ED8" w:rsidP="00855ED8">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2115AE" w:rsidRPr="005A6C34" w14:paraId="21937723" w14:textId="77777777" w:rsidTr="00E34630">
        <w:trPr>
          <w:trHeight w:val="6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AA07A" w14:textId="5F141F04" w:rsidR="002115AE" w:rsidRPr="005A6C34" w:rsidRDefault="002115AE" w:rsidP="002115AE">
            <w:pPr>
              <w:pStyle w:val="ListParagraph"/>
              <w:spacing w:before="40" w:after="40"/>
              <w:ind w:left="0"/>
              <w:rPr>
                <w:rFonts w:ascii="Arial" w:hAnsi="Arial" w:cs="Arial"/>
                <w:spacing w:val="-4"/>
                <w:sz w:val="20"/>
                <w:lang w:val="es-ES"/>
              </w:rPr>
            </w:pPr>
            <w:r w:rsidRPr="00FB6E25">
              <w:rPr>
                <w:rFonts w:ascii="Arial" w:hAnsi="Arial" w:cs="Arial"/>
                <w:spacing w:val="-4"/>
                <w:sz w:val="20"/>
                <w:lang w:val="es-ES"/>
              </w:rPr>
              <w:t xml:space="preserve">Normativa para uso </w:t>
            </w:r>
            <w:r w:rsidRPr="00FB6E25">
              <w:rPr>
                <w:rFonts w:ascii="Arial" w:hAnsi="Arial" w:cs="Arial"/>
                <w:sz w:val="20"/>
              </w:rPr>
              <w:t>de los procedimientos de emergencia, tales como contratación directa, autorizado para las contrataciones de obras, bienes y servicios relacionados con la prevención, tratamiento, contención y atención a la pandemia</w:t>
            </w:r>
            <w:r w:rsidRPr="00FB6E25">
              <w:rPr>
                <w:rFonts w:ascii="Arial" w:hAnsi="Arial" w:cs="Arial"/>
                <w:spacing w:val="-4"/>
                <w:sz w:val="20"/>
                <w:lang w:val="es-ES"/>
              </w:rPr>
              <w:t>, aprobada.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B17E6" w14:textId="10299384" w:rsidR="002115AE" w:rsidRPr="00021B3F" w:rsidRDefault="002115AE" w:rsidP="002115AE">
            <w:pPr>
              <w:spacing w:before="40" w:after="40"/>
              <w:jc w:val="center"/>
              <w:rPr>
                <w:rFonts w:ascii="Arial" w:hAnsi="Arial" w:cs="Arial"/>
                <w:sz w:val="20"/>
                <w:lang w:val="es-MX" w:eastAsia="zh-CN"/>
              </w:rPr>
            </w:pPr>
            <w:r w:rsidRPr="00021B3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0B982" w14:textId="5A0668B9" w:rsidR="002115AE" w:rsidRPr="00021B3F" w:rsidRDefault="002115AE" w:rsidP="002115AE">
            <w:pPr>
              <w:spacing w:before="40" w:after="40"/>
              <w:jc w:val="center"/>
              <w:rPr>
                <w:rFonts w:ascii="Arial" w:hAnsi="Arial" w:cs="Arial"/>
                <w:sz w:val="20"/>
                <w:lang w:val="es-MX" w:eastAsia="zh-CN"/>
              </w:rPr>
            </w:pPr>
            <w:r w:rsidRPr="00021B3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79BC" w14:textId="023C7837" w:rsidR="002115AE" w:rsidRPr="00021B3F" w:rsidRDefault="002115AE" w:rsidP="002115AE">
            <w:pPr>
              <w:spacing w:before="40" w:after="40"/>
              <w:jc w:val="center"/>
              <w:rPr>
                <w:rFonts w:ascii="Arial" w:hAnsi="Arial" w:cs="Arial"/>
                <w:sz w:val="20"/>
                <w:lang w:val="es-MX" w:eastAsia="zh-CN"/>
              </w:rPr>
            </w:pPr>
            <w:r w:rsidRPr="00021B3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FDC0B" w14:textId="79CED37B" w:rsidR="002115AE" w:rsidRPr="00021B3F" w:rsidRDefault="002115AE" w:rsidP="002115AE">
            <w:pPr>
              <w:spacing w:before="40" w:after="40"/>
              <w:jc w:val="center"/>
              <w:rPr>
                <w:rFonts w:ascii="Arial" w:hAnsi="Arial" w:cs="Arial"/>
                <w:sz w:val="20"/>
                <w:lang w:val="es-MX" w:eastAsia="zh-CN"/>
              </w:rPr>
            </w:pPr>
            <w:r w:rsidRPr="00021B3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9550F" w14:textId="5EF39B6C" w:rsidR="002115AE" w:rsidRPr="005A6C34" w:rsidRDefault="002115AE" w:rsidP="002115AE">
            <w:pPr>
              <w:spacing w:before="40" w:after="40"/>
              <w:rPr>
                <w:rFonts w:ascii="Arial" w:hAnsi="Arial" w:cs="Arial"/>
                <w:color w:val="000000"/>
                <w:sz w:val="20"/>
                <w:lang w:val="es-ES"/>
              </w:rPr>
            </w:pPr>
            <w:r w:rsidRPr="00B110B9">
              <w:rPr>
                <w:rFonts w:ascii="Arial" w:hAnsi="Arial" w:cs="Arial"/>
                <w:sz w:val="20"/>
              </w:rPr>
              <w:t>Publicación en el D</w:t>
            </w:r>
            <w:r>
              <w:rPr>
                <w:rFonts w:ascii="Arial" w:hAnsi="Arial" w:cs="Arial"/>
                <w:sz w:val="20"/>
              </w:rPr>
              <w:t xml:space="preserve">O </w:t>
            </w:r>
            <w:r w:rsidRPr="00B110B9">
              <w:rPr>
                <w:rFonts w:ascii="Arial" w:hAnsi="Arial" w:cs="Arial"/>
                <w:sz w:val="20"/>
              </w:rPr>
              <w:t>del D</w:t>
            </w:r>
            <w:r>
              <w:rPr>
                <w:rFonts w:ascii="Arial" w:hAnsi="Arial" w:cs="Arial"/>
                <w:sz w:val="20"/>
              </w:rPr>
              <w:t>L </w:t>
            </w:r>
            <w:r w:rsidRPr="00B110B9">
              <w:rPr>
                <w:rFonts w:ascii="Arial" w:hAnsi="Arial" w:cs="Arial"/>
                <w:bCs/>
                <w:kern w:val="18"/>
                <w:sz w:val="20"/>
                <w:lang w:val="es-ES"/>
              </w:rPr>
              <w:t>593, Art</w:t>
            </w:r>
            <w:r>
              <w:rPr>
                <w:rFonts w:ascii="Arial" w:hAnsi="Arial" w:cs="Arial"/>
                <w:bCs/>
                <w:kern w:val="18"/>
                <w:sz w:val="20"/>
                <w:lang w:val="es-ES"/>
              </w:rPr>
              <w:t> </w:t>
            </w:r>
            <w:r w:rsidRPr="00B110B9">
              <w:rPr>
                <w:rFonts w:ascii="Arial" w:hAnsi="Arial" w:cs="Arial"/>
                <w:bCs/>
                <w:kern w:val="18"/>
                <w:sz w:val="20"/>
                <w:lang w:val="es-ES"/>
              </w:rPr>
              <w:t>13</w:t>
            </w:r>
            <w:r>
              <w:rPr>
                <w:rFonts w:ascii="Arial" w:hAnsi="Arial" w:cs="Arial"/>
                <w:bCs/>
                <w:kern w:val="18"/>
                <w:sz w:val="20"/>
                <w:lang w:val="es-ES"/>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0E9BB" w14:textId="5112B226" w:rsidR="002115AE" w:rsidRPr="005A6C34" w:rsidRDefault="002115AE" w:rsidP="002115AE">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E73B90" w:rsidRPr="005A6C34" w14:paraId="3BC199CA" w14:textId="77777777" w:rsidTr="00E34630">
        <w:trPr>
          <w:trHeight w:val="6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17F3A" w14:textId="46A69820" w:rsidR="00E73B90" w:rsidRPr="00FB6E25" w:rsidRDefault="00E73B90" w:rsidP="00E73B90">
            <w:pPr>
              <w:pStyle w:val="ListParagraph"/>
              <w:spacing w:before="40" w:after="40"/>
              <w:ind w:left="0"/>
              <w:rPr>
                <w:rFonts w:ascii="Arial" w:hAnsi="Arial" w:cs="Arial"/>
                <w:spacing w:val="-4"/>
                <w:sz w:val="20"/>
                <w:lang w:val="es-ES"/>
              </w:rPr>
            </w:pPr>
            <w:r w:rsidRPr="00FB6E25">
              <w:rPr>
                <w:rFonts w:ascii="Arial" w:hAnsi="Arial" w:cs="Arial"/>
                <w:spacing w:val="-4"/>
                <w:sz w:val="20"/>
                <w:lang w:val="es-ES"/>
              </w:rPr>
              <w:lastRenderedPageBreak/>
              <w:t xml:space="preserve">Normativa </w:t>
            </w:r>
            <w:r w:rsidRPr="00FB6E25">
              <w:rPr>
                <w:rFonts w:ascii="Arial" w:hAnsi="Arial" w:cs="Arial"/>
                <w:sz w:val="20"/>
              </w:rPr>
              <w:t>que mantenga la transparencia en las contrataciones, las resoluciones o acuerdos de contratación directa mediante su publicación en el sitio electrónico de compras COMPRASAL, posteriormente a la realización del proceso</w:t>
            </w:r>
            <w:r w:rsidRPr="00FB6E25">
              <w:rPr>
                <w:rFonts w:ascii="Arial" w:hAnsi="Arial" w:cs="Arial"/>
                <w:spacing w:val="-4"/>
                <w:sz w:val="20"/>
                <w:lang w:val="es-ES"/>
              </w:rPr>
              <w:t>, emitida.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AC835" w14:textId="0026DDEB" w:rsidR="00E73B90" w:rsidRPr="00021B3F" w:rsidRDefault="00E73B90" w:rsidP="00E73B90">
            <w:pPr>
              <w:spacing w:before="40" w:after="40"/>
              <w:jc w:val="center"/>
              <w:rPr>
                <w:rFonts w:ascii="Arial" w:hAnsi="Arial" w:cs="Arial"/>
                <w:sz w:val="20"/>
                <w:lang w:val="es-MX" w:eastAsia="zh-CN"/>
              </w:rPr>
            </w:pPr>
            <w:r w:rsidRPr="00021B3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8812" w14:textId="6E1C2F20" w:rsidR="00E73B90" w:rsidRPr="00021B3F" w:rsidRDefault="00E73B90" w:rsidP="00E73B90">
            <w:pPr>
              <w:spacing w:before="40" w:after="40"/>
              <w:jc w:val="center"/>
              <w:rPr>
                <w:rFonts w:ascii="Arial" w:hAnsi="Arial" w:cs="Arial"/>
                <w:sz w:val="20"/>
                <w:lang w:val="es-MX" w:eastAsia="zh-CN"/>
              </w:rPr>
            </w:pPr>
            <w:r w:rsidRPr="00021B3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40D2D" w14:textId="4A48C5A7" w:rsidR="00E73B90" w:rsidRPr="00021B3F" w:rsidRDefault="00E73B90" w:rsidP="00E73B90">
            <w:pPr>
              <w:spacing w:before="40" w:after="40"/>
              <w:jc w:val="center"/>
              <w:rPr>
                <w:rFonts w:ascii="Arial" w:hAnsi="Arial" w:cs="Arial"/>
                <w:sz w:val="20"/>
                <w:lang w:val="es-MX" w:eastAsia="zh-CN"/>
              </w:rPr>
            </w:pPr>
            <w:r w:rsidRPr="00021B3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A741A" w14:textId="64D3769A" w:rsidR="00E73B90" w:rsidRPr="00021B3F" w:rsidRDefault="00E73B90" w:rsidP="00E73B90">
            <w:pPr>
              <w:spacing w:before="40" w:after="40"/>
              <w:jc w:val="center"/>
              <w:rPr>
                <w:rFonts w:ascii="Arial" w:hAnsi="Arial" w:cs="Arial"/>
                <w:sz w:val="20"/>
                <w:lang w:val="es-MX" w:eastAsia="zh-CN"/>
              </w:rPr>
            </w:pPr>
            <w:r w:rsidRPr="00021B3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4F3EB" w14:textId="1F79D11B" w:rsidR="00E73B90" w:rsidRPr="00B110B9" w:rsidRDefault="00E73B90" w:rsidP="00E73B90">
            <w:pPr>
              <w:spacing w:before="40" w:after="40"/>
              <w:rPr>
                <w:rFonts w:ascii="Arial" w:hAnsi="Arial" w:cs="Arial"/>
                <w:sz w:val="20"/>
              </w:rPr>
            </w:pPr>
            <w:r w:rsidRPr="00B110B9">
              <w:rPr>
                <w:rFonts w:ascii="Arial" w:hAnsi="Arial" w:cs="Arial"/>
                <w:bCs/>
                <w:kern w:val="18"/>
                <w:sz w:val="20"/>
                <w:lang w:val="es-MX"/>
              </w:rPr>
              <w:t xml:space="preserve">Lineamientos </w:t>
            </w:r>
            <w:r>
              <w:rPr>
                <w:rFonts w:ascii="Arial" w:hAnsi="Arial" w:cs="Arial"/>
                <w:bCs/>
                <w:kern w:val="18"/>
                <w:sz w:val="20"/>
                <w:lang w:val="es-MX"/>
              </w:rPr>
              <w:t>03-19</w:t>
            </w:r>
            <w:r w:rsidRPr="00B110B9">
              <w:rPr>
                <w:rFonts w:ascii="Arial" w:hAnsi="Arial" w:cs="Arial"/>
                <w:bCs/>
                <w:kern w:val="18"/>
                <w:sz w:val="20"/>
                <w:lang w:val="es-MX"/>
              </w:rPr>
              <w:t xml:space="preserve"> emitido</w:t>
            </w:r>
            <w:r>
              <w:rPr>
                <w:rFonts w:ascii="Arial" w:hAnsi="Arial" w:cs="Arial"/>
                <w:bCs/>
                <w:kern w:val="18"/>
                <w:sz w:val="20"/>
                <w:lang w:val="es-MX"/>
              </w:rPr>
              <w:t>s</w:t>
            </w:r>
            <w:r w:rsidRPr="00B110B9">
              <w:rPr>
                <w:rFonts w:ascii="Arial" w:hAnsi="Arial" w:cs="Arial"/>
                <w:bCs/>
                <w:kern w:val="18"/>
                <w:sz w:val="20"/>
                <w:lang w:val="es-MX"/>
              </w:rPr>
              <w:t xml:space="preserve"> por UNAC</w:t>
            </w:r>
            <w:r>
              <w:rPr>
                <w:rFonts w:ascii="Arial" w:hAnsi="Arial" w:cs="Arial"/>
                <w:bCs/>
                <w:kern w:val="18"/>
                <w:sz w:val="20"/>
                <w:lang w:val="es-MX"/>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E5C8E" w14:textId="1F57C683" w:rsidR="00E73B90" w:rsidRPr="005A6C34" w:rsidRDefault="00E73B90" w:rsidP="00E73B90">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8A1A94" w:rsidRPr="001C6238" w14:paraId="54A2F5BE" w14:textId="77777777" w:rsidTr="00E34630">
        <w:trPr>
          <w:trHeight w:val="6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4924" w14:textId="5A4C3669" w:rsidR="008A1A94" w:rsidRPr="00167C9B" w:rsidRDefault="008A1A94" w:rsidP="008A1A94">
            <w:pPr>
              <w:pStyle w:val="ListParagraph"/>
              <w:spacing w:before="40" w:after="40"/>
              <w:ind w:left="0"/>
              <w:rPr>
                <w:rFonts w:ascii="Arial" w:hAnsi="Arial" w:cs="Arial"/>
                <w:spacing w:val="-4"/>
                <w:sz w:val="20"/>
                <w:lang w:val="es-ES"/>
              </w:rPr>
            </w:pPr>
            <w:r w:rsidRPr="00FB6E25">
              <w:rPr>
                <w:rFonts w:ascii="Arial" w:hAnsi="Arial" w:cs="Arial"/>
                <w:spacing w:val="-4"/>
                <w:sz w:val="20"/>
                <w:lang w:val="es-ES"/>
              </w:rPr>
              <w:t xml:space="preserve">Documento oficial que certifique </w:t>
            </w:r>
            <w:r>
              <w:rPr>
                <w:rFonts w:ascii="Arial" w:hAnsi="Arial" w:cs="Arial"/>
                <w:spacing w:val="-4"/>
                <w:sz w:val="20"/>
                <w:lang w:val="es-ES"/>
              </w:rPr>
              <w:t xml:space="preserve">que se </w:t>
            </w:r>
            <w:r w:rsidRPr="00FB6E25">
              <w:rPr>
                <w:rFonts w:ascii="Arial" w:hAnsi="Arial" w:cs="Arial"/>
                <w:sz w:val="20"/>
              </w:rPr>
              <w:t>haya acordado con la OEA</w:t>
            </w:r>
            <w:r>
              <w:rPr>
                <w:rFonts w:ascii="Arial" w:hAnsi="Arial" w:cs="Arial"/>
                <w:sz w:val="20"/>
              </w:rPr>
              <w:t xml:space="preserve"> </w:t>
            </w:r>
            <w:r w:rsidRPr="00FB6E25">
              <w:rPr>
                <w:rFonts w:ascii="Arial" w:hAnsi="Arial" w:cs="Arial"/>
                <w:sz w:val="20"/>
              </w:rPr>
              <w:t>la provisión de auditores para supervisar las adquisiciones derivadas del programa de respuesta a la pandemia, en el marco del convenio de creación de la CICIES</w:t>
            </w:r>
            <w:r w:rsidRPr="00FB6E25">
              <w:rPr>
                <w:rFonts w:ascii="Arial" w:hAnsi="Arial" w:cs="Arial"/>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8B23C" w14:textId="28F39EDD" w:rsidR="008A1A94" w:rsidRPr="00167C9B" w:rsidRDefault="008A1A94" w:rsidP="008A1A94">
            <w:pPr>
              <w:spacing w:before="40" w:after="40"/>
              <w:rPr>
                <w:rFonts w:ascii="Arial" w:hAnsi="Arial" w:cs="Arial"/>
                <w:spacing w:val="-4"/>
                <w:sz w:val="20"/>
                <w:lang w:val="es-ES"/>
              </w:rPr>
            </w:pPr>
            <w:r>
              <w:rPr>
                <w:rFonts w:ascii="Arial" w:hAnsi="Arial" w:cs="Arial"/>
                <w:spacing w:val="-4"/>
                <w:sz w:val="20"/>
                <w:lang w:val="es-ES"/>
              </w:rPr>
              <w:t xml:space="preserve">Documento oficial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A7E91" w14:textId="303A3D8D" w:rsidR="008A1A94" w:rsidRPr="00167C9B" w:rsidRDefault="008A1A94" w:rsidP="008A1A94">
            <w:pPr>
              <w:spacing w:before="40" w:after="40"/>
              <w:jc w:val="center"/>
              <w:rPr>
                <w:rFonts w:ascii="Arial" w:hAnsi="Arial" w:cs="Arial"/>
                <w:spacing w:val="-4"/>
                <w:sz w:val="20"/>
                <w:lang w:val="es-ES"/>
              </w:rPr>
            </w:pPr>
            <w:r w:rsidRPr="00167C9B">
              <w:rPr>
                <w:rFonts w:ascii="Arial" w:hAnsi="Arial" w:cs="Arial"/>
                <w:spacing w:val="-4"/>
                <w:sz w:val="20"/>
                <w:lang w:val="es-ES"/>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64131" w14:textId="603E7910" w:rsidR="008A1A94" w:rsidRPr="00167C9B" w:rsidRDefault="008A1A94" w:rsidP="008A1A94">
            <w:pPr>
              <w:spacing w:before="40" w:after="40"/>
              <w:jc w:val="center"/>
              <w:rPr>
                <w:rFonts w:ascii="Arial" w:hAnsi="Arial" w:cs="Arial"/>
                <w:spacing w:val="-4"/>
                <w:sz w:val="20"/>
                <w:lang w:val="es-ES"/>
              </w:rPr>
            </w:pPr>
            <w:r w:rsidRPr="00167C9B">
              <w:rPr>
                <w:rFonts w:ascii="Arial" w:hAnsi="Arial" w:cs="Arial"/>
                <w:spacing w:val="-4"/>
                <w:sz w:val="20"/>
                <w:lang w:val="es-ES"/>
              </w:rPr>
              <w:t>20</w:t>
            </w:r>
            <w:r>
              <w:rPr>
                <w:rFonts w:ascii="Arial" w:hAnsi="Arial" w:cs="Arial"/>
                <w:spacing w:val="-4"/>
                <w:sz w:val="20"/>
                <w:lang w:val="es-ES"/>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FB756" w14:textId="2BF58AA0" w:rsidR="008A1A94" w:rsidRPr="001C6238" w:rsidRDefault="008A1A94" w:rsidP="008A1A94">
            <w:pPr>
              <w:spacing w:before="40" w:after="40"/>
              <w:jc w:val="center"/>
              <w:rPr>
                <w:rFonts w:ascii="Arial" w:hAnsi="Arial" w:cs="Arial"/>
                <w:spacing w:val="-4"/>
                <w:sz w:val="20"/>
                <w:lang w:val="es-ES"/>
              </w:rPr>
            </w:pPr>
            <w:r>
              <w:rPr>
                <w:rFonts w:ascii="Arial" w:hAnsi="Arial" w:cs="Arial"/>
                <w:spacing w:val="-4"/>
                <w:sz w:val="20"/>
                <w:lang w:val="es-ES"/>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94379" w14:textId="2B5FA6A4" w:rsidR="008A1A94" w:rsidRPr="001C6238" w:rsidRDefault="008A1A94" w:rsidP="008A1A94">
            <w:pPr>
              <w:spacing w:before="40" w:after="40"/>
              <w:rPr>
                <w:rFonts w:ascii="Arial" w:hAnsi="Arial" w:cs="Arial"/>
                <w:spacing w:val="-4"/>
                <w:sz w:val="20"/>
                <w:lang w:val="es-ES"/>
              </w:rPr>
            </w:pPr>
            <w:r>
              <w:rPr>
                <w:rFonts w:ascii="Arial" w:hAnsi="Arial" w:cs="Arial"/>
                <w:bCs/>
                <w:kern w:val="18"/>
                <w:sz w:val="20"/>
                <w:lang w:val="es-ES"/>
              </w:rPr>
              <w:t>Documento oficial de la OEA donde certifica el acuerdo con Gobierno de El Salvador sobre la provisión de auditores.</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E3BA4" w14:textId="0BDE25CC" w:rsidR="008A1A94" w:rsidRPr="001C6238" w:rsidRDefault="008A1A94" w:rsidP="008A1A94">
            <w:pPr>
              <w:spacing w:before="40" w:after="40"/>
              <w:rPr>
                <w:rFonts w:ascii="Arial" w:hAnsi="Arial" w:cs="Arial"/>
                <w:spacing w:val="-4"/>
                <w:sz w:val="20"/>
                <w:lang w:val="es-ES"/>
              </w:rPr>
            </w:pPr>
            <w:r w:rsidRPr="005A6C34">
              <w:rPr>
                <w:rFonts w:ascii="Arial" w:hAnsi="Arial" w:cs="Arial"/>
                <w:noProof/>
                <w:color w:val="000000"/>
                <w:sz w:val="20"/>
                <w:lang w:val="es-MX"/>
              </w:rPr>
              <w:t>Línea de base a inicio de año y metas a diciembre de cada año.</w:t>
            </w:r>
          </w:p>
        </w:tc>
      </w:tr>
      <w:tr w:rsidR="00DC09C3" w:rsidRPr="00823623" w14:paraId="2A3B6AEE" w14:textId="77777777" w:rsidTr="00E34630">
        <w:trPr>
          <w:trHeight w:val="64"/>
        </w:trPr>
        <w:tc>
          <w:tcPr>
            <w:tcW w:w="13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14:paraId="0ABA5AD6" w14:textId="77777777" w:rsidR="00DC09C3" w:rsidRPr="00823623" w:rsidRDefault="00DC09C3" w:rsidP="00E34630">
            <w:pPr>
              <w:spacing w:before="60" w:after="60"/>
              <w:rPr>
                <w:rFonts w:ascii="Arial" w:hAnsi="Arial" w:cs="Arial"/>
                <w:sz w:val="20"/>
                <w:lang w:val="es-MX" w:eastAsia="zh-CN"/>
              </w:rPr>
            </w:pPr>
            <w:r w:rsidRPr="00823623">
              <w:rPr>
                <w:rFonts w:ascii="Arial" w:hAnsi="Arial" w:cs="Arial"/>
                <w:b/>
                <w:noProof/>
                <w:color w:val="000000"/>
                <w:sz w:val="20"/>
                <w:lang w:val="es-MX"/>
              </w:rPr>
              <w:t>Componente 3</w:t>
            </w:r>
            <w:r>
              <w:rPr>
                <w:rFonts w:ascii="Arial" w:hAnsi="Arial" w:cs="Arial"/>
                <w:b/>
                <w:noProof/>
                <w:color w:val="000000"/>
                <w:sz w:val="20"/>
                <w:lang w:val="es-MX"/>
              </w:rPr>
              <w:t>.</w:t>
            </w:r>
            <w:r w:rsidRPr="00823623">
              <w:rPr>
                <w:rFonts w:ascii="Arial" w:hAnsi="Arial" w:cs="Arial"/>
                <w:b/>
                <w:noProof/>
                <w:color w:val="000000"/>
                <w:sz w:val="20"/>
                <w:lang w:val="es-MX"/>
              </w:rPr>
              <w:t xml:space="preserve"> </w:t>
            </w:r>
            <w:r w:rsidRPr="00823623">
              <w:rPr>
                <w:rFonts w:ascii="Arial" w:hAnsi="Arial" w:cs="Arial"/>
                <w:b/>
                <w:bCs/>
                <w:sz w:val="20"/>
                <w:lang w:val="es-MX"/>
              </w:rPr>
              <w:t>Fortalecimiento de la política</w:t>
            </w:r>
            <w:r>
              <w:rPr>
                <w:rFonts w:ascii="Arial" w:hAnsi="Arial" w:cs="Arial"/>
                <w:b/>
                <w:bCs/>
                <w:sz w:val="20"/>
                <w:lang w:val="es-MX"/>
              </w:rPr>
              <w:t xml:space="preserve"> pública</w:t>
            </w:r>
            <w:r w:rsidRPr="00823623">
              <w:rPr>
                <w:rFonts w:ascii="Arial" w:hAnsi="Arial" w:cs="Arial"/>
                <w:b/>
                <w:bCs/>
                <w:sz w:val="20"/>
                <w:lang w:val="es-MX"/>
              </w:rPr>
              <w:t xml:space="preserve"> y gestión fiscal para la atención de la crisis económica</w:t>
            </w:r>
            <w:r>
              <w:rPr>
                <w:rFonts w:ascii="Arial" w:hAnsi="Arial" w:cs="Arial"/>
                <w:b/>
                <w:bCs/>
                <w:sz w:val="20"/>
                <w:lang w:val="es-MX"/>
              </w:rPr>
              <w:t>.</w:t>
            </w:r>
          </w:p>
        </w:tc>
      </w:tr>
      <w:tr w:rsidR="009928EF" w:rsidRPr="00B2011F" w14:paraId="48FCD343"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2063A" w14:textId="331374E6" w:rsidR="009928EF" w:rsidRPr="00B2011F" w:rsidRDefault="009928EF" w:rsidP="009928EF">
            <w:pPr>
              <w:pStyle w:val="ListParagraph"/>
              <w:spacing w:before="40" w:after="40"/>
              <w:ind w:left="0"/>
              <w:rPr>
                <w:rFonts w:ascii="Arial" w:hAnsi="Arial" w:cs="Arial"/>
                <w:sz w:val="20"/>
                <w:lang w:val="es-MX" w:eastAsia="zh-CN"/>
              </w:rPr>
            </w:pPr>
            <w:r w:rsidRPr="005A6C34">
              <w:rPr>
                <w:rFonts w:ascii="Arial" w:hAnsi="Arial" w:cs="Arial"/>
                <w:color w:val="000000"/>
                <w:spacing w:val="-4"/>
                <w:sz w:val="20"/>
                <w:lang w:val="es-ES"/>
              </w:rPr>
              <w:t>Normativa para la asignación de un</w:t>
            </w:r>
            <w:r>
              <w:rPr>
                <w:rFonts w:ascii="Arial" w:hAnsi="Arial" w:cs="Arial"/>
                <w:color w:val="000000"/>
                <w:spacing w:val="-4"/>
                <w:sz w:val="20"/>
                <w:lang w:val="es-ES"/>
              </w:rPr>
              <w:t>a transferencia monetaria única</w:t>
            </w:r>
            <w:r w:rsidRPr="005A6C34">
              <w:rPr>
                <w:rFonts w:ascii="Arial" w:hAnsi="Arial" w:cs="Arial"/>
                <w:color w:val="000000"/>
                <w:spacing w:val="-4"/>
                <w:sz w:val="20"/>
                <w:lang w:val="es-ES"/>
              </w:rPr>
              <w:t xml:space="preserve"> de </w:t>
            </w:r>
            <w:r>
              <w:rPr>
                <w:rFonts w:ascii="Arial" w:hAnsi="Arial" w:cs="Arial"/>
                <w:color w:val="000000"/>
                <w:spacing w:val="-4"/>
                <w:sz w:val="20"/>
                <w:lang w:val="es-ES"/>
              </w:rPr>
              <w:t>US</w:t>
            </w:r>
            <w:r w:rsidRPr="005A6C34">
              <w:rPr>
                <w:rFonts w:ascii="Arial" w:hAnsi="Arial" w:cs="Arial"/>
                <w:color w:val="000000"/>
                <w:spacing w:val="-4"/>
                <w:sz w:val="20"/>
                <w:lang w:val="es-ES"/>
              </w:rPr>
              <w:t xml:space="preserve">$300 a todos los hogares </w:t>
            </w:r>
            <w:r w:rsidRPr="007A4FC2">
              <w:rPr>
                <w:rFonts w:ascii="Arial" w:hAnsi="Arial" w:cs="Arial"/>
                <w:color w:val="000000"/>
                <w:spacing w:val="-4"/>
                <w:sz w:val="20"/>
                <w:lang w:val="es-ES"/>
              </w:rPr>
              <w:t>identificados como de menores ingresos según el registro de beneficiarios del subsidio al gas y otros registros complementarios</w:t>
            </w:r>
            <w:r w:rsidRPr="005A6C34">
              <w:rPr>
                <w:rFonts w:ascii="Arial" w:hAnsi="Arial" w:cs="Arial"/>
                <w:color w:val="000000"/>
                <w:spacing w:val="-4"/>
                <w:sz w:val="20"/>
                <w:lang w:val="es-ES"/>
              </w:rPr>
              <w:t>,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5A9C6" w14:textId="002EC40E" w:rsidR="009928EF" w:rsidRPr="00B2011F" w:rsidRDefault="009928EF" w:rsidP="009928EF">
            <w:pPr>
              <w:spacing w:before="40" w:after="40"/>
              <w:jc w:val="center"/>
              <w:rPr>
                <w:rFonts w:ascii="Arial" w:hAnsi="Arial" w:cs="Arial"/>
                <w:sz w:val="20"/>
                <w:lang w:val="es-MX" w:eastAsia="zh-CN"/>
              </w:rPr>
            </w:pPr>
            <w:r w:rsidRPr="00B2011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EEE70" w14:textId="07E05561" w:rsidR="009928EF" w:rsidRPr="00B2011F" w:rsidRDefault="009928EF" w:rsidP="009928EF">
            <w:pPr>
              <w:spacing w:before="40" w:after="40"/>
              <w:jc w:val="center"/>
              <w:rPr>
                <w:rFonts w:ascii="Arial" w:hAnsi="Arial" w:cs="Arial"/>
                <w:sz w:val="20"/>
                <w:lang w:val="es-MX" w:eastAsia="zh-CN"/>
              </w:rPr>
            </w:pPr>
            <w:r w:rsidRPr="00B2011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32E8" w14:textId="38B05D74" w:rsidR="009928EF" w:rsidRPr="00B2011F" w:rsidRDefault="009928EF" w:rsidP="009928EF">
            <w:pPr>
              <w:spacing w:before="40" w:after="40"/>
              <w:jc w:val="center"/>
              <w:rPr>
                <w:rFonts w:ascii="Arial" w:hAnsi="Arial" w:cs="Arial"/>
                <w:sz w:val="20"/>
                <w:lang w:val="es-MX" w:eastAsia="zh-CN"/>
              </w:rPr>
            </w:pPr>
            <w:r w:rsidRPr="00B2011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39732" w14:textId="0BAD4763" w:rsidR="009928EF" w:rsidRPr="00B2011F" w:rsidRDefault="009928EF" w:rsidP="009928EF">
            <w:pPr>
              <w:spacing w:before="40" w:after="40"/>
              <w:jc w:val="center"/>
              <w:rPr>
                <w:rFonts w:ascii="Arial" w:hAnsi="Arial" w:cs="Arial"/>
                <w:sz w:val="20"/>
                <w:lang w:val="es-MX" w:eastAsia="zh-CN"/>
              </w:rPr>
            </w:pPr>
            <w:r w:rsidRPr="00B2011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1362" w14:textId="1A797569" w:rsidR="009928EF" w:rsidRPr="00B2011F" w:rsidRDefault="009928EF" w:rsidP="009928EF">
            <w:pPr>
              <w:spacing w:before="40" w:after="40"/>
              <w:rPr>
                <w:rFonts w:ascii="Arial" w:hAnsi="Arial" w:cs="Arial"/>
                <w:sz w:val="20"/>
                <w:lang w:val="es-MX" w:eastAsia="zh-CN"/>
              </w:rPr>
            </w:pPr>
            <w:r w:rsidRPr="00B110B9">
              <w:rPr>
                <w:rFonts w:ascii="Arial" w:hAnsi="Arial" w:cs="Arial"/>
                <w:sz w:val="20"/>
              </w:rPr>
              <w:t>Publicación en el D</w:t>
            </w:r>
            <w:r>
              <w:rPr>
                <w:rFonts w:ascii="Arial" w:hAnsi="Arial" w:cs="Arial"/>
                <w:sz w:val="20"/>
              </w:rPr>
              <w:t xml:space="preserve">O del </w:t>
            </w:r>
            <w:r w:rsidRPr="00B110B9">
              <w:rPr>
                <w:rFonts w:ascii="Arial" w:hAnsi="Arial" w:cs="Arial"/>
                <w:sz w:val="20"/>
              </w:rPr>
              <w:t>Decreto Ejecutivo 12 Art.</w:t>
            </w:r>
            <w:r>
              <w:rPr>
                <w:rFonts w:ascii="Arial" w:hAnsi="Arial" w:cs="Arial"/>
                <w:sz w:val="20"/>
              </w:rPr>
              <w:t> </w:t>
            </w:r>
            <w:r w:rsidRPr="00B110B9">
              <w:rPr>
                <w:rFonts w:ascii="Arial" w:hAnsi="Arial" w:cs="Arial"/>
                <w:sz w:val="20"/>
              </w:rPr>
              <w:t>7</w:t>
            </w:r>
            <w:r>
              <w:rPr>
                <w:rFonts w:ascii="Arial" w:hAnsi="Arial" w:cs="Arial"/>
                <w:sz w:val="20"/>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759D" w14:textId="6BCDBFA6" w:rsidR="009928EF" w:rsidRPr="00B2011F" w:rsidRDefault="009928EF" w:rsidP="009928EF">
            <w:pPr>
              <w:spacing w:before="40" w:after="40"/>
              <w:rPr>
                <w:rFonts w:ascii="Arial" w:hAnsi="Arial" w:cs="Arial"/>
                <w:sz w:val="20"/>
                <w:lang w:val="es-MX" w:eastAsia="zh-CN"/>
              </w:rPr>
            </w:pPr>
            <w:r w:rsidRPr="005A6C34">
              <w:rPr>
                <w:rFonts w:ascii="Arial" w:hAnsi="Arial" w:cs="Arial"/>
                <w:noProof/>
                <w:color w:val="000000"/>
                <w:sz w:val="20"/>
                <w:lang w:val="es-MX"/>
              </w:rPr>
              <w:t>Línea de base a inicio de año y metas a diciembre de cada año.</w:t>
            </w:r>
          </w:p>
        </w:tc>
      </w:tr>
      <w:tr w:rsidR="00906A55" w:rsidRPr="005A6C34" w14:paraId="4BC6C7B9"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19944" w14:textId="4CE8C1E9" w:rsidR="00906A55" w:rsidRPr="005A6C34" w:rsidRDefault="00906A55" w:rsidP="00906A55">
            <w:pPr>
              <w:pStyle w:val="ListParagraph"/>
              <w:spacing w:before="40" w:after="40"/>
              <w:ind w:left="0"/>
              <w:rPr>
                <w:rFonts w:ascii="Arial" w:hAnsi="Arial" w:cs="Arial"/>
                <w:color w:val="000000"/>
                <w:spacing w:val="-4"/>
                <w:sz w:val="20"/>
                <w:lang w:val="es-ES"/>
              </w:rPr>
            </w:pPr>
            <w:r w:rsidRPr="005A6C34">
              <w:rPr>
                <w:rFonts w:ascii="Arial" w:hAnsi="Arial" w:cs="Arial"/>
                <w:color w:val="000000"/>
                <w:spacing w:val="-4"/>
                <w:sz w:val="20"/>
                <w:lang w:val="es-419"/>
              </w:rPr>
              <w:t>Norma</w:t>
            </w:r>
            <w:r>
              <w:rPr>
                <w:rFonts w:ascii="Arial" w:hAnsi="Arial" w:cs="Arial"/>
                <w:color w:val="000000"/>
                <w:spacing w:val="-4"/>
                <w:sz w:val="20"/>
                <w:lang w:val="es-419"/>
              </w:rPr>
              <w:t>tiva</w:t>
            </w:r>
            <w:r w:rsidRPr="005A6C34">
              <w:rPr>
                <w:rFonts w:ascii="Arial" w:hAnsi="Arial" w:cs="Arial"/>
                <w:color w:val="000000"/>
                <w:spacing w:val="-4"/>
                <w:sz w:val="20"/>
                <w:lang w:val="es-419"/>
              </w:rPr>
              <w:t xml:space="preserve"> para d</w:t>
            </w:r>
            <w:proofErr w:type="spellStart"/>
            <w:r w:rsidRPr="005A6C34">
              <w:rPr>
                <w:rFonts w:ascii="Arial" w:hAnsi="Arial" w:cs="Arial"/>
                <w:color w:val="000000"/>
                <w:spacing w:val="-4"/>
                <w:sz w:val="20"/>
                <w:lang w:val="es-ES"/>
              </w:rPr>
              <w:t>iferir</w:t>
            </w:r>
            <w:proofErr w:type="spellEnd"/>
            <w:r w:rsidRPr="005A6C34">
              <w:rPr>
                <w:rFonts w:ascii="Arial" w:hAnsi="Arial" w:cs="Arial"/>
                <w:color w:val="000000"/>
                <w:spacing w:val="-4"/>
                <w:sz w:val="20"/>
                <w:lang w:val="es-ES"/>
              </w:rPr>
              <w:t xml:space="preserve"> el pago de las facturas de servicios de agua potable, energía y telecomunicaciones de marzo, abril y mayo de 2020, las cuales se pagarán de forma prorrateada en las cuotas de los siguientes 24 meses, con medidas de focalización a los hogares más vulnerables,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9D12" w14:textId="49C2CFBF" w:rsidR="00906A55" w:rsidRPr="00B2011F" w:rsidRDefault="00906A55" w:rsidP="00906A55">
            <w:pPr>
              <w:spacing w:before="40" w:after="40"/>
              <w:jc w:val="center"/>
              <w:rPr>
                <w:rFonts w:ascii="Arial" w:hAnsi="Arial" w:cs="Arial"/>
                <w:sz w:val="20"/>
                <w:lang w:val="es-MX" w:eastAsia="zh-CN"/>
              </w:rPr>
            </w:pPr>
            <w:r>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38D6F" w14:textId="4EC4602A" w:rsidR="00906A55" w:rsidRPr="00B2011F" w:rsidRDefault="00906A55" w:rsidP="00906A55">
            <w:pPr>
              <w:spacing w:before="40" w:after="40"/>
              <w:jc w:val="center"/>
              <w:rPr>
                <w:rFonts w:ascii="Arial" w:hAnsi="Arial" w:cs="Arial"/>
                <w:sz w:val="20"/>
                <w:lang w:val="es-MX" w:eastAsia="zh-CN"/>
              </w:rPr>
            </w:pPr>
            <w:r>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5C99F" w14:textId="3C8C7681" w:rsidR="00906A55" w:rsidRPr="00B2011F" w:rsidRDefault="00906A55" w:rsidP="00906A55">
            <w:pPr>
              <w:spacing w:before="40" w:after="40"/>
              <w:jc w:val="center"/>
              <w:rPr>
                <w:rFonts w:ascii="Arial" w:hAnsi="Arial" w:cs="Arial"/>
                <w:sz w:val="20"/>
                <w:lang w:val="es-MX" w:eastAsia="zh-CN"/>
              </w:rPr>
            </w:pPr>
            <w:r>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49A9F" w14:textId="02051EBC" w:rsidR="00906A55" w:rsidRPr="00B2011F" w:rsidRDefault="00906A55" w:rsidP="00906A55">
            <w:pPr>
              <w:spacing w:before="40" w:after="40"/>
              <w:jc w:val="center"/>
              <w:rPr>
                <w:rFonts w:ascii="Arial" w:hAnsi="Arial" w:cs="Arial"/>
                <w:sz w:val="20"/>
                <w:lang w:val="es-MX" w:eastAsia="zh-CN"/>
              </w:rPr>
            </w:pPr>
            <w:r>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B900" w14:textId="4742A5E2" w:rsidR="00906A55" w:rsidRPr="005A6C34" w:rsidRDefault="00906A55" w:rsidP="00906A55">
            <w:pPr>
              <w:spacing w:before="40" w:after="40"/>
              <w:rPr>
                <w:rFonts w:ascii="Arial" w:hAnsi="Arial" w:cs="Arial"/>
                <w:color w:val="000000"/>
                <w:spacing w:val="-4"/>
                <w:sz w:val="20"/>
                <w:lang w:val="es-ES"/>
              </w:rPr>
            </w:pPr>
            <w:r w:rsidRPr="00B110B9">
              <w:rPr>
                <w:rFonts w:ascii="Arial" w:hAnsi="Arial" w:cs="Arial"/>
                <w:sz w:val="20"/>
              </w:rPr>
              <w:t>Publicación en el D</w:t>
            </w:r>
            <w:r>
              <w:rPr>
                <w:rFonts w:ascii="Arial" w:hAnsi="Arial" w:cs="Arial"/>
                <w:sz w:val="20"/>
              </w:rPr>
              <w:t xml:space="preserve">O del </w:t>
            </w:r>
            <w:r w:rsidRPr="00B110B9">
              <w:rPr>
                <w:rFonts w:ascii="Arial" w:hAnsi="Arial" w:cs="Arial"/>
                <w:sz w:val="20"/>
              </w:rPr>
              <w:t>D</w:t>
            </w:r>
            <w:r>
              <w:rPr>
                <w:rFonts w:ascii="Arial" w:hAnsi="Arial" w:cs="Arial"/>
                <w:sz w:val="20"/>
              </w:rPr>
              <w:t>L </w:t>
            </w:r>
            <w:r w:rsidRPr="00B110B9">
              <w:rPr>
                <w:rFonts w:ascii="Arial" w:hAnsi="Arial" w:cs="Arial"/>
                <w:sz w:val="20"/>
              </w:rPr>
              <w:t>601</w:t>
            </w:r>
            <w:r>
              <w:rPr>
                <w:rFonts w:ascii="Arial" w:hAnsi="Arial" w:cs="Arial"/>
                <w:sz w:val="20"/>
              </w:rPr>
              <w:t>.</w:t>
            </w:r>
            <w:r w:rsidRPr="00B110B9">
              <w:rPr>
                <w:rFonts w:ascii="Arial" w:hAnsi="Arial" w:cs="Arial"/>
                <w:sz w:val="20"/>
              </w:rPr>
              <w:t xml:space="preserve"> </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1CC8" w14:textId="2C07DC45" w:rsidR="00906A55" w:rsidRPr="005A6C34" w:rsidRDefault="00906A55" w:rsidP="00906A55">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B80C9B" w:rsidRPr="005A6C34" w14:paraId="46CECC15"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8DE59" w14:textId="632DC029" w:rsidR="00B80C9B" w:rsidRPr="00B2011F" w:rsidRDefault="00B80C9B" w:rsidP="00B80C9B">
            <w:pPr>
              <w:pStyle w:val="ListParagraph"/>
              <w:spacing w:before="40" w:after="40"/>
              <w:ind w:left="0"/>
              <w:rPr>
                <w:rFonts w:ascii="Arial" w:hAnsi="Arial" w:cs="Arial"/>
                <w:sz w:val="20"/>
                <w:lang w:val="es-MX" w:eastAsia="zh-CN"/>
              </w:rPr>
            </w:pPr>
            <w:r w:rsidRPr="005A6C34">
              <w:rPr>
                <w:rFonts w:ascii="Arial" w:hAnsi="Arial" w:cs="Arial"/>
                <w:color w:val="000000"/>
                <w:spacing w:val="-4"/>
                <w:sz w:val="20"/>
                <w:lang w:val="es-ES"/>
              </w:rPr>
              <w:t xml:space="preserve">Normativa para la asignación de </w:t>
            </w:r>
            <w:r>
              <w:rPr>
                <w:rFonts w:ascii="Arial" w:hAnsi="Arial" w:cs="Arial"/>
                <w:color w:val="000000"/>
                <w:spacing w:val="-4"/>
                <w:sz w:val="20"/>
                <w:lang w:val="es-ES"/>
              </w:rPr>
              <w:t xml:space="preserve">una cuota compensatoria de viáticos mensual </w:t>
            </w:r>
            <w:r w:rsidRPr="005A6C34">
              <w:rPr>
                <w:rFonts w:ascii="Arial" w:hAnsi="Arial" w:cs="Arial"/>
                <w:color w:val="000000"/>
                <w:spacing w:val="-4"/>
                <w:sz w:val="20"/>
                <w:lang w:val="es-ES"/>
              </w:rPr>
              <w:t xml:space="preserve">de </w:t>
            </w:r>
            <w:r>
              <w:rPr>
                <w:rFonts w:ascii="Arial" w:hAnsi="Arial" w:cs="Arial"/>
                <w:color w:val="000000"/>
                <w:spacing w:val="-4"/>
                <w:sz w:val="20"/>
                <w:lang w:val="es-ES"/>
              </w:rPr>
              <w:t>US</w:t>
            </w:r>
            <w:r w:rsidRPr="005A6C34">
              <w:rPr>
                <w:rFonts w:ascii="Arial" w:hAnsi="Arial" w:cs="Arial"/>
                <w:color w:val="000000"/>
                <w:spacing w:val="-4"/>
                <w:sz w:val="20"/>
                <w:lang w:val="es-ES"/>
              </w:rPr>
              <w:t>$150</w:t>
            </w:r>
            <w:r>
              <w:rPr>
                <w:rFonts w:ascii="Arial" w:hAnsi="Arial" w:cs="Arial"/>
                <w:color w:val="000000"/>
                <w:spacing w:val="-4"/>
                <w:sz w:val="20"/>
                <w:lang w:val="es-ES"/>
              </w:rPr>
              <w:t xml:space="preserve"> durante el estado de emergencia, </w:t>
            </w:r>
            <w:r w:rsidRPr="005A6C34">
              <w:rPr>
                <w:rFonts w:ascii="Arial" w:hAnsi="Arial" w:cs="Arial"/>
                <w:color w:val="000000"/>
                <w:spacing w:val="-4"/>
                <w:sz w:val="20"/>
                <w:lang w:val="es-ES"/>
              </w:rPr>
              <w:t xml:space="preserve">a los </w:t>
            </w:r>
            <w:r w:rsidRPr="005A6C34">
              <w:rPr>
                <w:rFonts w:ascii="Arial" w:hAnsi="Arial" w:cs="Arial"/>
                <w:color w:val="000000"/>
                <w:spacing w:val="-4"/>
                <w:sz w:val="20"/>
                <w:lang w:val="es-ES"/>
              </w:rPr>
              <w:lastRenderedPageBreak/>
              <w:t xml:space="preserve">trabajadores del Estado </w:t>
            </w:r>
            <w:r>
              <w:rPr>
                <w:rFonts w:ascii="Arial" w:hAnsi="Arial" w:cs="Arial"/>
                <w:color w:val="000000"/>
                <w:spacing w:val="-4"/>
                <w:sz w:val="20"/>
                <w:lang w:val="es-ES"/>
              </w:rPr>
              <w:t>designados para participar en el combate al COVID-19</w:t>
            </w:r>
            <w:r w:rsidRPr="005A6C34">
              <w:rPr>
                <w:rFonts w:ascii="Arial" w:hAnsi="Arial" w:cs="Arial"/>
                <w:color w:val="000000"/>
                <w:spacing w:val="-4"/>
                <w:sz w:val="20"/>
                <w:lang w:val="es-ES"/>
              </w:rPr>
              <w:t>,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6C384" w14:textId="28804332" w:rsidR="00B80C9B" w:rsidRPr="00B2011F" w:rsidRDefault="00B80C9B" w:rsidP="00B80C9B">
            <w:pPr>
              <w:spacing w:before="40" w:after="40"/>
              <w:jc w:val="center"/>
              <w:rPr>
                <w:rFonts w:ascii="Arial" w:hAnsi="Arial" w:cs="Arial"/>
                <w:sz w:val="20"/>
                <w:lang w:val="es-MX" w:eastAsia="zh-CN"/>
              </w:rPr>
            </w:pPr>
            <w:r w:rsidRPr="00B2011F">
              <w:rPr>
                <w:rFonts w:ascii="Arial" w:hAnsi="Arial" w:cs="Arial"/>
                <w:sz w:val="20"/>
                <w:lang w:val="es-MX" w:eastAsia="zh-CN"/>
              </w:rPr>
              <w:lastRenderedPageBreak/>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67DD" w14:textId="6DE6B67C" w:rsidR="00B80C9B" w:rsidRPr="00B2011F" w:rsidRDefault="00B80C9B" w:rsidP="00B80C9B">
            <w:pPr>
              <w:spacing w:before="40" w:after="40"/>
              <w:jc w:val="center"/>
              <w:rPr>
                <w:rFonts w:ascii="Arial" w:hAnsi="Arial" w:cs="Arial"/>
                <w:sz w:val="20"/>
                <w:lang w:val="es-MX" w:eastAsia="zh-CN"/>
              </w:rPr>
            </w:pPr>
            <w:r w:rsidRPr="00B2011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32A6" w14:textId="0EA92A92" w:rsidR="00B80C9B" w:rsidRPr="00B2011F" w:rsidRDefault="00B80C9B" w:rsidP="00B80C9B">
            <w:pPr>
              <w:spacing w:before="40" w:after="40"/>
              <w:jc w:val="center"/>
              <w:rPr>
                <w:rFonts w:ascii="Arial" w:hAnsi="Arial" w:cs="Arial"/>
                <w:sz w:val="20"/>
                <w:lang w:val="es-MX" w:eastAsia="zh-CN"/>
              </w:rPr>
            </w:pPr>
            <w:r w:rsidRPr="00B2011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BC7F9" w14:textId="53854E42" w:rsidR="00B80C9B" w:rsidRPr="00B2011F" w:rsidRDefault="00B80C9B" w:rsidP="00B80C9B">
            <w:pPr>
              <w:spacing w:before="40" w:after="40"/>
              <w:jc w:val="center"/>
              <w:rPr>
                <w:rFonts w:ascii="Arial" w:hAnsi="Arial" w:cs="Arial"/>
                <w:sz w:val="20"/>
                <w:lang w:val="es-MX" w:eastAsia="zh-CN"/>
              </w:rPr>
            </w:pPr>
            <w:r w:rsidRPr="00B2011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361BE" w14:textId="0183B8B3" w:rsidR="00B80C9B" w:rsidRPr="00B2011F" w:rsidRDefault="00B80C9B" w:rsidP="00B80C9B">
            <w:pPr>
              <w:spacing w:before="40" w:after="40"/>
              <w:rPr>
                <w:rFonts w:ascii="Arial" w:hAnsi="Arial" w:cs="Arial"/>
                <w:sz w:val="20"/>
                <w:lang w:val="es-MX" w:eastAsia="zh-CN"/>
              </w:rPr>
            </w:pPr>
            <w:r w:rsidRPr="00B110B9">
              <w:rPr>
                <w:rFonts w:ascii="Arial" w:hAnsi="Arial" w:cs="Arial"/>
                <w:sz w:val="20"/>
              </w:rPr>
              <w:t>Publicación en el D</w:t>
            </w:r>
            <w:r>
              <w:rPr>
                <w:rFonts w:ascii="Arial" w:hAnsi="Arial" w:cs="Arial"/>
                <w:sz w:val="20"/>
              </w:rPr>
              <w:t xml:space="preserve">O del </w:t>
            </w:r>
            <w:r w:rsidRPr="00B110B9">
              <w:rPr>
                <w:rFonts w:ascii="Arial" w:hAnsi="Arial" w:cs="Arial"/>
                <w:sz w:val="20"/>
              </w:rPr>
              <w:lastRenderedPageBreak/>
              <w:t>Decreto Ejecutivo 16</w:t>
            </w:r>
            <w:r>
              <w:rPr>
                <w:rFonts w:ascii="Arial" w:hAnsi="Arial" w:cs="Arial"/>
                <w:sz w:val="20"/>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97809" w14:textId="0BE5C096" w:rsidR="00B80C9B" w:rsidRPr="005A6C34" w:rsidRDefault="00B80C9B" w:rsidP="00B80C9B">
            <w:pPr>
              <w:spacing w:before="40" w:after="40"/>
              <w:rPr>
                <w:rFonts w:ascii="Arial" w:hAnsi="Arial" w:cs="Arial"/>
                <w:noProof/>
                <w:color w:val="000000"/>
                <w:sz w:val="20"/>
                <w:lang w:val="es-MX"/>
              </w:rPr>
            </w:pPr>
            <w:r w:rsidRPr="005A6C34">
              <w:rPr>
                <w:rFonts w:ascii="Arial" w:hAnsi="Arial" w:cs="Arial"/>
                <w:noProof/>
                <w:color w:val="000000"/>
                <w:sz w:val="20"/>
                <w:lang w:val="es-MX"/>
              </w:rPr>
              <w:lastRenderedPageBreak/>
              <w:t>Línea de base a inicio de año y metas a diciembre de cada año.</w:t>
            </w:r>
          </w:p>
        </w:tc>
      </w:tr>
      <w:tr w:rsidR="00A1024E" w:rsidRPr="005A6C34" w14:paraId="2EEBCC68"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8212B" w14:textId="2455310C" w:rsidR="00A1024E" w:rsidRPr="00B2011F" w:rsidRDefault="00A1024E" w:rsidP="00A1024E">
            <w:pPr>
              <w:pStyle w:val="ListParagraph"/>
              <w:spacing w:before="40" w:after="40"/>
              <w:ind w:left="0"/>
              <w:rPr>
                <w:rFonts w:ascii="Arial" w:hAnsi="Arial" w:cs="Arial"/>
                <w:sz w:val="20"/>
                <w:lang w:val="es-MX" w:eastAsia="zh-CN"/>
              </w:rPr>
            </w:pPr>
            <w:r w:rsidRPr="005A6C34">
              <w:rPr>
                <w:rFonts w:ascii="Arial" w:hAnsi="Arial" w:cs="Arial"/>
                <w:color w:val="000000"/>
                <w:spacing w:val="-4"/>
                <w:sz w:val="20"/>
                <w:lang w:val="es-ES"/>
              </w:rPr>
              <w:t>Normativa para exonerar el pago de la contribución especial para la promoción del turismo, regulada en el artículo 16, del Capítulo V de la Ley de Turismo, durante el plazo de tres meses,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D1270" w14:textId="11613F29" w:rsidR="00A1024E" w:rsidRPr="00B2011F" w:rsidRDefault="00A1024E" w:rsidP="00A1024E">
            <w:pPr>
              <w:spacing w:before="40" w:after="40"/>
              <w:jc w:val="center"/>
              <w:rPr>
                <w:rFonts w:ascii="Arial" w:hAnsi="Arial" w:cs="Arial"/>
                <w:sz w:val="20"/>
                <w:lang w:val="es-MX" w:eastAsia="zh-CN"/>
              </w:rPr>
            </w:pPr>
            <w:r w:rsidRPr="00B2011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925C9" w14:textId="2D938C30" w:rsidR="00A1024E" w:rsidRPr="00B2011F" w:rsidRDefault="00A1024E" w:rsidP="00A1024E">
            <w:pPr>
              <w:spacing w:before="40" w:after="40"/>
              <w:jc w:val="center"/>
              <w:rPr>
                <w:rFonts w:ascii="Arial" w:hAnsi="Arial" w:cs="Arial"/>
                <w:sz w:val="20"/>
                <w:lang w:val="es-MX" w:eastAsia="zh-CN"/>
              </w:rPr>
            </w:pPr>
            <w:r w:rsidRPr="00B2011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545C" w14:textId="130BC4F0" w:rsidR="00A1024E" w:rsidRPr="00B2011F" w:rsidRDefault="00A1024E" w:rsidP="00A1024E">
            <w:pPr>
              <w:spacing w:before="40" w:after="40"/>
              <w:jc w:val="center"/>
              <w:rPr>
                <w:rFonts w:ascii="Arial" w:hAnsi="Arial" w:cs="Arial"/>
                <w:sz w:val="20"/>
                <w:lang w:val="es-MX" w:eastAsia="zh-CN"/>
              </w:rPr>
            </w:pPr>
            <w:r w:rsidRPr="00B2011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FF3B6" w14:textId="169EDECF" w:rsidR="00A1024E" w:rsidRPr="00B2011F" w:rsidRDefault="00A1024E" w:rsidP="00A1024E">
            <w:pPr>
              <w:spacing w:before="40" w:after="40"/>
              <w:jc w:val="center"/>
              <w:rPr>
                <w:rFonts w:ascii="Arial" w:hAnsi="Arial" w:cs="Arial"/>
                <w:sz w:val="20"/>
                <w:lang w:val="es-MX" w:eastAsia="zh-CN"/>
              </w:rPr>
            </w:pPr>
            <w:r w:rsidRPr="00B2011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55FFD" w14:textId="28F7821F" w:rsidR="00A1024E" w:rsidRPr="00B2011F" w:rsidRDefault="00A1024E" w:rsidP="00A1024E">
            <w:pPr>
              <w:spacing w:before="40" w:after="40"/>
              <w:rPr>
                <w:rFonts w:ascii="Arial" w:hAnsi="Arial" w:cs="Arial"/>
                <w:sz w:val="20"/>
                <w:lang w:val="es-MX" w:eastAsia="zh-CN"/>
              </w:rPr>
            </w:pPr>
            <w:r w:rsidRPr="00B110B9">
              <w:rPr>
                <w:rFonts w:ascii="Arial" w:hAnsi="Arial" w:cs="Arial"/>
                <w:sz w:val="20"/>
              </w:rPr>
              <w:t>Publicación en el D</w:t>
            </w:r>
            <w:r>
              <w:rPr>
                <w:rFonts w:ascii="Arial" w:hAnsi="Arial" w:cs="Arial"/>
                <w:sz w:val="20"/>
              </w:rPr>
              <w:t>O del DL </w:t>
            </w:r>
            <w:r w:rsidRPr="00B110B9">
              <w:rPr>
                <w:rFonts w:ascii="Arial" w:hAnsi="Arial" w:cs="Arial"/>
                <w:sz w:val="20"/>
              </w:rPr>
              <w:t>598</w:t>
            </w:r>
            <w:r>
              <w:rPr>
                <w:rFonts w:ascii="Arial" w:hAnsi="Arial" w:cs="Arial"/>
                <w:sz w:val="20"/>
              </w:rPr>
              <w:t>.</w:t>
            </w:r>
            <w:r w:rsidRPr="00B110B9">
              <w:rPr>
                <w:rFonts w:ascii="Arial" w:hAnsi="Arial" w:cs="Arial"/>
                <w:sz w:val="20"/>
              </w:rPr>
              <w:t xml:space="preserve"> </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042B4" w14:textId="693692EA" w:rsidR="00A1024E" w:rsidRPr="005A6C34" w:rsidRDefault="00A1024E" w:rsidP="00A1024E">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9B37A3" w:rsidRPr="00B2011F" w14:paraId="5805BEC1"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D8388" w14:textId="1E373123" w:rsidR="009B37A3" w:rsidRPr="00B2011F" w:rsidRDefault="009B37A3" w:rsidP="009B37A3">
            <w:pPr>
              <w:pStyle w:val="ListParagraph"/>
              <w:spacing w:before="40" w:after="40"/>
              <w:ind w:left="0"/>
              <w:rPr>
                <w:rFonts w:ascii="Arial" w:hAnsi="Arial" w:cs="Arial"/>
                <w:sz w:val="20"/>
                <w:lang w:val="es-MX" w:eastAsia="zh-CN"/>
              </w:rPr>
            </w:pPr>
            <w:r w:rsidRPr="005A6C34">
              <w:rPr>
                <w:rFonts w:ascii="Arial" w:hAnsi="Arial" w:cs="Arial"/>
                <w:color w:val="000000"/>
                <w:spacing w:val="-4"/>
                <w:sz w:val="20"/>
                <w:lang w:val="es-ES"/>
              </w:rPr>
              <w:t>Normativa para prorrogar el plazo para efectuar el pago, exento de intereses, recargos y multas del I</w:t>
            </w:r>
            <w:r>
              <w:rPr>
                <w:rFonts w:ascii="Arial" w:hAnsi="Arial" w:cs="Arial"/>
                <w:color w:val="000000"/>
                <w:spacing w:val="-4"/>
                <w:sz w:val="20"/>
                <w:lang w:val="es-ES"/>
              </w:rPr>
              <w:t>SR</w:t>
            </w:r>
            <w:r w:rsidRPr="005A6C34">
              <w:rPr>
                <w:rFonts w:ascii="Arial" w:hAnsi="Arial" w:cs="Arial"/>
                <w:color w:val="000000"/>
                <w:spacing w:val="-4"/>
                <w:sz w:val="20"/>
                <w:lang w:val="es-ES"/>
              </w:rPr>
              <w:t xml:space="preserve"> correspondiente al ejercicio 2019 de aquellos sujetos pasivos que se dedican al sector turismo, cuyo impuesto a pagar sea igual o inferior a </w:t>
            </w:r>
            <w:r>
              <w:rPr>
                <w:rFonts w:ascii="Arial" w:hAnsi="Arial" w:cs="Arial"/>
                <w:color w:val="000000"/>
                <w:spacing w:val="-4"/>
                <w:sz w:val="20"/>
                <w:lang w:val="es-ES"/>
              </w:rPr>
              <w:t>US</w:t>
            </w:r>
            <w:r w:rsidRPr="005A6C34">
              <w:rPr>
                <w:rFonts w:ascii="Arial" w:hAnsi="Arial" w:cs="Arial"/>
                <w:color w:val="000000"/>
                <w:spacing w:val="-4"/>
                <w:sz w:val="20"/>
                <w:lang w:val="es-ES"/>
              </w:rPr>
              <w:t>$25</w:t>
            </w:r>
            <w:r>
              <w:rPr>
                <w:rFonts w:ascii="Arial" w:hAnsi="Arial" w:cs="Arial"/>
                <w:color w:val="000000"/>
                <w:spacing w:val="-4"/>
                <w:sz w:val="20"/>
                <w:lang w:val="es-ES"/>
              </w:rPr>
              <w:t>.</w:t>
            </w:r>
            <w:r w:rsidRPr="005A6C34">
              <w:rPr>
                <w:rFonts w:ascii="Arial" w:hAnsi="Arial" w:cs="Arial"/>
                <w:color w:val="000000"/>
                <w:spacing w:val="-4"/>
                <w:sz w:val="20"/>
                <w:lang w:val="es-ES"/>
              </w:rPr>
              <w:t xml:space="preserve">000, hasta el día </w:t>
            </w:r>
            <w:r>
              <w:rPr>
                <w:rFonts w:ascii="Arial" w:hAnsi="Arial" w:cs="Arial"/>
                <w:color w:val="000000"/>
                <w:spacing w:val="-4"/>
                <w:sz w:val="20"/>
                <w:lang w:val="es-ES"/>
              </w:rPr>
              <w:t>31 de mayo de 2020</w:t>
            </w:r>
            <w:r w:rsidRPr="005A6C34">
              <w:rPr>
                <w:rFonts w:ascii="Arial" w:hAnsi="Arial" w:cs="Arial"/>
                <w:color w:val="000000"/>
                <w:spacing w:val="-4"/>
                <w:sz w:val="20"/>
                <w:lang w:val="es-ES"/>
              </w:rPr>
              <w:t>,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BB266" w14:textId="2371BC2E" w:rsidR="009B37A3" w:rsidRPr="00B2011F" w:rsidRDefault="009B37A3" w:rsidP="009B37A3">
            <w:pPr>
              <w:spacing w:before="40" w:after="40"/>
              <w:jc w:val="center"/>
              <w:rPr>
                <w:rFonts w:ascii="Arial" w:hAnsi="Arial" w:cs="Arial"/>
                <w:sz w:val="20"/>
                <w:lang w:val="es-MX" w:eastAsia="zh-CN"/>
              </w:rPr>
            </w:pPr>
            <w:r w:rsidRPr="00B2011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7E386" w14:textId="6C75B91A" w:rsidR="009B37A3" w:rsidRPr="00B2011F" w:rsidRDefault="009B37A3" w:rsidP="009B37A3">
            <w:pPr>
              <w:spacing w:before="40" w:after="40"/>
              <w:jc w:val="center"/>
              <w:rPr>
                <w:rFonts w:ascii="Arial" w:hAnsi="Arial" w:cs="Arial"/>
                <w:sz w:val="20"/>
                <w:lang w:val="es-MX" w:eastAsia="zh-CN"/>
              </w:rPr>
            </w:pPr>
            <w:r w:rsidRPr="00B2011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057CE" w14:textId="0BABDFA8" w:rsidR="009B37A3" w:rsidRPr="00B2011F" w:rsidRDefault="009B37A3" w:rsidP="009B37A3">
            <w:pPr>
              <w:spacing w:before="40" w:after="40"/>
              <w:jc w:val="center"/>
              <w:rPr>
                <w:rFonts w:ascii="Arial" w:hAnsi="Arial" w:cs="Arial"/>
                <w:sz w:val="20"/>
                <w:lang w:val="es-MX" w:eastAsia="zh-CN"/>
              </w:rPr>
            </w:pPr>
            <w:r w:rsidRPr="00B2011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568A7" w14:textId="08B46180" w:rsidR="009B37A3" w:rsidRPr="00B2011F" w:rsidRDefault="009B37A3" w:rsidP="009B37A3">
            <w:pPr>
              <w:spacing w:before="40" w:after="40"/>
              <w:jc w:val="center"/>
              <w:rPr>
                <w:rFonts w:ascii="Arial" w:hAnsi="Arial" w:cs="Arial"/>
                <w:sz w:val="20"/>
                <w:lang w:val="es-MX" w:eastAsia="zh-CN"/>
              </w:rPr>
            </w:pPr>
            <w:r w:rsidRPr="00B2011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CC14F" w14:textId="13CB9314" w:rsidR="009B37A3" w:rsidRPr="00B2011F" w:rsidRDefault="009B37A3" w:rsidP="009B37A3">
            <w:pPr>
              <w:spacing w:before="40" w:after="40"/>
              <w:rPr>
                <w:rFonts w:ascii="Arial" w:hAnsi="Arial" w:cs="Arial"/>
                <w:sz w:val="20"/>
                <w:lang w:val="es-MX" w:eastAsia="zh-CN"/>
              </w:rPr>
            </w:pPr>
            <w:r w:rsidRPr="00B110B9">
              <w:rPr>
                <w:rFonts w:ascii="Arial" w:hAnsi="Arial" w:cs="Arial"/>
                <w:sz w:val="20"/>
              </w:rPr>
              <w:t>Publicación en el D</w:t>
            </w:r>
            <w:r>
              <w:rPr>
                <w:rFonts w:ascii="Arial" w:hAnsi="Arial" w:cs="Arial"/>
                <w:sz w:val="20"/>
              </w:rPr>
              <w:t>O del DL </w:t>
            </w:r>
            <w:r w:rsidRPr="00B110B9">
              <w:rPr>
                <w:rFonts w:ascii="Arial" w:hAnsi="Arial" w:cs="Arial"/>
                <w:sz w:val="20"/>
              </w:rPr>
              <w:t>598</w:t>
            </w:r>
            <w:r>
              <w:rPr>
                <w:rFonts w:ascii="Arial" w:hAnsi="Arial" w:cs="Arial"/>
                <w:sz w:val="20"/>
              </w:rPr>
              <w:t>.</w:t>
            </w:r>
            <w:r w:rsidRPr="00B110B9">
              <w:rPr>
                <w:rFonts w:ascii="Arial" w:hAnsi="Arial" w:cs="Arial"/>
                <w:sz w:val="20"/>
              </w:rPr>
              <w:t xml:space="preserve"> </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0CA17" w14:textId="48E29178" w:rsidR="009B37A3" w:rsidRPr="00B2011F" w:rsidRDefault="009B37A3" w:rsidP="009B37A3">
            <w:pPr>
              <w:spacing w:before="40" w:after="40"/>
              <w:rPr>
                <w:rFonts w:ascii="Arial" w:hAnsi="Arial" w:cs="Arial"/>
                <w:sz w:val="20"/>
                <w:lang w:val="es-MX" w:eastAsia="zh-CN"/>
              </w:rPr>
            </w:pPr>
            <w:r w:rsidRPr="005A6C34">
              <w:rPr>
                <w:rFonts w:ascii="Arial" w:hAnsi="Arial" w:cs="Arial"/>
                <w:noProof/>
                <w:color w:val="000000"/>
                <w:sz w:val="20"/>
                <w:lang w:val="es-MX"/>
              </w:rPr>
              <w:t>Línea de base a inicio de año y metas a diciembre de cada año.</w:t>
            </w:r>
          </w:p>
        </w:tc>
      </w:tr>
      <w:tr w:rsidR="00922BB1" w:rsidRPr="005A6C34" w14:paraId="4AF86901"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3C941" w14:textId="255FE7C5" w:rsidR="00922BB1" w:rsidRPr="005A6C34" w:rsidRDefault="00922BB1" w:rsidP="00922BB1">
            <w:pPr>
              <w:pStyle w:val="ListParagraph"/>
              <w:spacing w:before="40" w:after="40"/>
              <w:ind w:left="0"/>
              <w:rPr>
                <w:rFonts w:ascii="Arial" w:hAnsi="Arial" w:cs="Arial"/>
                <w:color w:val="000000"/>
                <w:spacing w:val="-4"/>
                <w:sz w:val="20"/>
                <w:lang w:val="es-ES"/>
              </w:rPr>
            </w:pPr>
            <w:r w:rsidRPr="005A6C34">
              <w:rPr>
                <w:rFonts w:ascii="Arial" w:hAnsi="Arial" w:cs="Arial"/>
                <w:color w:val="000000"/>
                <w:spacing w:val="-4"/>
                <w:sz w:val="20"/>
                <w:lang w:val="es-ES"/>
              </w:rPr>
              <w:t>Normativa para prorrogar el plazo para efectuar el pago del I</w:t>
            </w:r>
            <w:r>
              <w:rPr>
                <w:rFonts w:ascii="Arial" w:hAnsi="Arial" w:cs="Arial"/>
                <w:color w:val="000000"/>
                <w:spacing w:val="-4"/>
                <w:sz w:val="20"/>
                <w:lang w:val="es-ES"/>
              </w:rPr>
              <w:t>SR</w:t>
            </w:r>
            <w:r w:rsidRPr="005A6C34">
              <w:rPr>
                <w:rFonts w:ascii="Arial" w:hAnsi="Arial" w:cs="Arial"/>
                <w:color w:val="000000"/>
                <w:spacing w:val="-4"/>
                <w:sz w:val="20"/>
                <w:lang w:val="es-ES"/>
              </w:rPr>
              <w:t xml:space="preserve"> correspondiente al ejercicio impositivo 2019 a todos aquellos sujetos pasivos, cuyo impuesto a pagar sea igual o inferior a </w:t>
            </w:r>
            <w:r>
              <w:rPr>
                <w:rFonts w:ascii="Arial" w:hAnsi="Arial" w:cs="Arial"/>
                <w:color w:val="000000"/>
                <w:spacing w:val="-4"/>
                <w:sz w:val="20"/>
                <w:lang w:val="es-ES"/>
              </w:rPr>
              <w:t>US</w:t>
            </w:r>
            <w:r w:rsidRPr="005A6C34">
              <w:rPr>
                <w:rFonts w:ascii="Arial" w:hAnsi="Arial" w:cs="Arial"/>
                <w:color w:val="000000"/>
                <w:spacing w:val="-4"/>
                <w:sz w:val="20"/>
                <w:lang w:val="es-ES"/>
              </w:rPr>
              <w:t>$10</w:t>
            </w:r>
            <w:r>
              <w:rPr>
                <w:rFonts w:ascii="Arial" w:hAnsi="Arial" w:cs="Arial"/>
                <w:color w:val="000000"/>
                <w:spacing w:val="-4"/>
                <w:sz w:val="20"/>
                <w:lang w:val="es-ES"/>
              </w:rPr>
              <w:t>.</w:t>
            </w:r>
            <w:r w:rsidRPr="005A6C34">
              <w:rPr>
                <w:rFonts w:ascii="Arial" w:hAnsi="Arial" w:cs="Arial"/>
                <w:color w:val="000000"/>
                <w:spacing w:val="-4"/>
                <w:sz w:val="20"/>
                <w:lang w:val="es-ES"/>
              </w:rPr>
              <w:t>000,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CA5F8" w14:textId="3D2B463D" w:rsidR="00922BB1" w:rsidRPr="00B2011F" w:rsidRDefault="00922BB1" w:rsidP="00922BB1">
            <w:pPr>
              <w:spacing w:before="40" w:after="40"/>
              <w:jc w:val="center"/>
              <w:rPr>
                <w:rFonts w:ascii="Arial" w:hAnsi="Arial" w:cs="Arial"/>
                <w:sz w:val="20"/>
                <w:lang w:val="es-MX" w:eastAsia="zh-CN"/>
              </w:rPr>
            </w:pPr>
            <w:r w:rsidRPr="00B2011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7EF8A" w14:textId="6663B054" w:rsidR="00922BB1" w:rsidRPr="00B2011F" w:rsidRDefault="00922BB1" w:rsidP="00922BB1">
            <w:pPr>
              <w:spacing w:before="40" w:after="40"/>
              <w:jc w:val="center"/>
              <w:rPr>
                <w:rFonts w:ascii="Arial" w:hAnsi="Arial" w:cs="Arial"/>
                <w:sz w:val="20"/>
                <w:lang w:val="es-MX" w:eastAsia="zh-CN"/>
              </w:rPr>
            </w:pPr>
            <w:r w:rsidRPr="00B2011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D4FD0" w14:textId="0BA56143" w:rsidR="00922BB1" w:rsidRPr="00B2011F" w:rsidRDefault="00922BB1" w:rsidP="00922BB1">
            <w:pPr>
              <w:spacing w:before="40" w:after="40"/>
              <w:jc w:val="center"/>
              <w:rPr>
                <w:rFonts w:ascii="Arial" w:hAnsi="Arial" w:cs="Arial"/>
                <w:sz w:val="20"/>
                <w:lang w:val="es-MX" w:eastAsia="zh-CN"/>
              </w:rPr>
            </w:pPr>
            <w:r w:rsidRPr="00B2011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B8765" w14:textId="704BE613" w:rsidR="00922BB1" w:rsidRPr="00B2011F" w:rsidRDefault="00922BB1" w:rsidP="00922BB1">
            <w:pPr>
              <w:spacing w:before="40" w:after="40"/>
              <w:jc w:val="center"/>
              <w:rPr>
                <w:rFonts w:ascii="Arial" w:hAnsi="Arial" w:cs="Arial"/>
                <w:sz w:val="20"/>
                <w:lang w:val="es-MX" w:eastAsia="zh-CN"/>
              </w:rPr>
            </w:pPr>
            <w:r w:rsidRPr="00B2011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62DAC" w14:textId="18FE0217" w:rsidR="00922BB1" w:rsidRPr="005A6C34" w:rsidRDefault="00922BB1" w:rsidP="00922BB1">
            <w:pPr>
              <w:spacing w:before="40" w:after="40"/>
              <w:rPr>
                <w:rFonts w:ascii="Arial" w:hAnsi="Arial" w:cs="Arial"/>
                <w:color w:val="000000"/>
                <w:spacing w:val="-4"/>
                <w:sz w:val="20"/>
                <w:lang w:val="es-ES"/>
              </w:rPr>
            </w:pPr>
            <w:r w:rsidRPr="00B110B9">
              <w:rPr>
                <w:rFonts w:ascii="Arial" w:hAnsi="Arial" w:cs="Arial"/>
                <w:sz w:val="20"/>
              </w:rPr>
              <w:t>Publicación en el D</w:t>
            </w:r>
            <w:r>
              <w:rPr>
                <w:rFonts w:ascii="Arial" w:hAnsi="Arial" w:cs="Arial"/>
                <w:sz w:val="20"/>
              </w:rPr>
              <w:t>O del DL </w:t>
            </w:r>
            <w:r w:rsidRPr="00B110B9">
              <w:rPr>
                <w:rFonts w:ascii="Arial" w:hAnsi="Arial" w:cs="Arial"/>
                <w:sz w:val="20"/>
              </w:rPr>
              <w:t>598</w:t>
            </w:r>
            <w:r>
              <w:rPr>
                <w:rFonts w:ascii="Arial" w:hAnsi="Arial" w:cs="Arial"/>
                <w:sz w:val="20"/>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2DC40" w14:textId="7F096B27" w:rsidR="00922BB1" w:rsidRPr="005A6C34" w:rsidRDefault="00922BB1" w:rsidP="00922BB1">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4D0EC3" w:rsidRPr="005A6C34" w14:paraId="46D8CAFB"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123EE" w14:textId="37264355" w:rsidR="004D0EC3" w:rsidRPr="005A6C34" w:rsidRDefault="004D0EC3" w:rsidP="004D0EC3">
            <w:pPr>
              <w:pStyle w:val="ListParagraph"/>
              <w:spacing w:before="40" w:after="40"/>
              <w:ind w:left="0"/>
              <w:rPr>
                <w:rFonts w:ascii="Arial" w:hAnsi="Arial" w:cs="Arial"/>
                <w:color w:val="000000"/>
                <w:spacing w:val="-4"/>
                <w:sz w:val="20"/>
                <w:lang w:val="es-ES"/>
              </w:rPr>
            </w:pPr>
            <w:r w:rsidRPr="005A6C34">
              <w:rPr>
                <w:rFonts w:ascii="Arial" w:hAnsi="Arial" w:cs="Arial"/>
                <w:color w:val="000000"/>
                <w:spacing w:val="-4"/>
                <w:sz w:val="20"/>
                <w:lang w:val="es-ES"/>
              </w:rPr>
              <w:t>Normativa para prorrogar el plazo para efectuar el pago del I</w:t>
            </w:r>
            <w:r>
              <w:rPr>
                <w:rFonts w:ascii="Arial" w:hAnsi="Arial" w:cs="Arial"/>
                <w:color w:val="000000"/>
                <w:spacing w:val="-4"/>
                <w:sz w:val="20"/>
                <w:lang w:val="es-ES"/>
              </w:rPr>
              <w:t>SR</w:t>
            </w:r>
            <w:r w:rsidRPr="005A6C34">
              <w:rPr>
                <w:rFonts w:ascii="Arial" w:hAnsi="Arial" w:cs="Arial"/>
                <w:color w:val="000000"/>
                <w:spacing w:val="-4"/>
                <w:sz w:val="20"/>
                <w:lang w:val="es-ES"/>
              </w:rPr>
              <w:t xml:space="preserve"> del 2019 a todos los sujetos pasivos que: (</w:t>
            </w:r>
            <w:r>
              <w:rPr>
                <w:rFonts w:ascii="Arial" w:hAnsi="Arial" w:cs="Arial"/>
                <w:color w:val="000000"/>
                <w:spacing w:val="-4"/>
                <w:sz w:val="20"/>
                <w:lang w:val="es-ES"/>
              </w:rPr>
              <w:t>a</w:t>
            </w:r>
            <w:r w:rsidRPr="005A6C34">
              <w:rPr>
                <w:rFonts w:ascii="Arial" w:hAnsi="Arial" w:cs="Arial"/>
                <w:color w:val="000000"/>
                <w:spacing w:val="-4"/>
                <w:sz w:val="20"/>
                <w:lang w:val="es-ES"/>
              </w:rPr>
              <w:t>) se dedican a la generación, transmisión, distribución y comercialización de energía eléctrica; y (</w:t>
            </w:r>
            <w:r>
              <w:rPr>
                <w:rFonts w:ascii="Arial" w:hAnsi="Arial" w:cs="Arial"/>
                <w:color w:val="000000"/>
                <w:spacing w:val="-4"/>
                <w:sz w:val="20"/>
                <w:lang w:val="es-ES"/>
              </w:rPr>
              <w:t>b</w:t>
            </w:r>
            <w:r w:rsidRPr="005A6C34">
              <w:rPr>
                <w:rFonts w:ascii="Arial" w:hAnsi="Arial" w:cs="Arial"/>
                <w:color w:val="000000"/>
                <w:spacing w:val="-4"/>
                <w:sz w:val="20"/>
                <w:lang w:val="es-ES"/>
              </w:rPr>
              <w:t>) ofrecen servicios de telecomunicaciones e internet, aprobada</w:t>
            </w:r>
            <w:r>
              <w:rPr>
                <w:rFonts w:ascii="Arial" w:hAnsi="Arial" w:cs="Arial"/>
                <w:color w:val="000000"/>
                <w:spacing w:val="-4"/>
                <w:sz w:val="20"/>
                <w:lang w:val="es-E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C2FC2" w14:textId="4A395201" w:rsidR="004D0EC3" w:rsidRPr="00B2011F" w:rsidRDefault="004D0EC3" w:rsidP="004D0EC3">
            <w:pPr>
              <w:spacing w:before="40" w:after="40"/>
              <w:jc w:val="center"/>
              <w:rPr>
                <w:rFonts w:ascii="Arial" w:hAnsi="Arial" w:cs="Arial"/>
                <w:sz w:val="20"/>
                <w:lang w:val="es-MX" w:eastAsia="zh-CN"/>
              </w:rPr>
            </w:pPr>
            <w:r w:rsidRPr="00B2011F">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11E90" w14:textId="25CE823E" w:rsidR="004D0EC3" w:rsidRPr="00B2011F" w:rsidRDefault="004D0EC3" w:rsidP="004D0EC3">
            <w:pPr>
              <w:spacing w:before="40" w:after="40"/>
              <w:jc w:val="center"/>
              <w:rPr>
                <w:rFonts w:ascii="Arial" w:hAnsi="Arial" w:cs="Arial"/>
                <w:sz w:val="20"/>
                <w:lang w:val="es-MX" w:eastAsia="zh-CN"/>
              </w:rPr>
            </w:pPr>
            <w:r w:rsidRPr="00B2011F">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422C" w14:textId="5B856B05" w:rsidR="004D0EC3" w:rsidRPr="00B2011F" w:rsidRDefault="004D0EC3" w:rsidP="004D0EC3">
            <w:pPr>
              <w:spacing w:before="40" w:after="40"/>
              <w:jc w:val="center"/>
              <w:rPr>
                <w:rFonts w:ascii="Arial" w:hAnsi="Arial" w:cs="Arial"/>
                <w:sz w:val="20"/>
                <w:lang w:val="es-MX" w:eastAsia="zh-CN"/>
              </w:rPr>
            </w:pPr>
            <w:r w:rsidRPr="00B2011F">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D4CE1" w14:textId="279A7387" w:rsidR="004D0EC3" w:rsidRPr="00B2011F" w:rsidRDefault="004D0EC3" w:rsidP="004D0EC3">
            <w:pPr>
              <w:spacing w:before="40" w:after="40"/>
              <w:jc w:val="center"/>
              <w:rPr>
                <w:rFonts w:ascii="Arial" w:hAnsi="Arial" w:cs="Arial"/>
                <w:sz w:val="20"/>
                <w:lang w:val="es-MX" w:eastAsia="zh-CN"/>
              </w:rPr>
            </w:pPr>
            <w:r w:rsidRPr="00B2011F">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B24BD" w14:textId="4A030E09" w:rsidR="004D0EC3" w:rsidRPr="005A6C34" w:rsidRDefault="004D0EC3" w:rsidP="004D0EC3">
            <w:pPr>
              <w:spacing w:before="40" w:after="40"/>
              <w:rPr>
                <w:rFonts w:ascii="Arial" w:hAnsi="Arial" w:cs="Arial"/>
                <w:color w:val="000000"/>
                <w:spacing w:val="-4"/>
                <w:sz w:val="20"/>
                <w:lang w:val="es-ES"/>
              </w:rPr>
            </w:pPr>
            <w:r w:rsidRPr="00B110B9">
              <w:rPr>
                <w:rFonts w:ascii="Arial" w:hAnsi="Arial" w:cs="Arial"/>
                <w:sz w:val="20"/>
              </w:rPr>
              <w:t>Publicación en el D</w:t>
            </w:r>
            <w:r>
              <w:rPr>
                <w:rFonts w:ascii="Arial" w:hAnsi="Arial" w:cs="Arial"/>
                <w:sz w:val="20"/>
              </w:rPr>
              <w:t>O del DL </w:t>
            </w:r>
            <w:r w:rsidRPr="00B110B9">
              <w:rPr>
                <w:rFonts w:ascii="Arial" w:hAnsi="Arial" w:cs="Arial"/>
                <w:sz w:val="20"/>
              </w:rPr>
              <w:t>598</w:t>
            </w:r>
            <w:r>
              <w:rPr>
                <w:rFonts w:ascii="Arial" w:hAnsi="Arial" w:cs="Arial"/>
                <w:sz w:val="20"/>
              </w:rPr>
              <w:t>.</w:t>
            </w:r>
            <w:r w:rsidRPr="00B110B9">
              <w:rPr>
                <w:rFonts w:ascii="Arial" w:hAnsi="Arial" w:cs="Arial"/>
                <w:sz w:val="20"/>
              </w:rPr>
              <w:t xml:space="preserve"> </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D27B4" w14:textId="58991F16" w:rsidR="004D0EC3" w:rsidRPr="005A6C34" w:rsidRDefault="004D0EC3" w:rsidP="004D0EC3">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DC09C3" w:rsidRPr="00865B4B" w14:paraId="5AC7CAFC" w14:textId="77777777" w:rsidTr="00E34630">
        <w:trPr>
          <w:trHeight w:val="242"/>
        </w:trPr>
        <w:tc>
          <w:tcPr>
            <w:tcW w:w="13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05EFC791" w14:textId="77777777" w:rsidR="00DC09C3" w:rsidRPr="00865B4B" w:rsidRDefault="00DC09C3" w:rsidP="00E34630">
            <w:pPr>
              <w:spacing w:before="60" w:after="60"/>
              <w:rPr>
                <w:rFonts w:ascii="Arial" w:hAnsi="Arial" w:cs="Arial"/>
                <w:sz w:val="20"/>
                <w:lang w:val="es-MX" w:eastAsia="zh-CN"/>
              </w:rPr>
            </w:pPr>
            <w:r w:rsidRPr="00865B4B">
              <w:rPr>
                <w:rFonts w:ascii="Arial" w:hAnsi="Arial" w:cs="Arial"/>
                <w:b/>
                <w:noProof/>
                <w:color w:val="000000"/>
                <w:sz w:val="20"/>
                <w:lang w:val="es-MX"/>
              </w:rPr>
              <w:t xml:space="preserve">Componente </w:t>
            </w:r>
            <w:r>
              <w:rPr>
                <w:rFonts w:ascii="Arial" w:hAnsi="Arial" w:cs="Arial"/>
                <w:b/>
                <w:noProof/>
                <w:color w:val="000000"/>
                <w:sz w:val="20"/>
                <w:lang w:val="es-MX"/>
              </w:rPr>
              <w:t>4.</w:t>
            </w:r>
            <w:r w:rsidRPr="00865B4B">
              <w:rPr>
                <w:rFonts w:ascii="Arial" w:hAnsi="Arial" w:cs="Arial"/>
                <w:b/>
                <w:noProof/>
                <w:color w:val="000000"/>
                <w:sz w:val="20"/>
                <w:lang w:val="es-MX"/>
              </w:rPr>
              <w:t xml:space="preserve"> </w:t>
            </w:r>
            <w:r w:rsidRPr="00865B4B">
              <w:rPr>
                <w:rFonts w:ascii="Arial" w:hAnsi="Arial" w:cs="Arial"/>
                <w:b/>
                <w:spacing w:val="-4"/>
                <w:sz w:val="20"/>
                <w:lang w:val="es-MX"/>
              </w:rPr>
              <w:t>Fortalecimiento económico y fiscal para el periodo post pandemia</w:t>
            </w:r>
          </w:p>
        </w:tc>
      </w:tr>
      <w:tr w:rsidR="00EB6A12" w:rsidRPr="00865B4B" w14:paraId="550D7092"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0010" w14:textId="61174DEE" w:rsidR="00EB6A12" w:rsidRPr="00865B4B" w:rsidRDefault="00EB6A12" w:rsidP="00EB6A12">
            <w:pPr>
              <w:pStyle w:val="ListParagraph"/>
              <w:spacing w:before="40" w:after="40"/>
              <w:ind w:left="0"/>
              <w:rPr>
                <w:rFonts w:ascii="Arial" w:hAnsi="Arial" w:cs="Arial"/>
                <w:sz w:val="20"/>
                <w:lang w:val="es-MX" w:eastAsia="zh-CN"/>
              </w:rPr>
            </w:pPr>
            <w:r w:rsidRPr="005A6C34">
              <w:rPr>
                <w:rFonts w:ascii="Arial" w:hAnsi="Arial" w:cs="Arial"/>
                <w:color w:val="000000"/>
                <w:spacing w:val="-4"/>
                <w:sz w:val="20"/>
                <w:lang w:val="es-ES"/>
              </w:rPr>
              <w:t xml:space="preserve">Estudio sobre los costos económicos, sociales y fiscales estimados a raíz del COVID-19, publicado en página </w:t>
            </w:r>
            <w:r w:rsidRPr="005A6C34">
              <w:rPr>
                <w:rFonts w:ascii="Arial" w:hAnsi="Arial" w:cs="Arial"/>
                <w:i/>
                <w:iCs/>
                <w:color w:val="000000"/>
                <w:spacing w:val="-4"/>
                <w:sz w:val="20"/>
                <w:lang w:val="es-ES"/>
              </w:rPr>
              <w:t>web</w:t>
            </w:r>
            <w:r w:rsidRPr="005A6C34">
              <w:rPr>
                <w:rFonts w:ascii="Arial" w:hAnsi="Arial" w:cs="Arial"/>
                <w:color w:val="000000"/>
                <w:spacing w:val="-4"/>
                <w:sz w:val="20"/>
                <w:lang w:val="es-ES"/>
              </w:rPr>
              <w:t xml:space="preserve"> del M</w:t>
            </w:r>
            <w:r>
              <w:rPr>
                <w:rFonts w:ascii="Arial" w:hAnsi="Arial" w:cs="Arial"/>
                <w:color w:val="000000"/>
                <w:spacing w:val="-4"/>
                <w:sz w:val="20"/>
                <w:lang w:val="es-ES"/>
              </w:rPr>
              <w:t>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62978" w14:textId="1429857B" w:rsidR="00EB6A12" w:rsidRPr="00865B4B" w:rsidRDefault="00EB6A12" w:rsidP="00EB6A12">
            <w:pPr>
              <w:spacing w:before="40" w:after="40"/>
              <w:jc w:val="center"/>
              <w:rPr>
                <w:rFonts w:ascii="Arial" w:hAnsi="Arial" w:cs="Arial"/>
                <w:sz w:val="20"/>
                <w:lang w:val="es-MX" w:eastAsia="zh-CN"/>
              </w:rPr>
            </w:pPr>
            <w:r w:rsidRPr="00865B4B">
              <w:rPr>
                <w:rFonts w:ascii="Arial" w:hAnsi="Arial" w:cs="Arial"/>
                <w:sz w:val="20"/>
                <w:lang w:val="es-MX" w:eastAsia="zh-CN"/>
              </w:rPr>
              <w:t>Estudio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1E19F" w14:textId="4BCB56F8" w:rsidR="00EB6A12" w:rsidRPr="00865B4B" w:rsidRDefault="00EB6A12" w:rsidP="00EB6A12">
            <w:pPr>
              <w:spacing w:before="40" w:after="40"/>
              <w:jc w:val="center"/>
              <w:rPr>
                <w:rFonts w:ascii="Arial" w:hAnsi="Arial" w:cs="Arial"/>
                <w:sz w:val="20"/>
                <w:lang w:val="es-MX" w:eastAsia="zh-CN"/>
              </w:rPr>
            </w:pPr>
            <w:r w:rsidRPr="00865B4B">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96283" w14:textId="36E07DBE" w:rsidR="00EB6A12" w:rsidRPr="00865B4B" w:rsidRDefault="00EB6A12" w:rsidP="00EB6A12">
            <w:pPr>
              <w:spacing w:before="40" w:after="40"/>
              <w:jc w:val="center"/>
              <w:rPr>
                <w:rFonts w:ascii="Arial" w:hAnsi="Arial" w:cs="Arial"/>
                <w:sz w:val="20"/>
                <w:lang w:val="es-MX" w:eastAsia="zh-CN"/>
              </w:rPr>
            </w:pPr>
            <w:r w:rsidRPr="00865B4B">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4F596" w14:textId="30A00231" w:rsidR="00EB6A12" w:rsidRPr="00865B4B" w:rsidRDefault="00EB6A12" w:rsidP="00EB6A12">
            <w:pPr>
              <w:spacing w:before="40" w:after="40"/>
              <w:jc w:val="center"/>
              <w:rPr>
                <w:rFonts w:ascii="Arial" w:hAnsi="Arial" w:cs="Arial"/>
                <w:sz w:val="20"/>
                <w:lang w:val="es-MX" w:eastAsia="zh-CN"/>
              </w:rPr>
            </w:pPr>
            <w:r w:rsidRPr="00865B4B">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E4598" w14:textId="3BFCB9D9" w:rsidR="00EB6A12" w:rsidRPr="00865B4B" w:rsidRDefault="00EB6A12" w:rsidP="00EB6A12">
            <w:pPr>
              <w:spacing w:before="40" w:after="40"/>
              <w:rPr>
                <w:rFonts w:ascii="Arial" w:hAnsi="Arial" w:cs="Arial"/>
                <w:sz w:val="20"/>
                <w:lang w:val="es-MX" w:eastAsia="zh-CN"/>
              </w:rPr>
            </w:pPr>
            <w:r w:rsidRPr="00B110B9">
              <w:rPr>
                <w:rFonts w:ascii="Arial" w:hAnsi="Arial" w:cs="Arial"/>
                <w:sz w:val="20"/>
                <w:lang w:val="es-MX"/>
              </w:rPr>
              <w:t xml:space="preserve">Estudio sobre los costos económicos, sociales y </w:t>
            </w:r>
            <w:r w:rsidRPr="00B110B9">
              <w:rPr>
                <w:rFonts w:ascii="Arial" w:hAnsi="Arial" w:cs="Arial"/>
                <w:sz w:val="20"/>
                <w:lang w:val="es-MX"/>
              </w:rPr>
              <w:lastRenderedPageBreak/>
              <w:t xml:space="preserve">fiscales estimados a raíz del COVID-19 publicado en la </w:t>
            </w:r>
            <w:r w:rsidRPr="00B110B9">
              <w:rPr>
                <w:rFonts w:ascii="Arial" w:hAnsi="Arial" w:cs="Arial"/>
                <w:i/>
                <w:iCs/>
                <w:sz w:val="20"/>
                <w:lang w:val="es-MX"/>
              </w:rPr>
              <w:t>web</w:t>
            </w:r>
            <w:r w:rsidRPr="00B110B9">
              <w:rPr>
                <w:rFonts w:ascii="Arial" w:hAnsi="Arial" w:cs="Arial"/>
                <w:sz w:val="20"/>
                <w:lang w:val="es-MX"/>
              </w:rPr>
              <w:t xml:space="preserve"> del </w:t>
            </w:r>
            <w:r>
              <w:rPr>
                <w:rFonts w:ascii="Arial" w:hAnsi="Arial" w:cs="Arial"/>
                <w:sz w:val="20"/>
                <w:lang w:val="es-MX"/>
              </w:rPr>
              <w:t>MH.</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0CAB6" w14:textId="6B2DA3F0" w:rsidR="00EB6A12" w:rsidRPr="00865B4B" w:rsidRDefault="00EB6A12" w:rsidP="00EB6A12">
            <w:pPr>
              <w:spacing w:before="40" w:after="40"/>
              <w:rPr>
                <w:rFonts w:ascii="Arial" w:hAnsi="Arial" w:cs="Arial"/>
                <w:sz w:val="20"/>
                <w:lang w:val="es-MX" w:eastAsia="zh-CN"/>
              </w:rPr>
            </w:pPr>
            <w:r w:rsidRPr="005A6C34">
              <w:rPr>
                <w:rFonts w:ascii="Arial" w:hAnsi="Arial" w:cs="Arial"/>
                <w:noProof/>
                <w:color w:val="000000"/>
                <w:sz w:val="20"/>
                <w:lang w:val="es-MX"/>
              </w:rPr>
              <w:lastRenderedPageBreak/>
              <w:t>Línea de base a inicio de año y metas a diciembre de cada año.</w:t>
            </w:r>
          </w:p>
        </w:tc>
      </w:tr>
      <w:tr w:rsidR="007C77F1" w:rsidRPr="005A6C34" w14:paraId="5E933951"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483AD" w14:textId="50AB57F5" w:rsidR="007C77F1" w:rsidRPr="005A6C34" w:rsidRDefault="007C77F1" w:rsidP="007C77F1">
            <w:pPr>
              <w:pStyle w:val="ListParagraph"/>
              <w:spacing w:before="40" w:after="40"/>
              <w:ind w:left="0"/>
              <w:rPr>
                <w:rFonts w:ascii="Arial" w:hAnsi="Arial" w:cs="Arial"/>
                <w:color w:val="000000"/>
                <w:spacing w:val="-4"/>
                <w:sz w:val="20"/>
                <w:lang w:val="es-ES"/>
              </w:rPr>
            </w:pPr>
            <w:r>
              <w:rPr>
                <w:rFonts w:ascii="Arial" w:hAnsi="Arial" w:cs="Arial"/>
                <w:color w:val="000000"/>
                <w:spacing w:val="-4"/>
                <w:sz w:val="20"/>
                <w:lang w:val="es-ES"/>
              </w:rPr>
              <w:t>Compromiso del MH de actualizar el estudio sobre costos económicos, sociales y fiscales relacionados con el COVID-19 cada dos meses.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C809A" w14:textId="1844F8A4" w:rsidR="007C77F1" w:rsidRPr="00865B4B" w:rsidRDefault="007C77F1" w:rsidP="007C77F1">
            <w:pPr>
              <w:spacing w:before="40" w:after="40"/>
              <w:jc w:val="center"/>
              <w:rPr>
                <w:rFonts w:ascii="Arial" w:hAnsi="Arial" w:cs="Arial"/>
                <w:sz w:val="20"/>
                <w:lang w:val="es-MX" w:eastAsia="zh-CN"/>
              </w:rPr>
            </w:pPr>
            <w:r>
              <w:rPr>
                <w:rFonts w:ascii="Arial" w:hAnsi="Arial" w:cs="Arial"/>
                <w:sz w:val="20"/>
                <w:lang w:val="es-MX" w:eastAsia="zh-CN"/>
              </w:rPr>
              <w:t>Oficio del MH</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7E6C" w14:textId="03175A1B" w:rsidR="007C77F1" w:rsidRPr="00865B4B" w:rsidRDefault="007C77F1" w:rsidP="007C77F1">
            <w:pPr>
              <w:spacing w:before="40" w:after="40"/>
              <w:jc w:val="center"/>
              <w:rPr>
                <w:rFonts w:ascii="Arial" w:hAnsi="Arial" w:cs="Arial"/>
                <w:sz w:val="20"/>
                <w:lang w:val="es-MX" w:eastAsia="zh-CN"/>
              </w:rPr>
            </w:pPr>
            <w:r>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4ACFB" w14:textId="3B5AA5B2" w:rsidR="007C77F1" w:rsidRPr="00865B4B" w:rsidRDefault="007C77F1" w:rsidP="007C77F1">
            <w:pPr>
              <w:spacing w:before="40" w:after="40"/>
              <w:jc w:val="center"/>
              <w:rPr>
                <w:rFonts w:ascii="Arial" w:hAnsi="Arial" w:cs="Arial"/>
                <w:sz w:val="20"/>
                <w:lang w:val="es-MX" w:eastAsia="zh-CN"/>
              </w:rPr>
            </w:pPr>
            <w:r>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CF86A" w14:textId="78F76F0A" w:rsidR="007C77F1" w:rsidRPr="00865B4B" w:rsidRDefault="007C77F1" w:rsidP="007C77F1">
            <w:pPr>
              <w:spacing w:before="40" w:after="40"/>
              <w:jc w:val="center"/>
              <w:rPr>
                <w:rFonts w:ascii="Arial" w:hAnsi="Arial" w:cs="Arial"/>
                <w:sz w:val="20"/>
                <w:lang w:val="es-MX" w:eastAsia="zh-CN"/>
              </w:rPr>
            </w:pPr>
            <w:r>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2F58B" w14:textId="0C5F261E" w:rsidR="007C77F1" w:rsidRDefault="007C77F1" w:rsidP="007C77F1">
            <w:pPr>
              <w:spacing w:before="40" w:after="40"/>
              <w:rPr>
                <w:rFonts w:ascii="Arial" w:hAnsi="Arial" w:cs="Arial"/>
                <w:color w:val="000000"/>
                <w:sz w:val="20"/>
                <w:lang w:val="es-ES"/>
              </w:rPr>
            </w:pPr>
            <w:r>
              <w:rPr>
                <w:rFonts w:ascii="Arial" w:hAnsi="Arial" w:cs="Arial"/>
                <w:color w:val="000000"/>
                <w:sz w:val="20"/>
                <w:lang w:val="es-ES"/>
              </w:rPr>
              <w:t xml:space="preserve">Oficio de la Dirección de Política Económica y Fiscal del MH </w:t>
            </w:r>
            <w:r>
              <w:rPr>
                <w:rFonts w:ascii="Arial" w:hAnsi="Arial" w:cs="Arial"/>
                <w:sz w:val="20"/>
                <w:lang w:val="es-MX"/>
              </w:rPr>
              <w:t>confirmando su intención de actualizarlo cada dos meses.</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92B7" w14:textId="5071B30D" w:rsidR="007C77F1" w:rsidRPr="005A6C34" w:rsidRDefault="007C77F1" w:rsidP="007C77F1">
            <w:pPr>
              <w:spacing w:before="40" w:after="40"/>
              <w:rPr>
                <w:rFonts w:ascii="Arial" w:hAnsi="Arial" w:cs="Arial"/>
                <w:noProof/>
                <w:color w:val="000000"/>
                <w:sz w:val="20"/>
                <w:lang w:val="es-MX"/>
              </w:rPr>
            </w:pPr>
            <w:r w:rsidRPr="005A6C34">
              <w:rPr>
                <w:rFonts w:ascii="Arial" w:hAnsi="Arial" w:cs="Arial"/>
                <w:noProof/>
                <w:color w:val="000000"/>
                <w:sz w:val="20"/>
                <w:lang w:val="es-MX"/>
              </w:rPr>
              <w:t>Línea de base a inicio de año y metas a diciembre de cada año.</w:t>
            </w:r>
          </w:p>
        </w:tc>
      </w:tr>
      <w:tr w:rsidR="00697952" w:rsidRPr="00865B4B" w14:paraId="462D06C4" w14:textId="77777777" w:rsidTr="00E34630">
        <w:trPr>
          <w:trHeight w:val="24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AB32A" w14:textId="4BFDCCB1" w:rsidR="00697952" w:rsidRPr="00865B4B" w:rsidRDefault="00697952" w:rsidP="00697952">
            <w:pPr>
              <w:pStyle w:val="ListParagraph"/>
              <w:spacing w:before="40" w:after="40"/>
              <w:ind w:left="0"/>
              <w:rPr>
                <w:rFonts w:ascii="Arial" w:hAnsi="Arial" w:cs="Arial"/>
                <w:sz w:val="20"/>
                <w:lang w:val="es-MX" w:eastAsia="zh-CN"/>
              </w:rPr>
            </w:pPr>
            <w:r w:rsidRPr="005A6C34">
              <w:rPr>
                <w:rFonts w:ascii="Arial" w:hAnsi="Arial" w:cs="Arial"/>
                <w:color w:val="000000"/>
                <w:spacing w:val="-4"/>
                <w:sz w:val="20"/>
                <w:lang w:val="es-MX"/>
              </w:rPr>
              <w:t xml:space="preserve">Normativa creando </w:t>
            </w:r>
            <w:r w:rsidRPr="009B7D34">
              <w:rPr>
                <w:rFonts w:ascii="Arial" w:hAnsi="Arial" w:cs="Arial"/>
                <w:sz w:val="20"/>
                <w:lang w:val="es-MX"/>
              </w:rPr>
              <w:t>Grupo Estratégico de Alto Nivel con carácter consultivo, compuesto de personas de reconocida trayectoria de diversos sectores de la sociedad para proponer y/o asesorar en la definición de estrategias de reactivación económica</w:t>
            </w:r>
            <w:r w:rsidRPr="005A6C34">
              <w:rPr>
                <w:rFonts w:ascii="Arial" w:hAnsi="Arial" w:cs="Arial"/>
                <w:color w:val="000000"/>
                <w:spacing w:val="-4"/>
                <w:sz w:val="20"/>
                <w:lang w:val="es-MX"/>
              </w:rPr>
              <w:t>, aprobada</w:t>
            </w:r>
            <w:r>
              <w:rPr>
                <w:rFonts w:ascii="Arial" w:hAnsi="Arial" w:cs="Arial"/>
                <w:color w:val="000000"/>
                <w:spacing w:val="-4"/>
                <w:sz w:val="20"/>
                <w:lang w:val="es-MX"/>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82AD3" w14:textId="0CC0EDEE" w:rsidR="00697952" w:rsidRPr="00865B4B" w:rsidRDefault="00697952" w:rsidP="00697952">
            <w:pPr>
              <w:spacing w:before="40" w:after="40"/>
              <w:jc w:val="center"/>
              <w:rPr>
                <w:rFonts w:ascii="Arial" w:hAnsi="Arial" w:cs="Arial"/>
                <w:sz w:val="20"/>
                <w:lang w:val="es-MX" w:eastAsia="zh-CN"/>
              </w:rPr>
            </w:pPr>
            <w:r w:rsidRPr="00865B4B">
              <w:rPr>
                <w:rFonts w:ascii="Arial" w:hAnsi="Arial" w:cs="Arial"/>
                <w:sz w:val="20"/>
                <w:lang w:val="es-MX" w:eastAsia="zh-CN"/>
              </w:rPr>
              <w:t>Normativa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FAEF3" w14:textId="71F1E51A" w:rsidR="00697952" w:rsidRPr="00865B4B" w:rsidRDefault="00697952" w:rsidP="00697952">
            <w:pPr>
              <w:spacing w:before="40" w:after="40"/>
              <w:jc w:val="center"/>
              <w:rPr>
                <w:rFonts w:ascii="Arial" w:hAnsi="Arial" w:cs="Arial"/>
                <w:sz w:val="20"/>
                <w:lang w:val="es-MX" w:eastAsia="zh-CN"/>
              </w:rPr>
            </w:pPr>
            <w:r w:rsidRPr="00865B4B">
              <w:rPr>
                <w:rFonts w:ascii="Arial" w:hAnsi="Arial" w:cs="Arial"/>
                <w:sz w:val="20"/>
                <w:lang w:val="es-MX" w:eastAsia="zh-CN"/>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7995D" w14:textId="59FCD35C" w:rsidR="00697952" w:rsidRPr="00865B4B" w:rsidRDefault="00697952" w:rsidP="00697952">
            <w:pPr>
              <w:spacing w:before="40" w:after="40"/>
              <w:jc w:val="center"/>
              <w:rPr>
                <w:rFonts w:ascii="Arial" w:hAnsi="Arial" w:cs="Arial"/>
                <w:sz w:val="20"/>
                <w:lang w:val="es-MX" w:eastAsia="zh-CN"/>
              </w:rPr>
            </w:pPr>
            <w:r w:rsidRPr="00865B4B">
              <w:rPr>
                <w:rFonts w:ascii="Arial" w:hAnsi="Arial" w:cs="Arial"/>
                <w:sz w:val="20"/>
                <w:lang w:val="es-MX" w:eastAsia="zh-CN"/>
              </w:rPr>
              <w:t>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34CA5" w14:textId="24755B8E" w:rsidR="00697952" w:rsidRPr="00865B4B" w:rsidRDefault="00697952" w:rsidP="00697952">
            <w:pPr>
              <w:spacing w:before="40" w:after="40"/>
              <w:jc w:val="center"/>
              <w:rPr>
                <w:rFonts w:ascii="Arial" w:hAnsi="Arial" w:cs="Arial"/>
                <w:sz w:val="20"/>
                <w:lang w:val="es-MX" w:eastAsia="zh-CN"/>
              </w:rPr>
            </w:pPr>
            <w:r w:rsidRPr="00865B4B">
              <w:rPr>
                <w:rFonts w:ascii="Arial" w:hAnsi="Arial" w:cs="Arial"/>
                <w:sz w:val="20"/>
                <w:lang w:val="es-MX" w:eastAsia="zh-C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2B2BD" w14:textId="306EFAC3" w:rsidR="00697952" w:rsidRPr="00865B4B" w:rsidRDefault="00697952" w:rsidP="00697952">
            <w:pPr>
              <w:spacing w:before="40" w:after="40"/>
              <w:rPr>
                <w:rFonts w:ascii="Arial" w:hAnsi="Arial" w:cs="Arial"/>
                <w:sz w:val="20"/>
                <w:lang w:val="es-MX" w:eastAsia="zh-CN"/>
              </w:rPr>
            </w:pPr>
            <w:r w:rsidRPr="00206173">
              <w:rPr>
                <w:rFonts w:ascii="Arial" w:hAnsi="Arial" w:cs="Arial"/>
                <w:sz w:val="20"/>
              </w:rPr>
              <w:t xml:space="preserve">Decreto Ejecutivo vigente, que establezca el Grupo Estratégico de Alto Nivel con su estructura básica, funciones y atribuciones; mecanismo de selección de sus integrantes; y la entidad de gobierno </w:t>
            </w:r>
            <w:r w:rsidRPr="00206173">
              <w:rPr>
                <w:rFonts w:ascii="Arial" w:hAnsi="Arial" w:cs="Arial"/>
                <w:sz w:val="20"/>
              </w:rPr>
              <w:lastRenderedPageBreak/>
              <w:t>responsable de coordinarlo</w:t>
            </w:r>
            <w:r>
              <w:rPr>
                <w:rFonts w:ascii="Arial" w:hAnsi="Arial" w:cs="Arial"/>
                <w:sz w:val="20"/>
              </w:rPr>
              <w:t>.</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FE40F" w14:textId="332BE041" w:rsidR="00697952" w:rsidRPr="00865B4B" w:rsidRDefault="00697952" w:rsidP="00697952">
            <w:pPr>
              <w:spacing w:before="40" w:after="40"/>
              <w:rPr>
                <w:rFonts w:ascii="Arial" w:hAnsi="Arial" w:cs="Arial"/>
                <w:sz w:val="20"/>
                <w:lang w:val="es-MX" w:eastAsia="zh-CN"/>
              </w:rPr>
            </w:pPr>
            <w:r w:rsidRPr="005A6C34">
              <w:rPr>
                <w:rFonts w:ascii="Arial" w:hAnsi="Arial" w:cs="Arial"/>
                <w:noProof/>
                <w:color w:val="000000"/>
                <w:sz w:val="20"/>
                <w:lang w:val="es-MX"/>
              </w:rPr>
              <w:lastRenderedPageBreak/>
              <w:t>Línea de base a inicio de año y metas a diciembre de cada año.</w:t>
            </w:r>
          </w:p>
        </w:tc>
      </w:tr>
    </w:tbl>
    <w:p w14:paraId="228059E8" w14:textId="2B9EB650" w:rsidR="009F6FC6" w:rsidRPr="00C32552" w:rsidRDefault="009F6FC6" w:rsidP="00C32552">
      <w:pPr>
        <w:rPr>
          <w:lang w:val="es-ES"/>
        </w:rPr>
        <w:sectPr w:rsidR="009F6FC6" w:rsidRPr="00C32552" w:rsidSect="005A0ED4">
          <w:pgSz w:w="15840" w:h="12240" w:orient="landscape" w:code="1"/>
          <w:pgMar w:top="1800" w:right="1440" w:bottom="1800" w:left="1440" w:header="706" w:footer="706" w:gutter="0"/>
          <w:cols w:space="720"/>
          <w:formProt w:val="0"/>
          <w:docGrid w:linePitch="326"/>
        </w:sectPr>
      </w:pPr>
    </w:p>
    <w:p w14:paraId="6CC90CCA" w14:textId="54EAAD78" w:rsidR="00022BE3" w:rsidRPr="00EB0154" w:rsidRDefault="00022BE3" w:rsidP="00074590">
      <w:pPr>
        <w:pStyle w:val="FirstHeading"/>
        <w:ind w:left="720"/>
        <w:rPr>
          <w:rFonts w:ascii="Arial" w:hAnsi="Arial" w:cs="Arial"/>
          <w:noProof/>
          <w:sz w:val="22"/>
          <w:szCs w:val="22"/>
        </w:rPr>
      </w:pPr>
      <w:bookmarkStart w:id="5" w:name="_Toc36166562"/>
      <w:r>
        <w:rPr>
          <w:rFonts w:ascii="Arial" w:hAnsi="Arial" w:cs="Arial"/>
          <w:sz w:val="22"/>
          <w:szCs w:val="22"/>
        </w:rPr>
        <w:lastRenderedPageBreak/>
        <w:t>D</w:t>
      </w:r>
      <w:r w:rsidRPr="00EB0154">
        <w:rPr>
          <w:rFonts w:ascii="Arial" w:hAnsi="Arial" w:cs="Arial"/>
          <w:sz w:val="22"/>
          <w:szCs w:val="22"/>
        </w:rPr>
        <w:t>.</w:t>
      </w:r>
      <w:r w:rsidRPr="00EB0154">
        <w:rPr>
          <w:rFonts w:ascii="Arial" w:hAnsi="Arial" w:cs="Arial"/>
          <w:sz w:val="22"/>
          <w:szCs w:val="22"/>
        </w:rPr>
        <w:tab/>
      </w:r>
      <w:r>
        <w:rPr>
          <w:rFonts w:ascii="Arial" w:hAnsi="Arial" w:cs="Arial"/>
          <w:sz w:val="22"/>
          <w:szCs w:val="22"/>
        </w:rPr>
        <w:t xml:space="preserve">Coordinación, </w:t>
      </w:r>
      <w:r w:rsidR="00483743">
        <w:rPr>
          <w:rFonts w:ascii="Arial" w:hAnsi="Arial" w:cs="Arial"/>
          <w:sz w:val="22"/>
          <w:szCs w:val="22"/>
        </w:rPr>
        <w:t>p</w:t>
      </w:r>
      <w:r>
        <w:rPr>
          <w:rFonts w:ascii="Arial" w:hAnsi="Arial" w:cs="Arial"/>
          <w:sz w:val="22"/>
          <w:szCs w:val="22"/>
        </w:rPr>
        <w:t xml:space="preserve">lan de </w:t>
      </w:r>
      <w:r w:rsidR="00483743">
        <w:rPr>
          <w:rFonts w:ascii="Arial" w:hAnsi="Arial" w:cs="Arial"/>
          <w:sz w:val="22"/>
          <w:szCs w:val="22"/>
        </w:rPr>
        <w:t>t</w:t>
      </w:r>
      <w:r>
        <w:rPr>
          <w:rFonts w:ascii="Arial" w:hAnsi="Arial" w:cs="Arial"/>
          <w:sz w:val="22"/>
          <w:szCs w:val="22"/>
        </w:rPr>
        <w:t xml:space="preserve">rabajo y </w:t>
      </w:r>
      <w:r w:rsidR="00483743">
        <w:rPr>
          <w:rFonts w:ascii="Arial" w:hAnsi="Arial" w:cs="Arial"/>
          <w:sz w:val="22"/>
          <w:szCs w:val="22"/>
        </w:rPr>
        <w:t>p</w:t>
      </w:r>
      <w:r>
        <w:rPr>
          <w:rFonts w:ascii="Arial" w:hAnsi="Arial" w:cs="Arial"/>
          <w:sz w:val="22"/>
          <w:szCs w:val="22"/>
        </w:rPr>
        <w:t xml:space="preserve">resupuesto del </w:t>
      </w:r>
      <w:r w:rsidR="00483743">
        <w:rPr>
          <w:rFonts w:ascii="Arial" w:hAnsi="Arial" w:cs="Arial"/>
          <w:sz w:val="22"/>
          <w:szCs w:val="22"/>
        </w:rPr>
        <w:t>s</w:t>
      </w:r>
      <w:r>
        <w:rPr>
          <w:rFonts w:ascii="Arial" w:hAnsi="Arial" w:cs="Arial"/>
          <w:sz w:val="22"/>
          <w:szCs w:val="22"/>
        </w:rPr>
        <w:t>eguimiento</w:t>
      </w:r>
      <w:bookmarkEnd w:id="5"/>
    </w:p>
    <w:p w14:paraId="3AB05456" w14:textId="48636252" w:rsidR="00CB7EF0" w:rsidRDefault="007C1307" w:rsidP="00E6181F">
      <w:pPr>
        <w:pStyle w:val="Paragraph"/>
        <w:tabs>
          <w:tab w:val="clear" w:pos="2448"/>
          <w:tab w:val="num" w:pos="720"/>
          <w:tab w:val="num" w:pos="1440"/>
        </w:tabs>
        <w:ind w:left="720" w:hanging="720"/>
        <w:rPr>
          <w:rFonts w:ascii="Arial" w:hAnsi="Arial" w:cs="Arial"/>
          <w:color w:val="000000"/>
          <w:sz w:val="22"/>
          <w:szCs w:val="22"/>
        </w:rPr>
      </w:pPr>
      <w:r w:rsidRPr="007C1307">
        <w:rPr>
          <w:rFonts w:ascii="Arial" w:hAnsi="Arial" w:cs="Arial"/>
          <w:color w:val="000000"/>
          <w:sz w:val="22"/>
          <w:szCs w:val="22"/>
        </w:rPr>
        <w:t xml:space="preserve">Las actividades de monitoreo y elaboración de informes serán coordinadas por el equipo de proyecto de este programa en conjunto con </w:t>
      </w:r>
      <w:r w:rsidR="001C362E">
        <w:rPr>
          <w:rFonts w:ascii="Arial" w:hAnsi="Arial" w:cs="Arial"/>
          <w:color w:val="000000"/>
          <w:sz w:val="22"/>
          <w:szCs w:val="22"/>
        </w:rPr>
        <w:t xml:space="preserve">el </w:t>
      </w:r>
      <w:r w:rsidR="00882DAF">
        <w:rPr>
          <w:rFonts w:ascii="Arial" w:hAnsi="Arial" w:cs="Arial"/>
          <w:color w:val="000000"/>
          <w:sz w:val="22"/>
          <w:szCs w:val="22"/>
        </w:rPr>
        <w:t>OE</w:t>
      </w:r>
      <w:r w:rsidRPr="007C1307">
        <w:rPr>
          <w:rFonts w:ascii="Arial" w:hAnsi="Arial" w:cs="Arial"/>
          <w:color w:val="000000"/>
          <w:sz w:val="22"/>
          <w:szCs w:val="22"/>
        </w:rPr>
        <w:t xml:space="preserve">, con </w:t>
      </w:r>
      <w:r w:rsidR="00DB7888">
        <w:rPr>
          <w:rFonts w:ascii="Arial" w:hAnsi="Arial" w:cs="Arial"/>
          <w:color w:val="000000"/>
          <w:sz w:val="22"/>
          <w:szCs w:val="22"/>
        </w:rPr>
        <w:t>quien</w:t>
      </w:r>
      <w:r w:rsidRPr="007C1307">
        <w:rPr>
          <w:rFonts w:ascii="Arial" w:hAnsi="Arial" w:cs="Arial"/>
          <w:color w:val="000000"/>
          <w:sz w:val="22"/>
          <w:szCs w:val="22"/>
        </w:rPr>
        <w:t xml:space="preserve"> se ha </w:t>
      </w:r>
      <w:r w:rsidR="00DB7888">
        <w:rPr>
          <w:rFonts w:ascii="Arial" w:hAnsi="Arial" w:cs="Arial"/>
          <w:color w:val="000000"/>
          <w:sz w:val="22"/>
          <w:szCs w:val="22"/>
        </w:rPr>
        <w:t>acordado</w:t>
      </w:r>
      <w:r w:rsidR="00CC788C">
        <w:rPr>
          <w:rFonts w:ascii="Arial" w:hAnsi="Arial" w:cs="Arial"/>
          <w:color w:val="000000"/>
          <w:sz w:val="22"/>
          <w:szCs w:val="22"/>
        </w:rPr>
        <w:t xml:space="preserve"> monitorear</w:t>
      </w:r>
      <w:r w:rsidRPr="007C1307">
        <w:rPr>
          <w:rFonts w:ascii="Arial" w:hAnsi="Arial" w:cs="Arial"/>
          <w:color w:val="000000"/>
          <w:sz w:val="22"/>
          <w:szCs w:val="22"/>
        </w:rPr>
        <w:t xml:space="preserve"> los indicadores propuestos en este </w:t>
      </w:r>
      <w:r w:rsidR="002B7EF4">
        <w:rPr>
          <w:rFonts w:ascii="Arial" w:hAnsi="Arial" w:cs="Arial"/>
          <w:color w:val="000000"/>
          <w:sz w:val="22"/>
          <w:szCs w:val="22"/>
        </w:rPr>
        <w:t>p</w:t>
      </w:r>
      <w:r w:rsidRPr="007C1307">
        <w:rPr>
          <w:rFonts w:ascii="Arial" w:hAnsi="Arial" w:cs="Arial"/>
          <w:color w:val="000000"/>
          <w:sz w:val="22"/>
          <w:szCs w:val="22"/>
        </w:rPr>
        <w:t>rograma. Se planea realizar reuni</w:t>
      </w:r>
      <w:r w:rsidR="001C362E">
        <w:rPr>
          <w:rFonts w:ascii="Arial" w:hAnsi="Arial" w:cs="Arial"/>
          <w:color w:val="000000"/>
          <w:sz w:val="22"/>
          <w:szCs w:val="22"/>
        </w:rPr>
        <w:t>o</w:t>
      </w:r>
      <w:r w:rsidRPr="007C1307">
        <w:rPr>
          <w:rFonts w:ascii="Arial" w:hAnsi="Arial" w:cs="Arial"/>
          <w:color w:val="000000"/>
          <w:sz w:val="22"/>
          <w:szCs w:val="22"/>
        </w:rPr>
        <w:t>n</w:t>
      </w:r>
      <w:r w:rsidR="001C362E">
        <w:rPr>
          <w:rFonts w:ascii="Arial" w:hAnsi="Arial" w:cs="Arial"/>
          <w:color w:val="000000"/>
          <w:sz w:val="22"/>
          <w:szCs w:val="22"/>
        </w:rPr>
        <w:t>es</w:t>
      </w:r>
      <w:r w:rsidRPr="007C1307">
        <w:rPr>
          <w:rFonts w:ascii="Arial" w:hAnsi="Arial" w:cs="Arial"/>
          <w:color w:val="000000"/>
          <w:sz w:val="22"/>
          <w:szCs w:val="22"/>
        </w:rPr>
        <w:t xml:space="preserve"> de </w:t>
      </w:r>
      <w:r w:rsidR="00882DAF">
        <w:rPr>
          <w:rFonts w:ascii="Arial" w:hAnsi="Arial" w:cs="Arial"/>
          <w:color w:val="000000"/>
          <w:sz w:val="22"/>
          <w:szCs w:val="22"/>
        </w:rPr>
        <w:t xml:space="preserve">seguimiento </w:t>
      </w:r>
      <w:r w:rsidR="001C362E">
        <w:rPr>
          <w:rFonts w:ascii="Arial" w:hAnsi="Arial" w:cs="Arial"/>
          <w:color w:val="000000"/>
          <w:sz w:val="22"/>
          <w:szCs w:val="22"/>
        </w:rPr>
        <w:t>frecuentemente</w:t>
      </w:r>
      <w:r w:rsidRPr="007C1307">
        <w:rPr>
          <w:rFonts w:ascii="Arial" w:hAnsi="Arial" w:cs="Arial"/>
          <w:color w:val="000000"/>
          <w:sz w:val="22"/>
          <w:szCs w:val="22"/>
        </w:rPr>
        <w:t xml:space="preserve">, </w:t>
      </w:r>
      <w:r w:rsidR="001C362E">
        <w:rPr>
          <w:rFonts w:ascii="Arial" w:hAnsi="Arial" w:cs="Arial"/>
          <w:color w:val="000000"/>
          <w:sz w:val="22"/>
          <w:szCs w:val="22"/>
        </w:rPr>
        <w:t>a fin de</w:t>
      </w:r>
      <w:r w:rsidRPr="007C1307">
        <w:rPr>
          <w:rFonts w:ascii="Arial" w:hAnsi="Arial" w:cs="Arial"/>
          <w:color w:val="000000"/>
          <w:sz w:val="22"/>
          <w:szCs w:val="22"/>
        </w:rPr>
        <w:t xml:space="preserve"> evalua</w:t>
      </w:r>
      <w:r w:rsidR="001C362E">
        <w:rPr>
          <w:rFonts w:ascii="Arial" w:hAnsi="Arial" w:cs="Arial"/>
          <w:color w:val="000000"/>
          <w:sz w:val="22"/>
          <w:szCs w:val="22"/>
        </w:rPr>
        <w:t>r</w:t>
      </w:r>
      <w:r w:rsidRPr="007C1307">
        <w:rPr>
          <w:rFonts w:ascii="Arial" w:hAnsi="Arial" w:cs="Arial"/>
          <w:color w:val="000000"/>
          <w:sz w:val="22"/>
          <w:szCs w:val="22"/>
        </w:rPr>
        <w:t xml:space="preserve"> el progreso de los indicadores </w:t>
      </w:r>
      <w:r w:rsidR="00B43FD7">
        <w:rPr>
          <w:rFonts w:ascii="Arial" w:hAnsi="Arial" w:cs="Arial"/>
          <w:color w:val="000000"/>
          <w:sz w:val="22"/>
          <w:szCs w:val="22"/>
        </w:rPr>
        <w:t>de producto y resultado acordados</w:t>
      </w:r>
      <w:r w:rsidRPr="007C1307">
        <w:rPr>
          <w:rFonts w:ascii="Arial" w:hAnsi="Arial" w:cs="Arial"/>
          <w:color w:val="000000"/>
          <w:sz w:val="22"/>
          <w:szCs w:val="22"/>
        </w:rPr>
        <w:t>.</w:t>
      </w:r>
      <w:r w:rsidR="00735808">
        <w:rPr>
          <w:rFonts w:ascii="Arial" w:hAnsi="Arial" w:cs="Arial"/>
          <w:color w:val="000000"/>
          <w:sz w:val="22"/>
          <w:szCs w:val="22"/>
        </w:rPr>
        <w:t xml:space="preserve"> </w:t>
      </w:r>
      <w:r w:rsidR="001A098C">
        <w:rPr>
          <w:rFonts w:ascii="Arial" w:hAnsi="Arial" w:cs="Arial"/>
          <w:color w:val="000000"/>
          <w:sz w:val="22"/>
          <w:szCs w:val="22"/>
        </w:rPr>
        <w:t>El costo de estas reuniones será financiado con presupuesto administrativo.</w:t>
      </w:r>
    </w:p>
    <w:p w14:paraId="03E8EBCA" w14:textId="77777777" w:rsidR="00D34B84" w:rsidRDefault="00D34B84" w:rsidP="00E6181F">
      <w:pPr>
        <w:pStyle w:val="Paragraph"/>
        <w:tabs>
          <w:tab w:val="clear" w:pos="2448"/>
          <w:tab w:val="num" w:pos="720"/>
          <w:tab w:val="num" w:pos="1440"/>
        </w:tabs>
        <w:ind w:left="720" w:hanging="720"/>
        <w:rPr>
          <w:rFonts w:ascii="Arial" w:hAnsi="Arial" w:cs="Arial"/>
          <w:color w:val="000000"/>
          <w:sz w:val="22"/>
          <w:szCs w:val="22"/>
        </w:rPr>
      </w:pPr>
      <w:r>
        <w:rPr>
          <w:rFonts w:ascii="Arial" w:hAnsi="Arial" w:cs="Arial"/>
          <w:color w:val="000000"/>
          <w:sz w:val="22"/>
          <w:szCs w:val="22"/>
        </w:rPr>
        <w:t xml:space="preserve">El organismo ejecutor </w:t>
      </w:r>
      <w:r w:rsidR="00735808">
        <w:rPr>
          <w:rFonts w:ascii="Arial" w:hAnsi="Arial" w:cs="Arial"/>
          <w:color w:val="000000"/>
          <w:sz w:val="22"/>
          <w:szCs w:val="22"/>
        </w:rPr>
        <w:t>proveerá los datos para la realización de las evaluaciones. Las evaluaciones serán realizadas por especialistas de FMM o, de no ser posible por restricciones de tiempo, las mismas serían financiadas con recursos administrativos</w:t>
      </w:r>
      <w:r w:rsidR="00341B66">
        <w:rPr>
          <w:rFonts w:ascii="Arial" w:hAnsi="Arial" w:cs="Arial"/>
          <w:color w:val="000000"/>
          <w:sz w:val="22"/>
          <w:szCs w:val="22"/>
        </w:rPr>
        <w:t>.</w:t>
      </w:r>
      <w:r w:rsidR="00735808">
        <w:rPr>
          <w:rFonts w:ascii="Arial" w:hAnsi="Arial" w:cs="Arial"/>
          <w:color w:val="000000"/>
          <w:sz w:val="22"/>
          <w:szCs w:val="22"/>
        </w:rPr>
        <w:t xml:space="preserve"> </w:t>
      </w:r>
    </w:p>
    <w:p w14:paraId="6CC90CCC" w14:textId="3183A087" w:rsidR="009B3E59" w:rsidRPr="002B4219" w:rsidRDefault="009B3E59" w:rsidP="002B4219">
      <w:pPr>
        <w:pStyle w:val="Paragraph"/>
        <w:numPr>
          <w:ilvl w:val="0"/>
          <w:numId w:val="0"/>
        </w:numPr>
        <w:spacing w:before="0"/>
        <w:ind w:left="720"/>
        <w:jc w:val="center"/>
        <w:rPr>
          <w:rFonts w:ascii="Arial" w:hAnsi="Arial" w:cs="Arial"/>
          <w:color w:val="000000"/>
          <w:sz w:val="20"/>
        </w:rPr>
      </w:pPr>
      <w:r w:rsidRPr="002B4219">
        <w:rPr>
          <w:rFonts w:ascii="Arial" w:hAnsi="Arial" w:cs="Arial"/>
          <w:b/>
          <w:sz w:val="20"/>
        </w:rPr>
        <w:t>Cuadro 2</w:t>
      </w:r>
      <w:r w:rsidR="008A049C">
        <w:rPr>
          <w:rFonts w:ascii="Arial" w:hAnsi="Arial" w:cs="Arial"/>
          <w:b/>
          <w:sz w:val="20"/>
        </w:rPr>
        <w:t xml:space="preserve">. </w:t>
      </w:r>
      <w:r w:rsidRPr="002B4219">
        <w:rPr>
          <w:rFonts w:ascii="Arial" w:hAnsi="Arial" w:cs="Arial"/>
          <w:b/>
          <w:bCs/>
          <w:color w:val="000000"/>
          <w:sz w:val="20"/>
        </w:rPr>
        <w:t>Principales actividades de seguimiento/</w:t>
      </w:r>
      <w:r w:rsidR="00D34B84" w:rsidRPr="002B4219">
        <w:rPr>
          <w:rFonts w:ascii="Arial" w:hAnsi="Arial" w:cs="Arial"/>
          <w:b/>
          <w:bCs/>
          <w:color w:val="000000"/>
          <w:sz w:val="20"/>
        </w:rPr>
        <w:t>p</w:t>
      </w:r>
      <w:r w:rsidRPr="002B4219">
        <w:rPr>
          <w:rFonts w:ascii="Arial" w:hAnsi="Arial" w:cs="Arial"/>
          <w:b/>
          <w:bCs/>
          <w:color w:val="000000"/>
          <w:sz w:val="20"/>
        </w:rPr>
        <w:t>roductos por actividad</w:t>
      </w:r>
    </w:p>
    <w:tbl>
      <w:tblPr>
        <w:tblW w:w="7915" w:type="dxa"/>
        <w:tblInd w:w="7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00"/>
        <w:gridCol w:w="1080"/>
        <w:gridCol w:w="1080"/>
        <w:gridCol w:w="990"/>
        <w:gridCol w:w="1165"/>
      </w:tblGrid>
      <w:tr w:rsidR="00D34B84" w:rsidRPr="00D97056" w14:paraId="6CC90CD3" w14:textId="77777777" w:rsidTr="00573BA0">
        <w:trPr>
          <w:trHeight w:val="598"/>
          <w:tblHeader/>
        </w:trPr>
        <w:tc>
          <w:tcPr>
            <w:tcW w:w="3600" w:type="dxa"/>
            <w:shd w:val="clear" w:color="000000" w:fill="8DB3E2"/>
            <w:vAlign w:val="center"/>
            <w:hideMark/>
          </w:tcPr>
          <w:p w14:paraId="6CC90CCD" w14:textId="77777777" w:rsidR="00D34B84" w:rsidRPr="00DF5753" w:rsidRDefault="00D34B84" w:rsidP="005A0ED4">
            <w:pPr>
              <w:spacing w:before="40" w:after="40"/>
              <w:jc w:val="center"/>
              <w:rPr>
                <w:rFonts w:ascii="Arial" w:hAnsi="Arial" w:cs="Arial"/>
                <w:b/>
                <w:bCs/>
                <w:color w:val="000000"/>
                <w:sz w:val="20"/>
                <w:lang w:val="es-ES"/>
              </w:rPr>
            </w:pPr>
            <w:r>
              <w:rPr>
                <w:rFonts w:ascii="Arial" w:hAnsi="Arial" w:cs="Arial"/>
                <w:b/>
                <w:bCs/>
                <w:color w:val="000000"/>
                <w:sz w:val="20"/>
                <w:lang w:val="es-ES"/>
              </w:rPr>
              <w:t>Actividades y Productos</w:t>
            </w:r>
          </w:p>
        </w:tc>
        <w:tc>
          <w:tcPr>
            <w:tcW w:w="1080" w:type="dxa"/>
            <w:shd w:val="clear" w:color="000000" w:fill="8DB3E2"/>
            <w:vAlign w:val="center"/>
          </w:tcPr>
          <w:p w14:paraId="6CC90CCF" w14:textId="46A3F3C5" w:rsidR="00D34B84" w:rsidRPr="00DF5753" w:rsidRDefault="00573BA0" w:rsidP="005A0ED4">
            <w:pPr>
              <w:spacing w:before="40" w:after="40"/>
              <w:jc w:val="center"/>
              <w:rPr>
                <w:rFonts w:ascii="Arial" w:hAnsi="Arial" w:cs="Arial"/>
                <w:b/>
                <w:bCs/>
                <w:color w:val="000000"/>
                <w:sz w:val="20"/>
                <w:lang w:val="es-ES"/>
              </w:rPr>
            </w:pPr>
            <w:r>
              <w:rPr>
                <w:rFonts w:ascii="Arial" w:hAnsi="Arial" w:cs="Arial"/>
                <w:b/>
                <w:bCs/>
                <w:color w:val="000000"/>
                <w:sz w:val="20"/>
                <w:lang w:val="es-ES"/>
              </w:rPr>
              <w:t>Cantidad</w:t>
            </w:r>
          </w:p>
        </w:tc>
        <w:tc>
          <w:tcPr>
            <w:tcW w:w="1080" w:type="dxa"/>
            <w:shd w:val="clear" w:color="000000" w:fill="8DB3E2"/>
            <w:vAlign w:val="center"/>
            <w:hideMark/>
          </w:tcPr>
          <w:p w14:paraId="6CC90CD0" w14:textId="2008265B" w:rsidR="00D34B84" w:rsidRPr="00DF5753" w:rsidRDefault="00D34B84" w:rsidP="005A0ED4">
            <w:pPr>
              <w:spacing w:before="40" w:after="40"/>
              <w:jc w:val="center"/>
              <w:rPr>
                <w:rFonts w:ascii="Arial" w:hAnsi="Arial" w:cs="Arial"/>
                <w:b/>
                <w:bCs/>
                <w:color w:val="000000"/>
                <w:sz w:val="20"/>
                <w:lang w:val="en-US"/>
              </w:rPr>
            </w:pPr>
            <w:proofErr w:type="spellStart"/>
            <w:r w:rsidRPr="00DF5753">
              <w:rPr>
                <w:rFonts w:ascii="Arial" w:hAnsi="Arial" w:cs="Arial"/>
                <w:b/>
                <w:bCs/>
                <w:color w:val="000000"/>
                <w:sz w:val="20"/>
                <w:lang w:val="es-ES"/>
              </w:rPr>
              <w:t>Respon</w:t>
            </w:r>
            <w:proofErr w:type="spellEnd"/>
            <w:r w:rsidR="006B55AD">
              <w:rPr>
                <w:rFonts w:ascii="Arial" w:hAnsi="Arial" w:cs="Arial"/>
                <w:b/>
                <w:bCs/>
                <w:color w:val="000000"/>
                <w:sz w:val="20"/>
                <w:lang w:val="es-ES"/>
              </w:rPr>
              <w:t>-</w:t>
            </w:r>
            <w:r w:rsidRPr="00DF5753">
              <w:rPr>
                <w:rFonts w:ascii="Arial" w:hAnsi="Arial" w:cs="Arial"/>
                <w:b/>
                <w:bCs/>
                <w:color w:val="000000"/>
                <w:sz w:val="20"/>
                <w:lang w:val="es-ES"/>
              </w:rPr>
              <w:t>sable</w:t>
            </w:r>
          </w:p>
        </w:tc>
        <w:tc>
          <w:tcPr>
            <w:tcW w:w="990" w:type="dxa"/>
            <w:shd w:val="clear" w:color="000000" w:fill="8DB3E2"/>
            <w:vAlign w:val="center"/>
            <w:hideMark/>
          </w:tcPr>
          <w:p w14:paraId="79E38AE5" w14:textId="77777777" w:rsidR="00D34B84" w:rsidRPr="00DF5753" w:rsidRDefault="00D34B84" w:rsidP="005A0ED4">
            <w:pPr>
              <w:spacing w:before="40"/>
              <w:jc w:val="center"/>
              <w:rPr>
                <w:rFonts w:ascii="Arial" w:hAnsi="Arial" w:cs="Arial"/>
                <w:b/>
                <w:bCs/>
                <w:color w:val="000000"/>
                <w:sz w:val="20"/>
                <w:lang w:val="en-US"/>
              </w:rPr>
            </w:pPr>
            <w:r w:rsidRPr="00DF5753">
              <w:rPr>
                <w:rFonts w:ascii="Arial" w:hAnsi="Arial" w:cs="Arial"/>
                <w:b/>
                <w:bCs/>
                <w:color w:val="000000"/>
                <w:sz w:val="20"/>
                <w:lang w:val="es-ES"/>
              </w:rPr>
              <w:t>Costo</w:t>
            </w:r>
          </w:p>
          <w:p w14:paraId="6CC90CD1" w14:textId="2954786A" w:rsidR="00D34B84" w:rsidRPr="00DF5753" w:rsidRDefault="00D34B84" w:rsidP="005A0ED4">
            <w:pPr>
              <w:spacing w:after="40"/>
              <w:jc w:val="center"/>
              <w:rPr>
                <w:rFonts w:ascii="Arial" w:hAnsi="Arial" w:cs="Arial"/>
                <w:b/>
                <w:bCs/>
                <w:color w:val="000000"/>
                <w:sz w:val="20"/>
                <w:lang w:val="en-US"/>
              </w:rPr>
            </w:pPr>
            <w:r w:rsidRPr="00DF5753">
              <w:rPr>
                <w:rFonts w:ascii="Arial" w:hAnsi="Arial" w:cs="Arial"/>
                <w:b/>
                <w:bCs/>
                <w:color w:val="000000"/>
                <w:sz w:val="20"/>
                <w:lang w:val="es-ES"/>
              </w:rPr>
              <w:t>US$</w:t>
            </w:r>
          </w:p>
        </w:tc>
        <w:tc>
          <w:tcPr>
            <w:tcW w:w="1165" w:type="dxa"/>
            <w:shd w:val="clear" w:color="000000" w:fill="8DB3E2"/>
            <w:vAlign w:val="center"/>
            <w:hideMark/>
          </w:tcPr>
          <w:p w14:paraId="6CC90CD2" w14:textId="2A2253BC" w:rsidR="00D34B84" w:rsidRPr="00DF5753" w:rsidRDefault="00D34B84" w:rsidP="005A0ED4">
            <w:pPr>
              <w:spacing w:before="40" w:after="40"/>
              <w:jc w:val="center"/>
              <w:rPr>
                <w:rFonts w:ascii="Arial" w:hAnsi="Arial" w:cs="Arial"/>
                <w:b/>
                <w:bCs/>
                <w:color w:val="000000"/>
                <w:sz w:val="20"/>
                <w:lang w:val="en-US"/>
              </w:rPr>
            </w:pPr>
            <w:r w:rsidRPr="00DF5753">
              <w:rPr>
                <w:rFonts w:ascii="Arial" w:hAnsi="Arial" w:cs="Arial"/>
                <w:b/>
                <w:bCs/>
                <w:color w:val="000000"/>
                <w:sz w:val="20"/>
                <w:lang w:val="es-ES"/>
              </w:rPr>
              <w:t>Financia</w:t>
            </w:r>
            <w:r w:rsidR="006B55AD">
              <w:rPr>
                <w:rFonts w:ascii="Arial" w:hAnsi="Arial" w:cs="Arial"/>
                <w:b/>
                <w:bCs/>
                <w:color w:val="000000"/>
                <w:sz w:val="20"/>
                <w:lang w:val="es-ES"/>
              </w:rPr>
              <w:t>-</w:t>
            </w:r>
            <w:r w:rsidRPr="00DF5753">
              <w:rPr>
                <w:rFonts w:ascii="Arial" w:hAnsi="Arial" w:cs="Arial"/>
                <w:b/>
                <w:bCs/>
                <w:color w:val="000000"/>
                <w:sz w:val="20"/>
                <w:lang w:val="es-ES"/>
              </w:rPr>
              <w:t>miento</w:t>
            </w:r>
          </w:p>
        </w:tc>
      </w:tr>
      <w:tr w:rsidR="00D34B84" w:rsidRPr="00D97056" w14:paraId="6CC90CEF" w14:textId="77777777" w:rsidTr="00573BA0">
        <w:trPr>
          <w:trHeight w:val="315"/>
        </w:trPr>
        <w:tc>
          <w:tcPr>
            <w:tcW w:w="3600" w:type="dxa"/>
            <w:shd w:val="clear" w:color="auto" w:fill="auto"/>
            <w:vAlign w:val="center"/>
            <w:hideMark/>
          </w:tcPr>
          <w:p w14:paraId="6CC90CE9" w14:textId="4F501DFD" w:rsidR="00D34B84" w:rsidRPr="00D34B84" w:rsidRDefault="00D34B84" w:rsidP="001A5A3B">
            <w:pPr>
              <w:rPr>
                <w:rFonts w:ascii="Arial" w:hAnsi="Arial" w:cs="Arial"/>
                <w:color w:val="000000"/>
                <w:sz w:val="20"/>
                <w:lang w:val="es-MX"/>
              </w:rPr>
            </w:pPr>
            <w:r w:rsidRPr="006B55AD">
              <w:rPr>
                <w:rFonts w:ascii="Arial" w:hAnsi="Arial" w:cs="Arial"/>
                <w:color w:val="000000"/>
                <w:sz w:val="20"/>
                <w:lang w:val="es-ES"/>
              </w:rPr>
              <w:t xml:space="preserve">Informe </w:t>
            </w:r>
            <w:r w:rsidR="006B55AD" w:rsidRPr="006B55AD">
              <w:rPr>
                <w:rFonts w:ascii="Arial" w:hAnsi="Arial" w:cs="Arial"/>
                <w:color w:val="000000"/>
                <w:sz w:val="20"/>
                <w:lang w:val="es-ES"/>
              </w:rPr>
              <w:t>sobre el</w:t>
            </w:r>
            <w:r w:rsidRPr="006B55AD">
              <w:rPr>
                <w:rFonts w:ascii="Arial" w:hAnsi="Arial" w:cs="Arial"/>
                <w:color w:val="000000"/>
                <w:sz w:val="20"/>
                <w:lang w:val="es-ES"/>
              </w:rPr>
              <w:t xml:space="preserve"> Cumplimiento de Condiciones</w:t>
            </w:r>
            <w:r w:rsidR="006B55AD" w:rsidRPr="006B55AD">
              <w:rPr>
                <w:rFonts w:ascii="Arial" w:hAnsi="Arial" w:cs="Arial"/>
                <w:color w:val="000000"/>
                <w:sz w:val="20"/>
                <w:lang w:val="es-ES"/>
              </w:rPr>
              <w:t xml:space="preserve"> para Desembolso</w:t>
            </w:r>
          </w:p>
        </w:tc>
        <w:tc>
          <w:tcPr>
            <w:tcW w:w="1080" w:type="dxa"/>
            <w:vAlign w:val="center"/>
          </w:tcPr>
          <w:p w14:paraId="6CC90CEB" w14:textId="102BAD28" w:rsidR="00D34B84" w:rsidRPr="00DF5753" w:rsidRDefault="00D34B84" w:rsidP="001A5A3B">
            <w:pPr>
              <w:jc w:val="center"/>
              <w:rPr>
                <w:rFonts w:ascii="Arial" w:hAnsi="Arial" w:cs="Arial"/>
                <w:color w:val="000000"/>
                <w:sz w:val="20"/>
                <w:lang w:val="es-ES"/>
              </w:rPr>
            </w:pPr>
            <w:r w:rsidRPr="00DF5753">
              <w:rPr>
                <w:rFonts w:ascii="Arial" w:hAnsi="Arial" w:cs="Arial"/>
                <w:color w:val="000000"/>
                <w:sz w:val="20"/>
                <w:lang w:val="es-ES"/>
              </w:rPr>
              <w:t>1</w:t>
            </w:r>
          </w:p>
        </w:tc>
        <w:tc>
          <w:tcPr>
            <w:tcW w:w="1080" w:type="dxa"/>
            <w:shd w:val="clear" w:color="auto" w:fill="auto"/>
            <w:vAlign w:val="center"/>
            <w:hideMark/>
          </w:tcPr>
          <w:p w14:paraId="6CC90CEC" w14:textId="77777777" w:rsidR="00D34B84" w:rsidRPr="00DF5753" w:rsidRDefault="00D34B84" w:rsidP="001A5A3B">
            <w:pPr>
              <w:jc w:val="center"/>
              <w:rPr>
                <w:rFonts w:ascii="Arial" w:hAnsi="Arial" w:cs="Arial"/>
                <w:color w:val="000000"/>
                <w:sz w:val="20"/>
                <w:lang w:val="en-US"/>
              </w:rPr>
            </w:pPr>
            <w:r w:rsidRPr="00DF5753">
              <w:rPr>
                <w:rFonts w:ascii="Arial" w:hAnsi="Arial" w:cs="Arial"/>
                <w:color w:val="000000"/>
                <w:sz w:val="20"/>
                <w:lang w:val="es-ES"/>
              </w:rPr>
              <w:t>BID</w:t>
            </w:r>
          </w:p>
        </w:tc>
        <w:tc>
          <w:tcPr>
            <w:tcW w:w="990" w:type="dxa"/>
            <w:shd w:val="clear" w:color="auto" w:fill="auto"/>
            <w:vAlign w:val="center"/>
            <w:hideMark/>
          </w:tcPr>
          <w:p w14:paraId="6CC90CED" w14:textId="00CB21D1" w:rsidR="00D34B84" w:rsidRPr="00DF5753" w:rsidRDefault="00D34B84" w:rsidP="00D34B84">
            <w:pPr>
              <w:ind w:left="-288" w:right="152"/>
              <w:jc w:val="center"/>
              <w:rPr>
                <w:rFonts w:ascii="Arial" w:hAnsi="Arial" w:cs="Arial"/>
                <w:color w:val="000000"/>
                <w:sz w:val="20"/>
                <w:lang w:val="en-US"/>
              </w:rPr>
            </w:pPr>
            <w:r>
              <w:rPr>
                <w:rFonts w:ascii="Arial" w:hAnsi="Arial" w:cs="Arial"/>
                <w:color w:val="000000"/>
                <w:sz w:val="20"/>
                <w:lang w:val="en-US"/>
              </w:rPr>
              <w:t xml:space="preserve">      0</w:t>
            </w:r>
          </w:p>
        </w:tc>
        <w:tc>
          <w:tcPr>
            <w:tcW w:w="1165" w:type="dxa"/>
            <w:shd w:val="clear" w:color="auto" w:fill="auto"/>
            <w:vAlign w:val="center"/>
            <w:hideMark/>
          </w:tcPr>
          <w:p w14:paraId="6CC90CEE" w14:textId="77777777" w:rsidR="00D34B84" w:rsidRPr="00DF5753" w:rsidRDefault="00D34B84" w:rsidP="001A5A3B">
            <w:pPr>
              <w:jc w:val="center"/>
              <w:rPr>
                <w:rFonts w:ascii="Arial" w:hAnsi="Arial" w:cs="Arial"/>
                <w:color w:val="000000"/>
                <w:sz w:val="20"/>
                <w:lang w:val="en-US"/>
              </w:rPr>
            </w:pPr>
            <w:r w:rsidRPr="00DF5753">
              <w:rPr>
                <w:rFonts w:ascii="Arial" w:hAnsi="Arial" w:cs="Arial"/>
                <w:color w:val="000000"/>
                <w:sz w:val="20"/>
                <w:lang w:val="en-US"/>
              </w:rPr>
              <w:t>BID</w:t>
            </w:r>
          </w:p>
        </w:tc>
      </w:tr>
      <w:tr w:rsidR="00F42941" w:rsidRPr="00D97056" w14:paraId="06DE400B" w14:textId="77777777" w:rsidTr="00573BA0">
        <w:trPr>
          <w:trHeight w:val="394"/>
        </w:trPr>
        <w:tc>
          <w:tcPr>
            <w:tcW w:w="3600" w:type="dxa"/>
            <w:shd w:val="clear" w:color="auto" w:fill="auto"/>
            <w:vAlign w:val="center"/>
          </w:tcPr>
          <w:p w14:paraId="3F255DB2" w14:textId="40EF4511" w:rsidR="00F42941" w:rsidRPr="00DF5753" w:rsidRDefault="00F42941" w:rsidP="00F42941">
            <w:pPr>
              <w:rPr>
                <w:rFonts w:ascii="Arial" w:hAnsi="Arial" w:cs="Arial"/>
                <w:color w:val="000000"/>
                <w:sz w:val="20"/>
                <w:lang w:val="es-ES"/>
              </w:rPr>
            </w:pPr>
            <w:r>
              <w:rPr>
                <w:rFonts w:ascii="Arial" w:hAnsi="Arial" w:cs="Arial"/>
                <w:color w:val="000000"/>
                <w:sz w:val="20"/>
                <w:lang w:val="es-ES"/>
              </w:rPr>
              <w:t>Reuniones de seguimiento</w:t>
            </w:r>
          </w:p>
        </w:tc>
        <w:tc>
          <w:tcPr>
            <w:tcW w:w="1080" w:type="dxa"/>
            <w:vAlign w:val="center"/>
          </w:tcPr>
          <w:p w14:paraId="6256656E" w14:textId="054DCD1E" w:rsidR="00F42941" w:rsidRPr="0032337E" w:rsidRDefault="00E34E8C" w:rsidP="00F42941">
            <w:pPr>
              <w:jc w:val="center"/>
              <w:rPr>
                <w:rFonts w:ascii="Arial" w:hAnsi="Arial" w:cs="Arial"/>
                <w:color w:val="000000"/>
                <w:sz w:val="20"/>
                <w:lang w:val="es-ES"/>
              </w:rPr>
            </w:pPr>
            <w:r>
              <w:rPr>
                <w:rFonts w:ascii="Arial" w:hAnsi="Arial" w:cs="Arial"/>
                <w:color w:val="000000"/>
                <w:sz w:val="20"/>
                <w:lang w:val="es-ES"/>
              </w:rPr>
              <w:t>3</w:t>
            </w:r>
          </w:p>
        </w:tc>
        <w:tc>
          <w:tcPr>
            <w:tcW w:w="1080" w:type="dxa"/>
            <w:shd w:val="clear" w:color="auto" w:fill="auto"/>
            <w:vAlign w:val="center"/>
          </w:tcPr>
          <w:p w14:paraId="277E2838" w14:textId="34BBE16E" w:rsidR="00F42941" w:rsidRPr="0032337E" w:rsidRDefault="00F42941" w:rsidP="00F42941">
            <w:pPr>
              <w:jc w:val="center"/>
              <w:rPr>
                <w:rFonts w:ascii="Arial" w:hAnsi="Arial" w:cs="Arial"/>
                <w:color w:val="000000"/>
                <w:sz w:val="20"/>
                <w:lang w:val="es-ES"/>
              </w:rPr>
            </w:pPr>
            <w:r w:rsidRPr="00DF5753">
              <w:rPr>
                <w:rFonts w:ascii="Arial" w:hAnsi="Arial" w:cs="Arial"/>
                <w:color w:val="000000"/>
                <w:sz w:val="20"/>
                <w:lang w:val="es-ES"/>
              </w:rPr>
              <w:t>BID</w:t>
            </w:r>
          </w:p>
        </w:tc>
        <w:tc>
          <w:tcPr>
            <w:tcW w:w="990" w:type="dxa"/>
            <w:shd w:val="clear" w:color="auto" w:fill="auto"/>
            <w:vAlign w:val="center"/>
          </w:tcPr>
          <w:p w14:paraId="2DD9BE77" w14:textId="474C3F99" w:rsidR="00F42941" w:rsidRPr="0032337E" w:rsidRDefault="00F42941" w:rsidP="00F42941">
            <w:pPr>
              <w:ind w:left="-288" w:right="152"/>
              <w:jc w:val="center"/>
              <w:rPr>
                <w:rFonts w:ascii="Arial" w:hAnsi="Arial" w:cs="Arial"/>
                <w:color w:val="000000"/>
                <w:sz w:val="20"/>
                <w:lang w:val="en-US"/>
              </w:rPr>
            </w:pPr>
            <w:r>
              <w:rPr>
                <w:rFonts w:ascii="Arial" w:hAnsi="Arial" w:cs="Arial"/>
                <w:color w:val="000000"/>
                <w:sz w:val="20"/>
                <w:lang w:val="en-US"/>
              </w:rPr>
              <w:t xml:space="preserve">      0</w:t>
            </w:r>
          </w:p>
        </w:tc>
        <w:tc>
          <w:tcPr>
            <w:tcW w:w="1165" w:type="dxa"/>
            <w:shd w:val="clear" w:color="auto" w:fill="auto"/>
            <w:vAlign w:val="center"/>
          </w:tcPr>
          <w:p w14:paraId="156CB812" w14:textId="0D7F7D7A" w:rsidR="00F42941" w:rsidRPr="0032337E" w:rsidRDefault="00F42941" w:rsidP="00F42941">
            <w:pPr>
              <w:jc w:val="center"/>
              <w:rPr>
                <w:rFonts w:ascii="Arial" w:hAnsi="Arial" w:cs="Arial"/>
                <w:color w:val="000000"/>
                <w:sz w:val="20"/>
                <w:lang w:val="en-US"/>
              </w:rPr>
            </w:pPr>
            <w:r w:rsidRPr="00DF5753">
              <w:rPr>
                <w:rFonts w:ascii="Arial" w:hAnsi="Arial" w:cs="Arial"/>
                <w:color w:val="000000"/>
                <w:sz w:val="20"/>
                <w:lang w:val="en-US"/>
              </w:rPr>
              <w:t>BID</w:t>
            </w:r>
          </w:p>
        </w:tc>
      </w:tr>
      <w:tr w:rsidR="00F42941" w:rsidRPr="00D97056" w14:paraId="6CC90CFD" w14:textId="77777777" w:rsidTr="00573BA0">
        <w:trPr>
          <w:trHeight w:val="394"/>
        </w:trPr>
        <w:tc>
          <w:tcPr>
            <w:tcW w:w="3600" w:type="dxa"/>
            <w:shd w:val="clear" w:color="auto" w:fill="auto"/>
            <w:vAlign w:val="center"/>
          </w:tcPr>
          <w:p w14:paraId="6CC90CF7" w14:textId="77777777" w:rsidR="00F42941" w:rsidRPr="00D34B84" w:rsidRDefault="00F42941" w:rsidP="00F42941">
            <w:pPr>
              <w:jc w:val="center"/>
              <w:rPr>
                <w:rFonts w:ascii="Arial" w:hAnsi="Arial" w:cs="Arial"/>
                <w:b/>
                <w:bCs/>
                <w:color w:val="000000"/>
                <w:sz w:val="20"/>
                <w:lang w:val="es-ES"/>
              </w:rPr>
            </w:pPr>
            <w:r w:rsidRPr="00D34B84">
              <w:rPr>
                <w:rFonts w:ascii="Arial" w:hAnsi="Arial" w:cs="Arial"/>
                <w:b/>
                <w:bCs/>
                <w:color w:val="000000"/>
                <w:sz w:val="20"/>
                <w:lang w:val="es-ES"/>
              </w:rPr>
              <w:t>Total</w:t>
            </w:r>
          </w:p>
        </w:tc>
        <w:tc>
          <w:tcPr>
            <w:tcW w:w="1080" w:type="dxa"/>
            <w:vAlign w:val="center"/>
          </w:tcPr>
          <w:p w14:paraId="6CC90CF9" w14:textId="09E7E28D" w:rsidR="00F42941" w:rsidRPr="00F42941" w:rsidRDefault="00E34E8C" w:rsidP="00F42941">
            <w:pPr>
              <w:jc w:val="center"/>
              <w:rPr>
                <w:rFonts w:ascii="Arial" w:hAnsi="Arial" w:cs="Arial"/>
                <w:b/>
                <w:bCs/>
                <w:color w:val="000000"/>
                <w:sz w:val="20"/>
                <w:lang w:val="es-ES"/>
              </w:rPr>
            </w:pPr>
            <w:r>
              <w:rPr>
                <w:rFonts w:ascii="Arial" w:hAnsi="Arial" w:cs="Arial"/>
                <w:b/>
                <w:bCs/>
                <w:color w:val="000000"/>
                <w:sz w:val="20"/>
                <w:lang w:val="es-ES"/>
              </w:rPr>
              <w:t>4</w:t>
            </w:r>
          </w:p>
        </w:tc>
        <w:tc>
          <w:tcPr>
            <w:tcW w:w="1080" w:type="dxa"/>
            <w:shd w:val="clear" w:color="auto" w:fill="auto"/>
            <w:vAlign w:val="center"/>
          </w:tcPr>
          <w:p w14:paraId="6CC90CFA" w14:textId="3D8418A0" w:rsidR="00F42941" w:rsidRPr="00F42941" w:rsidRDefault="00F42941" w:rsidP="00F42941">
            <w:pPr>
              <w:jc w:val="center"/>
              <w:rPr>
                <w:rFonts w:ascii="Arial" w:hAnsi="Arial" w:cs="Arial"/>
                <w:b/>
                <w:bCs/>
                <w:color w:val="000000"/>
                <w:sz w:val="20"/>
                <w:lang w:val="es-ES"/>
              </w:rPr>
            </w:pPr>
            <w:r w:rsidRPr="00F42941">
              <w:rPr>
                <w:rFonts w:ascii="Arial" w:hAnsi="Arial" w:cs="Arial"/>
                <w:b/>
                <w:bCs/>
                <w:color w:val="000000"/>
                <w:sz w:val="20"/>
                <w:lang w:val="es-ES"/>
              </w:rPr>
              <w:t>BID</w:t>
            </w:r>
          </w:p>
        </w:tc>
        <w:tc>
          <w:tcPr>
            <w:tcW w:w="990" w:type="dxa"/>
            <w:shd w:val="clear" w:color="auto" w:fill="auto"/>
            <w:vAlign w:val="center"/>
          </w:tcPr>
          <w:p w14:paraId="6CC90CFB" w14:textId="27ACC76A" w:rsidR="00F42941" w:rsidRPr="00F42941" w:rsidRDefault="00F42941" w:rsidP="00F42941">
            <w:pPr>
              <w:ind w:left="-288" w:right="152"/>
              <w:jc w:val="center"/>
              <w:rPr>
                <w:rFonts w:ascii="Arial" w:hAnsi="Arial" w:cs="Arial"/>
                <w:b/>
                <w:bCs/>
                <w:color w:val="000000"/>
                <w:sz w:val="20"/>
                <w:lang w:val="en-US"/>
              </w:rPr>
            </w:pPr>
            <w:r w:rsidRPr="00F42941">
              <w:rPr>
                <w:rFonts w:ascii="Arial" w:hAnsi="Arial" w:cs="Arial"/>
                <w:b/>
                <w:bCs/>
                <w:color w:val="000000"/>
                <w:sz w:val="20"/>
                <w:lang w:val="en-US"/>
              </w:rPr>
              <w:t xml:space="preserve">      0</w:t>
            </w:r>
          </w:p>
        </w:tc>
        <w:tc>
          <w:tcPr>
            <w:tcW w:w="1165" w:type="dxa"/>
            <w:shd w:val="clear" w:color="auto" w:fill="auto"/>
            <w:vAlign w:val="center"/>
          </w:tcPr>
          <w:p w14:paraId="6CC90CFC" w14:textId="65C0E19E" w:rsidR="00F42941" w:rsidRPr="00F42941" w:rsidRDefault="00F42941" w:rsidP="00F42941">
            <w:pPr>
              <w:jc w:val="center"/>
              <w:rPr>
                <w:rFonts w:ascii="Arial" w:hAnsi="Arial" w:cs="Arial"/>
                <w:b/>
                <w:bCs/>
                <w:color w:val="000000"/>
                <w:sz w:val="20"/>
                <w:lang w:val="en-US"/>
              </w:rPr>
            </w:pPr>
            <w:r w:rsidRPr="00F42941">
              <w:rPr>
                <w:rFonts w:ascii="Arial" w:hAnsi="Arial" w:cs="Arial"/>
                <w:b/>
                <w:bCs/>
                <w:color w:val="000000"/>
                <w:sz w:val="20"/>
                <w:lang w:val="en-US"/>
              </w:rPr>
              <w:t>BID</w:t>
            </w:r>
          </w:p>
        </w:tc>
      </w:tr>
    </w:tbl>
    <w:p w14:paraId="6CC90CFE" w14:textId="6E0C0390" w:rsidR="00ED751C" w:rsidRPr="00CF7743" w:rsidRDefault="007C1307" w:rsidP="00E636CB">
      <w:pPr>
        <w:pStyle w:val="Chapter"/>
        <w:spacing w:before="600"/>
        <w:rPr>
          <w:rFonts w:ascii="Arial" w:hAnsi="Arial" w:cs="Arial"/>
          <w:szCs w:val="22"/>
        </w:rPr>
      </w:pPr>
      <w:bookmarkStart w:id="6" w:name="_Toc36166563"/>
      <w:r w:rsidRPr="00CF7743">
        <w:rPr>
          <w:rFonts w:ascii="Arial" w:hAnsi="Arial" w:cs="Arial"/>
          <w:szCs w:val="22"/>
        </w:rPr>
        <w:t>Evaluaci</w:t>
      </w:r>
      <w:r w:rsidR="00ED751C" w:rsidRPr="00CF7743">
        <w:rPr>
          <w:rFonts w:ascii="Arial" w:hAnsi="Arial" w:cs="Arial"/>
          <w:szCs w:val="22"/>
        </w:rPr>
        <w:t>ón</w:t>
      </w:r>
      <w:bookmarkEnd w:id="6"/>
    </w:p>
    <w:p w14:paraId="527FEBD3" w14:textId="01142B5B" w:rsidR="00E6181F" w:rsidRDefault="00E6181F" w:rsidP="00E6181F">
      <w:pPr>
        <w:pStyle w:val="Paragraph"/>
        <w:tabs>
          <w:tab w:val="clear" w:pos="2448"/>
          <w:tab w:val="num" w:pos="720"/>
          <w:tab w:val="num" w:pos="1440"/>
        </w:tabs>
        <w:ind w:left="720" w:hanging="720"/>
        <w:rPr>
          <w:rFonts w:ascii="Arial" w:hAnsi="Arial" w:cs="Arial"/>
          <w:color w:val="000000"/>
          <w:sz w:val="22"/>
          <w:szCs w:val="22"/>
        </w:rPr>
      </w:pPr>
      <w:r>
        <w:rPr>
          <w:rFonts w:ascii="Arial" w:hAnsi="Arial" w:cs="Arial"/>
          <w:color w:val="000000"/>
          <w:sz w:val="22"/>
          <w:szCs w:val="22"/>
        </w:rPr>
        <w:t>Esta sección presenta el plan de evaluación</w:t>
      </w:r>
      <w:r w:rsidR="006C5023">
        <w:rPr>
          <w:rFonts w:ascii="Arial" w:hAnsi="Arial" w:cs="Arial"/>
          <w:color w:val="000000"/>
          <w:sz w:val="22"/>
          <w:szCs w:val="22"/>
        </w:rPr>
        <w:t xml:space="preserve"> del programa, incluyendo las principales preguntas de evaluación, una descripción de la evidencia existente, los indicadores de evaluación, aspectos metodológicos y el cronograma y presupuesto de </w:t>
      </w:r>
      <w:r w:rsidR="00990002">
        <w:rPr>
          <w:rFonts w:ascii="Arial" w:hAnsi="Arial" w:cs="Arial"/>
          <w:color w:val="000000"/>
          <w:sz w:val="22"/>
          <w:szCs w:val="22"/>
        </w:rPr>
        <w:t>trabajo</w:t>
      </w:r>
      <w:r w:rsidR="006C5023">
        <w:rPr>
          <w:rFonts w:ascii="Arial" w:hAnsi="Arial" w:cs="Arial"/>
          <w:color w:val="000000"/>
          <w:sz w:val="22"/>
          <w:szCs w:val="22"/>
        </w:rPr>
        <w:t xml:space="preserve">. La evaluación tendrá como objetivo </w:t>
      </w:r>
      <w:r w:rsidR="00990002">
        <w:rPr>
          <w:rFonts w:ascii="Arial" w:hAnsi="Arial" w:cs="Arial"/>
          <w:color w:val="000000"/>
          <w:sz w:val="22"/>
          <w:szCs w:val="22"/>
        </w:rPr>
        <w:t xml:space="preserve">principal evaluar en qué medida </w:t>
      </w:r>
      <w:r w:rsidR="008B624C">
        <w:rPr>
          <w:rFonts w:ascii="Arial" w:hAnsi="Arial" w:cs="Arial"/>
          <w:color w:val="000000"/>
          <w:sz w:val="22"/>
          <w:szCs w:val="22"/>
        </w:rPr>
        <w:t xml:space="preserve">el programa logró </w:t>
      </w:r>
      <w:r w:rsidR="00D647D0">
        <w:rPr>
          <w:rFonts w:ascii="Arial" w:hAnsi="Arial" w:cs="Arial"/>
          <w:color w:val="000000"/>
          <w:sz w:val="22"/>
          <w:szCs w:val="22"/>
        </w:rPr>
        <w:t xml:space="preserve">alcanzar </w:t>
      </w:r>
      <w:r w:rsidR="008B624C">
        <w:rPr>
          <w:rFonts w:ascii="Arial" w:hAnsi="Arial" w:cs="Arial"/>
          <w:color w:val="000000"/>
          <w:sz w:val="22"/>
          <w:szCs w:val="22"/>
        </w:rPr>
        <w:t>sus objetivos específicos.</w:t>
      </w:r>
      <w:r w:rsidR="00D647D0">
        <w:rPr>
          <w:rFonts w:ascii="Arial" w:hAnsi="Arial" w:cs="Arial"/>
          <w:color w:val="000000"/>
          <w:sz w:val="22"/>
          <w:szCs w:val="22"/>
        </w:rPr>
        <w:t xml:space="preserve"> La evaluación de la operación contribuirá a obtener lecciones sobre la idoneidad de la respuesta a la pandemia del COVID-19. </w:t>
      </w:r>
      <w:r w:rsidR="008B624C">
        <w:rPr>
          <w:rFonts w:ascii="Arial" w:hAnsi="Arial" w:cs="Arial"/>
          <w:color w:val="000000"/>
          <w:sz w:val="22"/>
          <w:szCs w:val="22"/>
        </w:rPr>
        <w:t xml:space="preserve"> </w:t>
      </w:r>
      <w:r w:rsidR="006C5023">
        <w:rPr>
          <w:rFonts w:ascii="Arial" w:hAnsi="Arial" w:cs="Arial"/>
          <w:color w:val="000000"/>
          <w:sz w:val="22"/>
          <w:szCs w:val="22"/>
        </w:rPr>
        <w:t xml:space="preserve"> </w:t>
      </w:r>
    </w:p>
    <w:p w14:paraId="19DAE46C" w14:textId="27DADF04" w:rsidR="00D647D0" w:rsidRDefault="00D647D0" w:rsidP="00E6181F">
      <w:pPr>
        <w:pStyle w:val="Paragraph"/>
        <w:tabs>
          <w:tab w:val="clear" w:pos="2448"/>
          <w:tab w:val="num" w:pos="720"/>
          <w:tab w:val="num" w:pos="1440"/>
        </w:tabs>
        <w:ind w:left="720" w:hanging="720"/>
        <w:rPr>
          <w:rFonts w:ascii="Arial" w:hAnsi="Arial" w:cs="Arial"/>
          <w:color w:val="000000"/>
          <w:sz w:val="22"/>
          <w:szCs w:val="22"/>
        </w:rPr>
      </w:pPr>
      <w:r>
        <w:rPr>
          <w:rFonts w:ascii="Arial" w:hAnsi="Arial" w:cs="Arial"/>
          <w:color w:val="000000"/>
          <w:sz w:val="22"/>
          <w:szCs w:val="22"/>
        </w:rPr>
        <w:t>El plan de evaluación</w:t>
      </w:r>
      <w:r w:rsidR="00F86EF6">
        <w:rPr>
          <w:rFonts w:ascii="Arial" w:hAnsi="Arial" w:cs="Arial"/>
          <w:color w:val="000000"/>
          <w:sz w:val="22"/>
          <w:szCs w:val="22"/>
        </w:rPr>
        <w:t xml:space="preserve"> incluir</w:t>
      </w:r>
      <w:r w:rsidR="00D16392">
        <w:rPr>
          <w:rFonts w:ascii="Arial" w:hAnsi="Arial" w:cs="Arial"/>
          <w:color w:val="000000"/>
          <w:sz w:val="22"/>
          <w:szCs w:val="22"/>
        </w:rPr>
        <w:t>á</w:t>
      </w:r>
      <w:r>
        <w:rPr>
          <w:rFonts w:ascii="Arial" w:hAnsi="Arial" w:cs="Arial"/>
          <w:color w:val="000000"/>
          <w:sz w:val="22"/>
          <w:szCs w:val="22"/>
        </w:rPr>
        <w:t>: (i) un análisis antes y después del desempeño de los indicadores de resultado e impacto incluidos en la M</w:t>
      </w:r>
      <w:r w:rsidR="006E3B58">
        <w:rPr>
          <w:rFonts w:ascii="Arial" w:hAnsi="Arial" w:cs="Arial"/>
          <w:color w:val="000000"/>
          <w:sz w:val="22"/>
          <w:szCs w:val="22"/>
        </w:rPr>
        <w:t>R</w:t>
      </w:r>
      <w:r>
        <w:rPr>
          <w:rFonts w:ascii="Arial" w:hAnsi="Arial" w:cs="Arial"/>
          <w:color w:val="000000"/>
          <w:sz w:val="22"/>
          <w:szCs w:val="22"/>
        </w:rPr>
        <w:t>; (</w:t>
      </w:r>
      <w:proofErr w:type="spellStart"/>
      <w:r>
        <w:rPr>
          <w:rFonts w:ascii="Arial" w:hAnsi="Arial" w:cs="Arial"/>
          <w:color w:val="000000"/>
          <w:sz w:val="22"/>
          <w:szCs w:val="22"/>
        </w:rPr>
        <w:t>ii</w:t>
      </w:r>
      <w:proofErr w:type="spellEnd"/>
      <w:r>
        <w:rPr>
          <w:rFonts w:ascii="Arial" w:hAnsi="Arial" w:cs="Arial"/>
          <w:color w:val="000000"/>
          <w:sz w:val="22"/>
          <w:szCs w:val="22"/>
        </w:rPr>
        <w:t>) un</w:t>
      </w:r>
      <w:r w:rsidR="00871389">
        <w:rPr>
          <w:rFonts w:ascii="Arial" w:hAnsi="Arial" w:cs="Arial"/>
          <w:color w:val="000000"/>
          <w:sz w:val="22"/>
          <w:szCs w:val="22"/>
        </w:rPr>
        <w:t xml:space="preserve">a revisión de la teoría de cambio </w:t>
      </w:r>
      <w:r>
        <w:rPr>
          <w:rFonts w:ascii="Arial" w:hAnsi="Arial" w:cs="Arial"/>
          <w:color w:val="000000"/>
          <w:sz w:val="22"/>
          <w:szCs w:val="22"/>
        </w:rPr>
        <w:t>de la intervención</w:t>
      </w:r>
      <w:r w:rsidR="002B4219">
        <w:rPr>
          <w:rFonts w:ascii="Arial" w:hAnsi="Arial" w:cs="Arial"/>
          <w:color w:val="000000"/>
          <w:sz w:val="22"/>
          <w:szCs w:val="22"/>
        </w:rPr>
        <w:t>; (</w:t>
      </w:r>
      <w:proofErr w:type="spellStart"/>
      <w:r w:rsidR="002B4219">
        <w:rPr>
          <w:rFonts w:ascii="Arial" w:hAnsi="Arial" w:cs="Arial"/>
          <w:color w:val="000000"/>
          <w:sz w:val="22"/>
          <w:szCs w:val="22"/>
        </w:rPr>
        <w:t>iii</w:t>
      </w:r>
      <w:proofErr w:type="spellEnd"/>
      <w:r w:rsidR="002B4219">
        <w:rPr>
          <w:rFonts w:ascii="Arial" w:hAnsi="Arial" w:cs="Arial"/>
          <w:color w:val="000000"/>
          <w:sz w:val="22"/>
          <w:szCs w:val="22"/>
        </w:rPr>
        <w:t xml:space="preserve">) </w:t>
      </w:r>
      <w:r w:rsidR="00311D19">
        <w:rPr>
          <w:rFonts w:ascii="Arial" w:hAnsi="Arial" w:cs="Arial"/>
          <w:color w:val="000000"/>
          <w:sz w:val="22"/>
          <w:szCs w:val="22"/>
        </w:rPr>
        <w:t>una revisión</w:t>
      </w:r>
      <w:r w:rsidR="002B4219">
        <w:rPr>
          <w:rFonts w:ascii="Arial" w:hAnsi="Arial" w:cs="Arial"/>
          <w:color w:val="000000"/>
          <w:sz w:val="22"/>
          <w:szCs w:val="22"/>
        </w:rPr>
        <w:t xml:space="preserve"> de la evidencia </w:t>
      </w:r>
      <w:r w:rsidR="00871389">
        <w:rPr>
          <w:rFonts w:ascii="Arial" w:hAnsi="Arial" w:cs="Arial"/>
          <w:color w:val="000000"/>
          <w:sz w:val="22"/>
          <w:szCs w:val="22"/>
        </w:rPr>
        <w:t xml:space="preserve">en la literatura sobre la efectividad de intervenciones similares en contextos comparables; </w:t>
      </w:r>
      <w:r w:rsidR="00871389" w:rsidRPr="00556AC1">
        <w:rPr>
          <w:rFonts w:ascii="Arial" w:hAnsi="Arial" w:cs="Arial"/>
          <w:color w:val="000000"/>
          <w:sz w:val="22"/>
          <w:szCs w:val="22"/>
        </w:rPr>
        <w:t>y (</w:t>
      </w:r>
      <w:proofErr w:type="spellStart"/>
      <w:r w:rsidR="00871389" w:rsidRPr="00556AC1">
        <w:rPr>
          <w:rFonts w:ascii="Arial" w:hAnsi="Arial" w:cs="Arial"/>
          <w:color w:val="000000"/>
          <w:sz w:val="22"/>
          <w:szCs w:val="22"/>
        </w:rPr>
        <w:t>i</w:t>
      </w:r>
      <w:r w:rsidR="002B4219" w:rsidRPr="00556AC1">
        <w:rPr>
          <w:rFonts w:ascii="Arial" w:hAnsi="Arial" w:cs="Arial"/>
          <w:color w:val="000000"/>
          <w:sz w:val="22"/>
          <w:szCs w:val="22"/>
        </w:rPr>
        <w:t>v</w:t>
      </w:r>
      <w:proofErr w:type="spellEnd"/>
      <w:r w:rsidR="00871389" w:rsidRPr="00556AC1">
        <w:rPr>
          <w:rFonts w:ascii="Arial" w:hAnsi="Arial" w:cs="Arial"/>
          <w:color w:val="000000"/>
          <w:sz w:val="22"/>
          <w:szCs w:val="22"/>
        </w:rPr>
        <w:t>)</w:t>
      </w:r>
      <w:r w:rsidR="008A049C">
        <w:rPr>
          <w:rFonts w:ascii="Arial" w:hAnsi="Arial" w:cs="Arial"/>
          <w:color w:val="000000"/>
          <w:sz w:val="22"/>
          <w:szCs w:val="22"/>
        </w:rPr>
        <w:t> </w:t>
      </w:r>
      <w:r w:rsidR="00871389" w:rsidRPr="00556AC1">
        <w:rPr>
          <w:rFonts w:ascii="Arial" w:hAnsi="Arial" w:cs="Arial"/>
          <w:color w:val="000000"/>
          <w:sz w:val="22"/>
          <w:szCs w:val="22"/>
        </w:rPr>
        <w:t>una evaluación cualitativa que provea información complementaria de la atribución de los resultados alcanzados al programa.</w:t>
      </w:r>
      <w:r w:rsidR="00871389">
        <w:rPr>
          <w:rFonts w:ascii="Arial" w:hAnsi="Arial" w:cs="Arial"/>
          <w:color w:val="000000"/>
          <w:sz w:val="22"/>
          <w:szCs w:val="22"/>
        </w:rPr>
        <w:t xml:space="preserve"> </w:t>
      </w:r>
      <w:r>
        <w:rPr>
          <w:rFonts w:ascii="Arial" w:hAnsi="Arial" w:cs="Arial"/>
          <w:color w:val="000000"/>
          <w:sz w:val="22"/>
          <w:szCs w:val="22"/>
        </w:rPr>
        <w:t xml:space="preserve"> </w:t>
      </w:r>
    </w:p>
    <w:p w14:paraId="69B661B8" w14:textId="57218517" w:rsidR="00700F69" w:rsidRPr="00612382" w:rsidRDefault="007C1307" w:rsidP="002A287A">
      <w:pPr>
        <w:pStyle w:val="FirstHeading"/>
        <w:numPr>
          <w:ilvl w:val="0"/>
          <w:numId w:val="13"/>
        </w:numPr>
        <w:ind w:left="720"/>
        <w:rPr>
          <w:rFonts w:ascii="Arial" w:hAnsi="Arial" w:cs="Arial"/>
          <w:sz w:val="22"/>
          <w:szCs w:val="22"/>
        </w:rPr>
      </w:pPr>
      <w:bookmarkStart w:id="7" w:name="_Toc36166564"/>
      <w:r w:rsidRPr="00CF7743">
        <w:rPr>
          <w:rFonts w:ascii="Arial" w:hAnsi="Arial" w:cs="Arial"/>
          <w:sz w:val="22"/>
          <w:szCs w:val="22"/>
        </w:rPr>
        <w:t xml:space="preserve">Principales </w:t>
      </w:r>
      <w:r w:rsidR="004B2F1D" w:rsidRPr="00CF7743">
        <w:rPr>
          <w:rFonts w:ascii="Arial" w:hAnsi="Arial" w:cs="Arial"/>
          <w:sz w:val="22"/>
          <w:szCs w:val="22"/>
        </w:rPr>
        <w:t>p</w:t>
      </w:r>
      <w:r w:rsidRPr="00CF7743">
        <w:rPr>
          <w:rFonts w:ascii="Arial" w:hAnsi="Arial" w:cs="Arial"/>
          <w:sz w:val="22"/>
          <w:szCs w:val="22"/>
        </w:rPr>
        <w:t xml:space="preserve">reguntas de la </w:t>
      </w:r>
      <w:r w:rsidR="004B2F1D" w:rsidRPr="00CF7743">
        <w:rPr>
          <w:rFonts w:ascii="Arial" w:hAnsi="Arial" w:cs="Arial"/>
          <w:sz w:val="22"/>
          <w:szCs w:val="22"/>
        </w:rPr>
        <w:t>e</w:t>
      </w:r>
      <w:r w:rsidRPr="00CF7743">
        <w:rPr>
          <w:rFonts w:ascii="Arial" w:hAnsi="Arial" w:cs="Arial"/>
          <w:sz w:val="22"/>
          <w:szCs w:val="22"/>
        </w:rPr>
        <w:t>valuación</w:t>
      </w:r>
      <w:bookmarkEnd w:id="7"/>
    </w:p>
    <w:p w14:paraId="062707D6" w14:textId="0078EFDC" w:rsidR="00D63F7A" w:rsidRPr="004B72D7" w:rsidRDefault="00097F09" w:rsidP="004B72D7">
      <w:pPr>
        <w:pStyle w:val="Paragraph"/>
        <w:tabs>
          <w:tab w:val="clear" w:pos="2448"/>
          <w:tab w:val="num" w:pos="720"/>
          <w:tab w:val="num" w:pos="1440"/>
        </w:tabs>
        <w:ind w:left="720" w:hanging="720"/>
        <w:rPr>
          <w:rFonts w:ascii="Arial" w:hAnsi="Arial" w:cs="Arial"/>
          <w:color w:val="000000"/>
          <w:sz w:val="22"/>
          <w:szCs w:val="22"/>
        </w:rPr>
      </w:pPr>
      <w:bookmarkStart w:id="8" w:name="_Hlk36390641"/>
      <w:r w:rsidRPr="00097F09">
        <w:rPr>
          <w:rFonts w:ascii="Arial" w:hAnsi="Arial" w:cs="Arial"/>
          <w:color w:val="000000"/>
          <w:sz w:val="22"/>
          <w:szCs w:val="22"/>
        </w:rPr>
        <w:t xml:space="preserve">El objetivo general del programa es fortalecer la eficiencia y eficacia de la política pública y la gestión fiscal para atender la crisis sanitaria y económica causada por el COVID-19, mediante el diseño e implementación de medidas de política efectivas y fiscalmente responsables. </w:t>
      </w:r>
      <w:bookmarkEnd w:id="8"/>
      <w:r w:rsidR="00A56B78" w:rsidRPr="004B72D7">
        <w:rPr>
          <w:rFonts w:ascii="Arial" w:hAnsi="Arial" w:cs="Arial"/>
          <w:color w:val="000000"/>
          <w:sz w:val="22"/>
          <w:szCs w:val="22"/>
        </w:rPr>
        <w:t>En este marco, l</w:t>
      </w:r>
      <w:r w:rsidR="007C1307" w:rsidRPr="004B72D7">
        <w:rPr>
          <w:rFonts w:ascii="Arial" w:hAnsi="Arial" w:cs="Arial"/>
          <w:color w:val="000000"/>
          <w:sz w:val="22"/>
          <w:szCs w:val="22"/>
        </w:rPr>
        <w:t xml:space="preserve">as principales preguntas </w:t>
      </w:r>
      <w:r w:rsidR="00A56B78" w:rsidRPr="004B72D7">
        <w:rPr>
          <w:rFonts w:ascii="Arial" w:hAnsi="Arial" w:cs="Arial"/>
          <w:color w:val="000000"/>
          <w:sz w:val="22"/>
          <w:szCs w:val="22"/>
        </w:rPr>
        <w:t xml:space="preserve">de evaluación </w:t>
      </w:r>
      <w:r w:rsidR="007C1307" w:rsidRPr="004B72D7">
        <w:rPr>
          <w:rFonts w:ascii="Arial" w:hAnsi="Arial" w:cs="Arial"/>
          <w:color w:val="000000"/>
          <w:sz w:val="22"/>
          <w:szCs w:val="22"/>
        </w:rPr>
        <w:t>están referidas a si la</w:t>
      </w:r>
      <w:r w:rsidR="00741EB2" w:rsidRPr="004B72D7">
        <w:rPr>
          <w:rFonts w:ascii="Arial" w:hAnsi="Arial" w:cs="Arial"/>
          <w:color w:val="000000"/>
          <w:sz w:val="22"/>
          <w:szCs w:val="22"/>
        </w:rPr>
        <w:t>s</w:t>
      </w:r>
      <w:r w:rsidR="007C1307" w:rsidRPr="004B72D7">
        <w:rPr>
          <w:rFonts w:ascii="Arial" w:hAnsi="Arial" w:cs="Arial"/>
          <w:color w:val="000000"/>
          <w:sz w:val="22"/>
          <w:szCs w:val="22"/>
        </w:rPr>
        <w:t xml:space="preserve"> </w:t>
      </w:r>
      <w:r w:rsidR="00AC6526" w:rsidRPr="004B72D7">
        <w:rPr>
          <w:rFonts w:ascii="Arial" w:hAnsi="Arial" w:cs="Arial"/>
          <w:color w:val="000000"/>
          <w:sz w:val="22"/>
          <w:szCs w:val="22"/>
        </w:rPr>
        <w:t xml:space="preserve">medidas de política introducidas </w:t>
      </w:r>
      <w:r w:rsidR="007C1307" w:rsidRPr="004B72D7">
        <w:rPr>
          <w:rFonts w:ascii="Arial" w:hAnsi="Arial" w:cs="Arial"/>
          <w:color w:val="000000"/>
          <w:sz w:val="22"/>
          <w:szCs w:val="22"/>
        </w:rPr>
        <w:t>logr</w:t>
      </w:r>
      <w:r w:rsidR="00AC6526" w:rsidRPr="004B72D7">
        <w:rPr>
          <w:rFonts w:ascii="Arial" w:hAnsi="Arial" w:cs="Arial"/>
          <w:color w:val="000000"/>
          <w:sz w:val="22"/>
          <w:szCs w:val="22"/>
        </w:rPr>
        <w:t>aron</w:t>
      </w:r>
      <w:r w:rsidR="007C1307" w:rsidRPr="004B72D7">
        <w:rPr>
          <w:rFonts w:ascii="Arial" w:hAnsi="Arial" w:cs="Arial"/>
          <w:color w:val="000000"/>
          <w:sz w:val="22"/>
          <w:szCs w:val="22"/>
        </w:rPr>
        <w:t xml:space="preserve"> el impacto deseado en términos de </w:t>
      </w:r>
      <w:r w:rsidR="00D61463" w:rsidRPr="004B72D7">
        <w:rPr>
          <w:rFonts w:ascii="Arial" w:hAnsi="Arial" w:cs="Arial"/>
          <w:color w:val="000000"/>
          <w:sz w:val="22"/>
          <w:szCs w:val="22"/>
        </w:rPr>
        <w:t xml:space="preserve">los indicadores de resultados contemplados en </w:t>
      </w:r>
      <w:r w:rsidR="00D61463" w:rsidRPr="004B72D7">
        <w:rPr>
          <w:rFonts w:ascii="Arial" w:hAnsi="Arial" w:cs="Arial"/>
          <w:color w:val="000000"/>
          <w:sz w:val="22"/>
          <w:szCs w:val="22"/>
        </w:rPr>
        <w:lastRenderedPageBreak/>
        <w:t>la M</w:t>
      </w:r>
      <w:r w:rsidR="00D63F7A" w:rsidRPr="004B72D7">
        <w:rPr>
          <w:rFonts w:ascii="Arial" w:hAnsi="Arial" w:cs="Arial"/>
          <w:color w:val="000000"/>
          <w:sz w:val="22"/>
          <w:szCs w:val="22"/>
        </w:rPr>
        <w:t>R</w:t>
      </w:r>
      <w:r w:rsidR="00D61463" w:rsidRPr="004B72D7">
        <w:rPr>
          <w:rFonts w:ascii="Arial" w:hAnsi="Arial" w:cs="Arial"/>
          <w:color w:val="000000"/>
          <w:sz w:val="22"/>
          <w:szCs w:val="22"/>
        </w:rPr>
        <w:t xml:space="preserve"> (Cuadro </w:t>
      </w:r>
      <w:r w:rsidR="005679FF" w:rsidRPr="004B72D7">
        <w:rPr>
          <w:rFonts w:ascii="Arial" w:hAnsi="Arial" w:cs="Arial"/>
          <w:color w:val="000000"/>
          <w:sz w:val="22"/>
          <w:szCs w:val="22"/>
        </w:rPr>
        <w:t>3</w:t>
      </w:r>
      <w:r w:rsidR="00D61463" w:rsidRPr="004B72D7">
        <w:rPr>
          <w:rFonts w:ascii="Arial" w:hAnsi="Arial" w:cs="Arial"/>
          <w:color w:val="000000"/>
          <w:sz w:val="22"/>
          <w:szCs w:val="22"/>
        </w:rPr>
        <w:t>).</w:t>
      </w:r>
      <w:r w:rsidR="00EC7766" w:rsidRPr="004B72D7">
        <w:rPr>
          <w:rFonts w:ascii="Arial" w:hAnsi="Arial" w:cs="Arial"/>
          <w:color w:val="000000"/>
          <w:sz w:val="22"/>
          <w:szCs w:val="22"/>
        </w:rPr>
        <w:t xml:space="preserve"> Estos indicadores se relacionan con </w:t>
      </w:r>
      <w:r w:rsidR="00D50872" w:rsidRPr="004B72D7">
        <w:rPr>
          <w:rFonts w:ascii="Arial" w:hAnsi="Arial" w:cs="Arial"/>
          <w:color w:val="000000"/>
          <w:sz w:val="22"/>
          <w:szCs w:val="22"/>
        </w:rPr>
        <w:t xml:space="preserve">la </w:t>
      </w:r>
      <w:r w:rsidR="00D635BE" w:rsidRPr="004B72D7">
        <w:rPr>
          <w:rFonts w:ascii="Arial" w:hAnsi="Arial" w:cs="Arial"/>
          <w:color w:val="000000"/>
          <w:sz w:val="22"/>
          <w:szCs w:val="22"/>
        </w:rPr>
        <w:t xml:space="preserve">disponibilidad </w:t>
      </w:r>
      <w:r w:rsidR="00D63F7A" w:rsidRPr="004B72D7">
        <w:rPr>
          <w:rFonts w:ascii="Arial" w:hAnsi="Arial" w:cs="Arial"/>
          <w:color w:val="000000"/>
          <w:sz w:val="22"/>
          <w:szCs w:val="22"/>
        </w:rPr>
        <w:t xml:space="preserve">y ejecución </w:t>
      </w:r>
      <w:r w:rsidR="00D635BE" w:rsidRPr="004B72D7">
        <w:rPr>
          <w:rFonts w:ascii="Arial" w:hAnsi="Arial" w:cs="Arial"/>
          <w:color w:val="000000"/>
          <w:sz w:val="22"/>
          <w:szCs w:val="22"/>
        </w:rPr>
        <w:t xml:space="preserve">oportuna de recursos para atender la emergencia sanitaria; </w:t>
      </w:r>
      <w:r w:rsidR="00D50872" w:rsidRPr="004B72D7">
        <w:rPr>
          <w:rFonts w:ascii="Arial" w:hAnsi="Arial" w:cs="Arial"/>
          <w:color w:val="000000"/>
          <w:sz w:val="22"/>
          <w:szCs w:val="22"/>
        </w:rPr>
        <w:t xml:space="preserve">la protección </w:t>
      </w:r>
      <w:r w:rsidR="006D2DD4" w:rsidRPr="004B72D7">
        <w:rPr>
          <w:rFonts w:ascii="Arial" w:hAnsi="Arial" w:cs="Arial"/>
          <w:sz w:val="22"/>
          <w:szCs w:val="22"/>
          <w:lang w:val="es-MX"/>
        </w:rPr>
        <w:t>la protección del ingreso de los hogares vulnerables durante la crisis sanitaria y económica</w:t>
      </w:r>
      <w:r w:rsidR="00D635BE" w:rsidRPr="004B72D7">
        <w:rPr>
          <w:rFonts w:ascii="Arial" w:hAnsi="Arial" w:cs="Arial"/>
          <w:color w:val="000000"/>
          <w:sz w:val="22"/>
          <w:szCs w:val="22"/>
        </w:rPr>
        <w:t xml:space="preserve">; y </w:t>
      </w:r>
      <w:r w:rsidR="006D2DD4" w:rsidRPr="004B72D7">
        <w:rPr>
          <w:rFonts w:ascii="Arial" w:hAnsi="Arial" w:cs="Arial"/>
          <w:color w:val="000000"/>
          <w:sz w:val="22"/>
          <w:szCs w:val="22"/>
        </w:rPr>
        <w:t>el</w:t>
      </w:r>
      <w:r w:rsidR="006C0550" w:rsidRPr="004B72D7">
        <w:rPr>
          <w:rFonts w:ascii="Arial" w:hAnsi="Arial" w:cs="Arial"/>
          <w:color w:val="000000"/>
          <w:sz w:val="22"/>
          <w:szCs w:val="22"/>
        </w:rPr>
        <w:t xml:space="preserve"> apoyo a la</w:t>
      </w:r>
      <w:r w:rsidR="00D63F7A" w:rsidRPr="004B72D7">
        <w:rPr>
          <w:rFonts w:ascii="Arial" w:hAnsi="Arial" w:cs="Arial"/>
          <w:sz w:val="22"/>
          <w:szCs w:val="22"/>
          <w:lang w:val="es-MX"/>
        </w:rPr>
        <w:t xml:space="preserve"> </w:t>
      </w:r>
      <w:r w:rsidR="006C0550" w:rsidRPr="004B72D7">
        <w:rPr>
          <w:rFonts w:ascii="Arial" w:hAnsi="Arial" w:cs="Arial"/>
          <w:sz w:val="22"/>
          <w:szCs w:val="22"/>
          <w:lang w:val="es-MX"/>
        </w:rPr>
        <w:t>promoción de</w:t>
      </w:r>
      <w:r w:rsidR="00D63F7A" w:rsidRPr="004B72D7">
        <w:rPr>
          <w:rFonts w:ascii="Arial" w:hAnsi="Arial" w:cs="Arial"/>
          <w:sz w:val="22"/>
          <w:szCs w:val="22"/>
          <w:lang w:val="es-MX"/>
        </w:rPr>
        <w:t xml:space="preserve"> la recuperación económica y fiscal en el periodo post pandemia</w:t>
      </w:r>
      <w:r w:rsidR="00D63F7A" w:rsidRPr="004B72D7">
        <w:rPr>
          <w:rFonts w:ascii="Arial" w:hAnsi="Arial" w:cs="Arial"/>
          <w:color w:val="000000"/>
          <w:sz w:val="22"/>
          <w:szCs w:val="22"/>
        </w:rPr>
        <w:t>.</w:t>
      </w:r>
    </w:p>
    <w:p w14:paraId="1710FDEC" w14:textId="322AB8EE" w:rsidR="00A578FB" w:rsidRPr="00FF45D0" w:rsidRDefault="00A56B78" w:rsidP="005609ED">
      <w:pPr>
        <w:pStyle w:val="Paragraph"/>
        <w:tabs>
          <w:tab w:val="clear" w:pos="2448"/>
          <w:tab w:val="num" w:pos="720"/>
          <w:tab w:val="num" w:pos="1440"/>
        </w:tabs>
        <w:spacing w:before="0"/>
        <w:ind w:left="720" w:hanging="720"/>
        <w:rPr>
          <w:rFonts w:ascii="Arial" w:hAnsi="Arial" w:cs="Arial"/>
          <w:sz w:val="22"/>
          <w:szCs w:val="22"/>
        </w:rPr>
      </w:pPr>
      <w:r w:rsidRPr="00FF45D0">
        <w:rPr>
          <w:rFonts w:ascii="Arial" w:hAnsi="Arial" w:cs="Arial"/>
          <w:sz w:val="22"/>
          <w:szCs w:val="22"/>
        </w:rPr>
        <w:t xml:space="preserve">En específico, </w:t>
      </w:r>
      <w:r w:rsidR="00207463" w:rsidRPr="00FF45D0">
        <w:rPr>
          <w:rFonts w:ascii="Arial" w:hAnsi="Arial" w:cs="Arial"/>
          <w:sz w:val="22"/>
          <w:szCs w:val="22"/>
        </w:rPr>
        <w:t xml:space="preserve">la evaluación </w:t>
      </w:r>
      <w:r w:rsidRPr="00FF45D0">
        <w:rPr>
          <w:rFonts w:ascii="Arial" w:hAnsi="Arial" w:cs="Arial"/>
          <w:b/>
          <w:bCs/>
          <w:sz w:val="22"/>
          <w:szCs w:val="22"/>
        </w:rPr>
        <w:t>análisis antes y después</w:t>
      </w:r>
      <w:r w:rsidRPr="00FF45D0">
        <w:rPr>
          <w:rFonts w:ascii="Arial" w:hAnsi="Arial" w:cs="Arial"/>
          <w:sz w:val="22"/>
          <w:szCs w:val="22"/>
        </w:rPr>
        <w:t xml:space="preserve"> buscará responder a las siguientes preguntas:</w:t>
      </w:r>
    </w:p>
    <w:p w14:paraId="204916E7" w14:textId="10E306E6" w:rsidR="00A56B78" w:rsidRDefault="00A56B78" w:rsidP="005609ED">
      <w:pPr>
        <w:pStyle w:val="subpar"/>
        <w:tabs>
          <w:tab w:val="clear" w:pos="2304"/>
          <w:tab w:val="num" w:pos="720"/>
        </w:tabs>
        <w:spacing w:before="0"/>
        <w:ind w:left="1080" w:hanging="360"/>
        <w:rPr>
          <w:rFonts w:ascii="Arial" w:hAnsi="Arial" w:cs="Arial"/>
          <w:sz w:val="22"/>
          <w:szCs w:val="18"/>
        </w:rPr>
      </w:pPr>
      <w:r w:rsidRPr="00207463">
        <w:rPr>
          <w:rFonts w:ascii="Arial" w:hAnsi="Arial" w:cs="Arial"/>
          <w:sz w:val="22"/>
          <w:szCs w:val="18"/>
        </w:rPr>
        <w:t xml:space="preserve">¿En cuánto </w:t>
      </w:r>
      <w:r w:rsidR="0044173C" w:rsidRPr="00207463">
        <w:rPr>
          <w:rFonts w:ascii="Arial" w:hAnsi="Arial" w:cs="Arial"/>
          <w:sz w:val="22"/>
          <w:szCs w:val="18"/>
        </w:rPr>
        <w:t xml:space="preserve">ha </w:t>
      </w:r>
      <w:r w:rsidRPr="00207463">
        <w:rPr>
          <w:rFonts w:ascii="Arial" w:hAnsi="Arial" w:cs="Arial"/>
          <w:sz w:val="22"/>
          <w:szCs w:val="18"/>
        </w:rPr>
        <w:t>aument</w:t>
      </w:r>
      <w:r w:rsidR="0044173C" w:rsidRPr="00207463">
        <w:rPr>
          <w:rFonts w:ascii="Arial" w:hAnsi="Arial" w:cs="Arial"/>
          <w:sz w:val="22"/>
          <w:szCs w:val="18"/>
        </w:rPr>
        <w:t>ado</w:t>
      </w:r>
      <w:r w:rsidRPr="00207463">
        <w:rPr>
          <w:rFonts w:ascii="Arial" w:hAnsi="Arial" w:cs="Arial"/>
          <w:sz w:val="22"/>
          <w:szCs w:val="18"/>
        </w:rPr>
        <w:t xml:space="preserve">, </w:t>
      </w:r>
      <w:r w:rsidR="00AB6811">
        <w:rPr>
          <w:rFonts w:ascii="Arial" w:hAnsi="Arial" w:cs="Arial"/>
          <w:sz w:val="22"/>
          <w:szCs w:val="18"/>
        </w:rPr>
        <w:t>gracias al programa de políticas</w:t>
      </w:r>
      <w:r w:rsidR="0044173C" w:rsidRPr="00207463">
        <w:rPr>
          <w:rFonts w:ascii="Arial" w:hAnsi="Arial" w:cs="Arial"/>
          <w:sz w:val="22"/>
          <w:szCs w:val="18"/>
        </w:rPr>
        <w:t>, la disponibilidad de recursos del sector salud?</w:t>
      </w:r>
    </w:p>
    <w:p w14:paraId="708C55F5" w14:textId="2CF5D30A" w:rsidR="002A254F" w:rsidRPr="00207463" w:rsidRDefault="002A254F" w:rsidP="005609ED">
      <w:pPr>
        <w:pStyle w:val="subpar"/>
        <w:tabs>
          <w:tab w:val="clear" w:pos="2304"/>
          <w:tab w:val="num" w:pos="720"/>
        </w:tabs>
        <w:spacing w:before="0"/>
        <w:ind w:left="1080" w:hanging="360"/>
        <w:rPr>
          <w:rFonts w:ascii="Arial" w:hAnsi="Arial" w:cs="Arial"/>
          <w:sz w:val="22"/>
          <w:szCs w:val="18"/>
        </w:rPr>
      </w:pPr>
      <w:r w:rsidRPr="00207463">
        <w:rPr>
          <w:rFonts w:ascii="Arial" w:hAnsi="Arial" w:cs="Arial"/>
          <w:sz w:val="22"/>
          <w:szCs w:val="18"/>
        </w:rPr>
        <w:t xml:space="preserve">¿En cuánto ha aumentado, </w:t>
      </w:r>
      <w:r>
        <w:rPr>
          <w:rFonts w:ascii="Arial" w:hAnsi="Arial" w:cs="Arial"/>
          <w:sz w:val="22"/>
          <w:szCs w:val="18"/>
        </w:rPr>
        <w:t>gracias al programa de políticas</w:t>
      </w:r>
      <w:r w:rsidRPr="00207463">
        <w:rPr>
          <w:rFonts w:ascii="Arial" w:hAnsi="Arial" w:cs="Arial"/>
          <w:sz w:val="22"/>
          <w:szCs w:val="18"/>
        </w:rPr>
        <w:t xml:space="preserve">, la </w:t>
      </w:r>
      <w:r>
        <w:rPr>
          <w:rFonts w:ascii="Arial" w:hAnsi="Arial" w:cs="Arial"/>
          <w:sz w:val="22"/>
          <w:szCs w:val="18"/>
        </w:rPr>
        <w:t xml:space="preserve">ejecución del gasto en </w:t>
      </w:r>
      <w:r w:rsidRPr="00207463">
        <w:rPr>
          <w:rFonts w:ascii="Arial" w:hAnsi="Arial" w:cs="Arial"/>
          <w:sz w:val="22"/>
          <w:szCs w:val="18"/>
        </w:rPr>
        <w:t>el sector salud?</w:t>
      </w:r>
    </w:p>
    <w:p w14:paraId="01122E93" w14:textId="1E2909B5" w:rsidR="0044173C" w:rsidRPr="00207463" w:rsidRDefault="0044173C" w:rsidP="005609ED">
      <w:pPr>
        <w:pStyle w:val="subpar"/>
        <w:tabs>
          <w:tab w:val="clear" w:pos="2304"/>
          <w:tab w:val="num" w:pos="720"/>
        </w:tabs>
        <w:spacing w:before="0"/>
        <w:ind w:left="1080" w:hanging="360"/>
        <w:rPr>
          <w:rFonts w:ascii="Arial" w:hAnsi="Arial" w:cs="Arial"/>
          <w:sz w:val="22"/>
          <w:szCs w:val="18"/>
        </w:rPr>
      </w:pPr>
      <w:r w:rsidRPr="00207463">
        <w:rPr>
          <w:rFonts w:ascii="Arial" w:hAnsi="Arial" w:cs="Arial"/>
          <w:sz w:val="22"/>
          <w:szCs w:val="18"/>
        </w:rPr>
        <w:t xml:space="preserve">¿En cuánto ha disminuido, </w:t>
      </w:r>
      <w:r w:rsidR="00AB6811">
        <w:rPr>
          <w:rFonts w:ascii="Arial" w:hAnsi="Arial" w:cs="Arial"/>
          <w:sz w:val="22"/>
          <w:szCs w:val="18"/>
        </w:rPr>
        <w:t>gracias al programa de políticas</w:t>
      </w:r>
      <w:r w:rsidRPr="00207463">
        <w:rPr>
          <w:rFonts w:ascii="Arial" w:hAnsi="Arial" w:cs="Arial"/>
          <w:sz w:val="22"/>
          <w:szCs w:val="18"/>
        </w:rPr>
        <w:t>, el tiempo</w:t>
      </w:r>
      <w:r w:rsidR="00630637">
        <w:rPr>
          <w:rFonts w:ascii="Arial" w:hAnsi="Arial" w:cs="Arial"/>
          <w:sz w:val="22"/>
          <w:szCs w:val="18"/>
        </w:rPr>
        <w:t xml:space="preserve"> </w:t>
      </w:r>
      <w:r w:rsidRPr="00207463">
        <w:rPr>
          <w:rFonts w:ascii="Arial" w:hAnsi="Arial" w:cs="Arial"/>
          <w:sz w:val="22"/>
          <w:szCs w:val="18"/>
        </w:rPr>
        <w:t>promedio asociado a la adquisición de insumos médicos?</w:t>
      </w:r>
    </w:p>
    <w:p w14:paraId="6CF34C1A" w14:textId="1B3397E7" w:rsidR="00A56B78" w:rsidRDefault="00A56B78" w:rsidP="005609ED">
      <w:pPr>
        <w:pStyle w:val="subpar"/>
        <w:tabs>
          <w:tab w:val="clear" w:pos="2304"/>
          <w:tab w:val="num" w:pos="720"/>
        </w:tabs>
        <w:spacing w:before="0"/>
        <w:ind w:left="1080" w:hanging="360"/>
        <w:rPr>
          <w:rFonts w:ascii="Arial" w:hAnsi="Arial" w:cs="Arial"/>
          <w:sz w:val="22"/>
          <w:szCs w:val="22"/>
        </w:rPr>
      </w:pPr>
      <w:r w:rsidRPr="00207463">
        <w:rPr>
          <w:rFonts w:ascii="Arial" w:hAnsi="Arial" w:cs="Arial"/>
          <w:sz w:val="22"/>
          <w:szCs w:val="18"/>
        </w:rPr>
        <w:t xml:space="preserve"> </w:t>
      </w:r>
      <w:r w:rsidR="0044173C" w:rsidRPr="00207463">
        <w:rPr>
          <w:rFonts w:ascii="Arial" w:hAnsi="Arial" w:cs="Arial"/>
          <w:sz w:val="22"/>
          <w:szCs w:val="18"/>
        </w:rPr>
        <w:t xml:space="preserve">¿En cuánto ha aumentado, </w:t>
      </w:r>
      <w:r w:rsidR="00200246">
        <w:rPr>
          <w:rFonts w:ascii="Arial" w:hAnsi="Arial" w:cs="Arial"/>
          <w:sz w:val="22"/>
          <w:szCs w:val="18"/>
        </w:rPr>
        <w:t>gracias al programa de políticas</w:t>
      </w:r>
      <w:r w:rsidR="0044173C" w:rsidRPr="00207463">
        <w:rPr>
          <w:rFonts w:ascii="Arial" w:hAnsi="Arial" w:cs="Arial"/>
          <w:sz w:val="22"/>
          <w:szCs w:val="18"/>
        </w:rPr>
        <w:t>, el número de hogares</w:t>
      </w:r>
      <w:r w:rsidR="005503AE">
        <w:rPr>
          <w:rFonts w:ascii="Arial" w:hAnsi="Arial" w:cs="Arial"/>
          <w:sz w:val="22"/>
          <w:szCs w:val="18"/>
        </w:rPr>
        <w:t xml:space="preserve"> </w:t>
      </w:r>
      <w:r w:rsidR="0044173C" w:rsidRPr="002425B9">
        <w:rPr>
          <w:rFonts w:ascii="Arial" w:hAnsi="Arial" w:cs="Arial"/>
          <w:sz w:val="22"/>
          <w:szCs w:val="22"/>
        </w:rPr>
        <w:t>beneficiari</w:t>
      </w:r>
      <w:r w:rsidR="003D5F6E">
        <w:rPr>
          <w:rFonts w:ascii="Arial" w:hAnsi="Arial" w:cs="Arial"/>
          <w:sz w:val="22"/>
          <w:szCs w:val="22"/>
        </w:rPr>
        <w:t>o</w:t>
      </w:r>
      <w:r w:rsidR="0044173C" w:rsidRPr="002425B9">
        <w:rPr>
          <w:rFonts w:ascii="Arial" w:hAnsi="Arial" w:cs="Arial"/>
          <w:sz w:val="22"/>
          <w:szCs w:val="22"/>
        </w:rPr>
        <w:t xml:space="preserve">s de </w:t>
      </w:r>
      <w:r w:rsidR="0044173C" w:rsidRPr="00537BF0">
        <w:rPr>
          <w:rFonts w:ascii="Arial" w:hAnsi="Arial" w:cs="Arial"/>
          <w:sz w:val="22"/>
          <w:szCs w:val="22"/>
        </w:rPr>
        <w:t xml:space="preserve">transferencias directas </w:t>
      </w:r>
      <w:r w:rsidR="00200246" w:rsidRPr="00537BF0">
        <w:rPr>
          <w:rFonts w:ascii="Arial" w:hAnsi="Arial" w:cs="Arial"/>
          <w:sz w:val="22"/>
          <w:szCs w:val="22"/>
        </w:rPr>
        <w:t>temporales</w:t>
      </w:r>
      <w:r w:rsidR="0044173C" w:rsidRPr="00537BF0">
        <w:rPr>
          <w:rFonts w:ascii="Arial" w:hAnsi="Arial" w:cs="Arial"/>
          <w:sz w:val="22"/>
          <w:szCs w:val="22"/>
        </w:rPr>
        <w:t xml:space="preserve"> relacionadas con la emergencia?</w:t>
      </w:r>
    </w:p>
    <w:p w14:paraId="25573F5A" w14:textId="671B3F6B" w:rsidR="003D5F6E" w:rsidRPr="00537BF0" w:rsidRDefault="00280662" w:rsidP="005609ED">
      <w:pPr>
        <w:pStyle w:val="subpar"/>
        <w:tabs>
          <w:tab w:val="clear" w:pos="2304"/>
          <w:tab w:val="num" w:pos="720"/>
        </w:tabs>
        <w:spacing w:before="0"/>
        <w:ind w:left="1080" w:hanging="360"/>
        <w:rPr>
          <w:rFonts w:ascii="Arial" w:hAnsi="Arial" w:cs="Arial"/>
          <w:sz w:val="22"/>
          <w:szCs w:val="22"/>
        </w:rPr>
      </w:pPr>
      <w:r w:rsidRPr="00207463">
        <w:rPr>
          <w:rFonts w:ascii="Arial" w:hAnsi="Arial" w:cs="Arial"/>
          <w:sz w:val="22"/>
          <w:szCs w:val="18"/>
        </w:rPr>
        <w:t xml:space="preserve">¿En cuánto ha aumentado, </w:t>
      </w:r>
      <w:r>
        <w:rPr>
          <w:rFonts w:ascii="Arial" w:hAnsi="Arial" w:cs="Arial"/>
          <w:sz w:val="22"/>
          <w:szCs w:val="18"/>
        </w:rPr>
        <w:t>gracias al programa de políticas</w:t>
      </w:r>
      <w:r w:rsidRPr="00207463">
        <w:rPr>
          <w:rFonts w:ascii="Arial" w:hAnsi="Arial" w:cs="Arial"/>
          <w:sz w:val="22"/>
          <w:szCs w:val="18"/>
        </w:rPr>
        <w:t xml:space="preserve">, el número de </w:t>
      </w:r>
      <w:r>
        <w:rPr>
          <w:rFonts w:ascii="Arial" w:hAnsi="Arial" w:cs="Arial"/>
          <w:sz w:val="22"/>
          <w:szCs w:val="18"/>
        </w:rPr>
        <w:t>trabajadores del estado</w:t>
      </w:r>
      <w:r w:rsidRPr="002425B9">
        <w:rPr>
          <w:rFonts w:ascii="Arial" w:hAnsi="Arial" w:cs="Arial"/>
          <w:sz w:val="22"/>
          <w:szCs w:val="22"/>
        </w:rPr>
        <w:t xml:space="preserve"> </w:t>
      </w:r>
      <w:r>
        <w:rPr>
          <w:rFonts w:ascii="Arial" w:hAnsi="Arial" w:cs="Arial"/>
          <w:sz w:val="22"/>
          <w:szCs w:val="22"/>
        </w:rPr>
        <w:t>beneficiados con bonos asistenciales</w:t>
      </w:r>
      <w:r w:rsidRPr="00537BF0">
        <w:rPr>
          <w:rFonts w:ascii="Arial" w:hAnsi="Arial" w:cs="Arial"/>
          <w:sz w:val="22"/>
          <w:szCs w:val="22"/>
        </w:rPr>
        <w:t xml:space="preserve"> relacionadas con la emergencia?</w:t>
      </w:r>
    </w:p>
    <w:p w14:paraId="66E7F599" w14:textId="2F66EA6E" w:rsidR="00630637" w:rsidRPr="00E926EA" w:rsidRDefault="00630637" w:rsidP="00537BF0">
      <w:pPr>
        <w:pStyle w:val="subpar"/>
        <w:tabs>
          <w:tab w:val="clear" w:pos="2304"/>
          <w:tab w:val="num" w:pos="720"/>
        </w:tabs>
        <w:spacing w:before="0"/>
        <w:ind w:left="1080" w:hanging="360"/>
        <w:rPr>
          <w:rFonts w:ascii="Arial" w:hAnsi="Arial" w:cs="Arial"/>
          <w:sz w:val="22"/>
          <w:szCs w:val="22"/>
        </w:rPr>
      </w:pPr>
      <w:r w:rsidRPr="00537BF0">
        <w:rPr>
          <w:rFonts w:ascii="Arial" w:hAnsi="Arial" w:cs="Arial"/>
          <w:sz w:val="22"/>
          <w:szCs w:val="22"/>
        </w:rPr>
        <w:t xml:space="preserve">¿En cuánto ha aumentado, </w:t>
      </w:r>
      <w:r w:rsidR="00200246" w:rsidRPr="00537BF0">
        <w:rPr>
          <w:rFonts w:ascii="Arial" w:hAnsi="Arial" w:cs="Arial"/>
          <w:sz w:val="22"/>
          <w:szCs w:val="18"/>
        </w:rPr>
        <w:t>gracias al programa de políticas</w:t>
      </w:r>
      <w:r w:rsidRPr="00537BF0">
        <w:rPr>
          <w:rFonts w:ascii="Arial" w:hAnsi="Arial" w:cs="Arial"/>
          <w:sz w:val="22"/>
          <w:szCs w:val="22"/>
        </w:rPr>
        <w:t>, el número de firmas</w:t>
      </w:r>
      <w:r w:rsidR="00280662">
        <w:rPr>
          <w:rFonts w:ascii="Arial" w:hAnsi="Arial" w:cs="Arial"/>
          <w:sz w:val="22"/>
          <w:szCs w:val="22"/>
        </w:rPr>
        <w:t xml:space="preserve"> que</w:t>
      </w:r>
      <w:r w:rsidRPr="00E926EA">
        <w:rPr>
          <w:rFonts w:ascii="Arial" w:hAnsi="Arial" w:cs="Arial"/>
          <w:sz w:val="22"/>
          <w:szCs w:val="22"/>
        </w:rPr>
        <w:t xml:space="preserve"> </w:t>
      </w:r>
      <w:r w:rsidR="00280662">
        <w:rPr>
          <w:rFonts w:ascii="Arial" w:hAnsi="Arial" w:cs="Arial"/>
          <w:sz w:val="22"/>
          <w:szCs w:val="22"/>
        </w:rPr>
        <w:t>han obtenido un</w:t>
      </w:r>
      <w:r w:rsidR="00C52821" w:rsidRPr="00E926EA">
        <w:rPr>
          <w:rFonts w:ascii="Arial" w:hAnsi="Arial" w:cs="Arial"/>
          <w:sz w:val="22"/>
          <w:szCs w:val="22"/>
        </w:rPr>
        <w:t xml:space="preserve"> beneficio tributario</w:t>
      </w:r>
      <w:r w:rsidRPr="00E926EA">
        <w:rPr>
          <w:rFonts w:ascii="Arial" w:hAnsi="Arial" w:cs="Arial"/>
          <w:sz w:val="22"/>
          <w:szCs w:val="22"/>
        </w:rPr>
        <w:t xml:space="preserve"> otorgad</w:t>
      </w:r>
      <w:r w:rsidR="00280662">
        <w:rPr>
          <w:rFonts w:ascii="Arial" w:hAnsi="Arial" w:cs="Arial"/>
          <w:sz w:val="22"/>
          <w:szCs w:val="22"/>
        </w:rPr>
        <w:t>o a raíz de la</w:t>
      </w:r>
      <w:r w:rsidRPr="00E926EA">
        <w:rPr>
          <w:rFonts w:ascii="Arial" w:hAnsi="Arial" w:cs="Arial"/>
          <w:sz w:val="22"/>
          <w:szCs w:val="22"/>
        </w:rPr>
        <w:t xml:space="preserve"> emergencia?</w:t>
      </w:r>
    </w:p>
    <w:p w14:paraId="462713AE" w14:textId="21C6EA67" w:rsidR="00331257" w:rsidRPr="00E926EA" w:rsidRDefault="00331257" w:rsidP="00280662">
      <w:pPr>
        <w:pStyle w:val="subpar"/>
        <w:tabs>
          <w:tab w:val="clear" w:pos="2304"/>
          <w:tab w:val="num" w:pos="720"/>
        </w:tabs>
        <w:spacing w:before="0"/>
        <w:ind w:left="1080" w:hanging="360"/>
        <w:rPr>
          <w:rFonts w:ascii="Arial" w:hAnsi="Arial" w:cs="Arial"/>
          <w:sz w:val="22"/>
          <w:szCs w:val="22"/>
        </w:rPr>
      </w:pPr>
      <w:r w:rsidRPr="00E926EA">
        <w:rPr>
          <w:rFonts w:ascii="Arial" w:hAnsi="Arial" w:cs="Arial"/>
          <w:sz w:val="22"/>
          <w:szCs w:val="22"/>
        </w:rPr>
        <w:t xml:space="preserve">¿En </w:t>
      </w:r>
      <w:r w:rsidR="00D50752" w:rsidRPr="00E926EA">
        <w:rPr>
          <w:rFonts w:ascii="Arial" w:hAnsi="Arial" w:cs="Arial"/>
          <w:sz w:val="22"/>
          <w:szCs w:val="22"/>
        </w:rPr>
        <w:t>qué</w:t>
      </w:r>
      <w:r w:rsidRPr="00E926EA">
        <w:rPr>
          <w:rFonts w:ascii="Arial" w:hAnsi="Arial" w:cs="Arial"/>
          <w:sz w:val="22"/>
          <w:szCs w:val="18"/>
        </w:rPr>
        <w:t xml:space="preserve"> medida se avanzó con </w:t>
      </w:r>
      <w:r w:rsidR="00280662">
        <w:rPr>
          <w:rFonts w:ascii="Arial" w:hAnsi="Arial" w:cs="Arial"/>
          <w:sz w:val="22"/>
          <w:szCs w:val="18"/>
        </w:rPr>
        <w:t>el diagnóstico para poder preparar</w:t>
      </w:r>
      <w:r w:rsidR="00280662">
        <w:rPr>
          <w:rFonts w:ascii="Arial" w:hAnsi="Arial" w:cs="Arial"/>
          <w:sz w:val="22"/>
          <w:szCs w:val="22"/>
        </w:rPr>
        <w:t xml:space="preserve"> un plan de fortalecimiento económico y fiscal en el periodo post</w:t>
      </w:r>
      <w:r w:rsidR="00EC62ED">
        <w:rPr>
          <w:rFonts w:ascii="Arial" w:hAnsi="Arial" w:cs="Arial"/>
          <w:sz w:val="22"/>
          <w:szCs w:val="22"/>
        </w:rPr>
        <w:t xml:space="preserve"> </w:t>
      </w:r>
      <w:r w:rsidR="00280662">
        <w:rPr>
          <w:rFonts w:ascii="Arial" w:hAnsi="Arial" w:cs="Arial"/>
          <w:sz w:val="22"/>
          <w:szCs w:val="22"/>
        </w:rPr>
        <w:t>pandemia?</w:t>
      </w:r>
      <w:r w:rsidRPr="00E926EA">
        <w:rPr>
          <w:rFonts w:ascii="Arial" w:hAnsi="Arial" w:cs="Arial"/>
          <w:sz w:val="22"/>
          <w:szCs w:val="22"/>
        </w:rPr>
        <w:t xml:space="preserve"> </w:t>
      </w:r>
    </w:p>
    <w:p w14:paraId="08D39A23" w14:textId="213FDFCB" w:rsidR="00651A97" w:rsidRPr="00651A97" w:rsidRDefault="00651A97" w:rsidP="005609ED">
      <w:pPr>
        <w:pStyle w:val="Paragraph"/>
        <w:tabs>
          <w:tab w:val="clear" w:pos="2448"/>
          <w:tab w:val="num" w:pos="720"/>
          <w:tab w:val="num" w:pos="1440"/>
        </w:tabs>
        <w:spacing w:before="0"/>
        <w:ind w:left="720" w:hanging="720"/>
        <w:rPr>
          <w:rFonts w:ascii="Arial" w:hAnsi="Arial" w:cs="Arial"/>
          <w:sz w:val="22"/>
          <w:szCs w:val="22"/>
        </w:rPr>
      </w:pPr>
      <w:bookmarkStart w:id="9" w:name="_Toc36022880"/>
      <w:r w:rsidRPr="00E926EA">
        <w:rPr>
          <w:rFonts w:ascii="Arial" w:hAnsi="Arial" w:cs="Arial"/>
          <w:sz w:val="22"/>
          <w:szCs w:val="22"/>
        </w:rPr>
        <w:t xml:space="preserve">El </w:t>
      </w:r>
      <w:r w:rsidRPr="00E926EA">
        <w:rPr>
          <w:rFonts w:ascii="Arial" w:hAnsi="Arial" w:cs="Arial"/>
          <w:b/>
          <w:bCs/>
          <w:sz w:val="22"/>
          <w:szCs w:val="22"/>
        </w:rPr>
        <w:t>análisis cualitativo</w:t>
      </w:r>
      <w:r w:rsidRPr="00E926EA">
        <w:rPr>
          <w:rFonts w:ascii="Arial" w:hAnsi="Arial" w:cs="Arial"/>
          <w:sz w:val="22"/>
          <w:szCs w:val="22"/>
        </w:rPr>
        <w:t xml:space="preserve"> busca cont</w:t>
      </w:r>
      <w:r w:rsidRPr="00651A97">
        <w:rPr>
          <w:rFonts w:ascii="Arial" w:hAnsi="Arial" w:cs="Arial"/>
          <w:sz w:val="22"/>
          <w:szCs w:val="22"/>
        </w:rPr>
        <w:t xml:space="preserve">estar preguntas como: </w:t>
      </w:r>
    </w:p>
    <w:p w14:paraId="6A04F413" w14:textId="3D880D42" w:rsidR="008D5BCB" w:rsidRDefault="00651A97" w:rsidP="005609ED">
      <w:pPr>
        <w:pStyle w:val="subpar"/>
        <w:tabs>
          <w:tab w:val="clear" w:pos="2304"/>
          <w:tab w:val="num" w:pos="720"/>
        </w:tabs>
        <w:spacing w:before="0"/>
        <w:ind w:left="1080" w:hanging="360"/>
        <w:rPr>
          <w:rFonts w:ascii="Arial" w:hAnsi="Arial" w:cs="Arial"/>
          <w:sz w:val="22"/>
          <w:szCs w:val="18"/>
        </w:rPr>
      </w:pPr>
      <w:r w:rsidRPr="00651A97">
        <w:rPr>
          <w:rFonts w:ascii="Arial" w:hAnsi="Arial" w:cs="Arial"/>
          <w:sz w:val="22"/>
          <w:szCs w:val="18"/>
        </w:rPr>
        <w:t>¿Cuáles fueron las principales debilidades y desafíos en la implementación de las</w:t>
      </w:r>
      <w:r w:rsidR="002B2E88">
        <w:rPr>
          <w:rFonts w:ascii="Arial" w:hAnsi="Arial" w:cs="Arial"/>
          <w:sz w:val="22"/>
          <w:szCs w:val="18"/>
        </w:rPr>
        <w:t xml:space="preserve"> medidas de política</w:t>
      </w:r>
      <w:r w:rsidRPr="00651A97">
        <w:rPr>
          <w:rFonts w:ascii="Arial" w:hAnsi="Arial" w:cs="Arial"/>
          <w:sz w:val="22"/>
          <w:szCs w:val="18"/>
        </w:rPr>
        <w:t xml:space="preserve">? </w:t>
      </w:r>
    </w:p>
    <w:p w14:paraId="7A02C4E3" w14:textId="6161AAE3" w:rsidR="008C4BD7" w:rsidRPr="00EF7B36" w:rsidRDefault="002B2E88" w:rsidP="00EF7B36">
      <w:pPr>
        <w:pStyle w:val="subpar"/>
        <w:tabs>
          <w:tab w:val="clear" w:pos="2304"/>
          <w:tab w:val="num" w:pos="720"/>
        </w:tabs>
        <w:spacing w:before="0"/>
        <w:ind w:left="1080" w:hanging="360"/>
        <w:rPr>
          <w:rFonts w:ascii="Arial" w:hAnsi="Arial" w:cs="Arial"/>
          <w:sz w:val="22"/>
          <w:szCs w:val="18"/>
        </w:rPr>
      </w:pPr>
      <w:r w:rsidRPr="00E3623F">
        <w:rPr>
          <w:rFonts w:ascii="Arial" w:hAnsi="Arial" w:cs="Arial"/>
          <w:sz w:val="22"/>
          <w:szCs w:val="18"/>
        </w:rPr>
        <w:t>¿</w:t>
      </w:r>
      <w:r w:rsidR="003A63BF" w:rsidRPr="00E3623F">
        <w:rPr>
          <w:rFonts w:ascii="Arial" w:hAnsi="Arial" w:cs="Arial"/>
          <w:sz w:val="22"/>
          <w:szCs w:val="18"/>
        </w:rPr>
        <w:t>Cuál es la percepción de los</w:t>
      </w:r>
      <w:r w:rsidR="00E3623F">
        <w:rPr>
          <w:rFonts w:ascii="Arial" w:hAnsi="Arial" w:cs="Arial"/>
          <w:sz w:val="22"/>
          <w:szCs w:val="18"/>
        </w:rPr>
        <w:t xml:space="preserve"> hacedores de política, ejecutores de programas y</w:t>
      </w:r>
      <w:r w:rsidR="003A63BF" w:rsidRPr="00E3623F">
        <w:rPr>
          <w:rFonts w:ascii="Arial" w:hAnsi="Arial" w:cs="Arial"/>
          <w:sz w:val="22"/>
          <w:szCs w:val="18"/>
        </w:rPr>
        <w:t xml:space="preserve"> beneficiarios sobre la efectividad </w:t>
      </w:r>
      <w:r w:rsidR="00E3623F">
        <w:rPr>
          <w:rFonts w:ascii="Arial" w:hAnsi="Arial" w:cs="Arial"/>
          <w:sz w:val="22"/>
          <w:szCs w:val="18"/>
        </w:rPr>
        <w:t>de las medidas de política</w:t>
      </w:r>
      <w:r w:rsidR="00651A97" w:rsidRPr="00E3623F">
        <w:rPr>
          <w:rFonts w:ascii="Arial" w:hAnsi="Arial" w:cs="Arial"/>
          <w:sz w:val="22"/>
          <w:szCs w:val="18"/>
        </w:rPr>
        <w:t>?</w:t>
      </w:r>
      <w:r w:rsidR="00651A97" w:rsidRPr="00651A97">
        <w:rPr>
          <w:rFonts w:ascii="Arial" w:hAnsi="Arial" w:cs="Arial"/>
          <w:sz w:val="22"/>
          <w:szCs w:val="18"/>
        </w:rPr>
        <w:t xml:space="preserve"> </w:t>
      </w:r>
    </w:p>
    <w:p w14:paraId="2A63CD0E" w14:textId="20DC3D01" w:rsidR="001B161E" w:rsidRPr="001B161E" w:rsidRDefault="001B161E" w:rsidP="005609ED">
      <w:pPr>
        <w:pStyle w:val="FirstHeading"/>
        <w:numPr>
          <w:ilvl w:val="0"/>
          <w:numId w:val="13"/>
        </w:numPr>
        <w:spacing w:before="0"/>
        <w:ind w:left="720"/>
        <w:rPr>
          <w:rFonts w:ascii="Arial" w:hAnsi="Arial" w:cs="Arial"/>
          <w:sz w:val="22"/>
          <w:szCs w:val="22"/>
        </w:rPr>
      </w:pPr>
      <w:bookmarkStart w:id="10" w:name="_Toc36166565"/>
      <w:r w:rsidRPr="001B161E">
        <w:rPr>
          <w:rFonts w:ascii="Arial" w:hAnsi="Arial" w:cs="Arial"/>
          <w:sz w:val="22"/>
          <w:szCs w:val="22"/>
        </w:rPr>
        <w:t>Principales indicadores de resultado</w:t>
      </w:r>
      <w:bookmarkEnd w:id="9"/>
      <w:bookmarkEnd w:id="10"/>
    </w:p>
    <w:p w14:paraId="787E6DE1" w14:textId="0EB29A90" w:rsidR="001B161E" w:rsidRPr="0038065E" w:rsidRDefault="001B161E" w:rsidP="0038065E">
      <w:pPr>
        <w:pStyle w:val="Paragraph"/>
        <w:tabs>
          <w:tab w:val="num" w:pos="1440"/>
          <w:tab w:val="num" w:pos="1746"/>
        </w:tabs>
        <w:ind w:left="720" w:hanging="720"/>
        <w:rPr>
          <w:rFonts w:ascii="Arial" w:hAnsi="Arial" w:cs="Arial"/>
          <w:sz w:val="22"/>
          <w:szCs w:val="22"/>
        </w:rPr>
        <w:sectPr w:rsidR="001B161E" w:rsidRPr="0038065E" w:rsidSect="005A0ED4">
          <w:pgSz w:w="12240" w:h="15840" w:code="1"/>
          <w:pgMar w:top="1440" w:right="1800" w:bottom="1440" w:left="1800" w:header="706" w:footer="706" w:gutter="0"/>
          <w:cols w:space="720"/>
          <w:formProt w:val="0"/>
          <w:docGrid w:linePitch="326"/>
        </w:sectPr>
      </w:pPr>
      <w:bookmarkStart w:id="11" w:name="_Toc305003948"/>
      <w:r w:rsidRPr="007625C5">
        <w:rPr>
          <w:rFonts w:ascii="Arial" w:hAnsi="Arial" w:cs="Arial"/>
          <w:sz w:val="22"/>
          <w:szCs w:val="22"/>
        </w:rPr>
        <w:t xml:space="preserve">Los indicadores de </w:t>
      </w:r>
      <w:r w:rsidR="00F45B75">
        <w:rPr>
          <w:rFonts w:ascii="Arial" w:hAnsi="Arial" w:cs="Arial"/>
          <w:sz w:val="22"/>
          <w:szCs w:val="22"/>
        </w:rPr>
        <w:t xml:space="preserve">impacto </w:t>
      </w:r>
      <w:r w:rsidR="00B70FE0">
        <w:rPr>
          <w:rFonts w:ascii="Arial" w:hAnsi="Arial" w:cs="Arial"/>
          <w:sz w:val="22"/>
          <w:szCs w:val="22"/>
        </w:rPr>
        <w:t xml:space="preserve">y de </w:t>
      </w:r>
      <w:r w:rsidRPr="007625C5">
        <w:rPr>
          <w:rFonts w:ascii="Arial" w:hAnsi="Arial" w:cs="Arial"/>
          <w:sz w:val="22"/>
          <w:szCs w:val="22"/>
        </w:rPr>
        <w:t xml:space="preserve">resultado que se medirán como parte de la evaluación del programa son los que se muestran en </w:t>
      </w:r>
      <w:r w:rsidR="00B70FE0">
        <w:rPr>
          <w:rFonts w:ascii="Arial" w:hAnsi="Arial" w:cs="Arial"/>
          <w:sz w:val="22"/>
          <w:szCs w:val="22"/>
        </w:rPr>
        <w:t>los</w:t>
      </w:r>
      <w:r w:rsidRPr="007625C5">
        <w:rPr>
          <w:rFonts w:ascii="Arial" w:hAnsi="Arial" w:cs="Arial"/>
          <w:sz w:val="22"/>
          <w:szCs w:val="22"/>
        </w:rPr>
        <w:t xml:space="preserve"> Cuadro</w:t>
      </w:r>
      <w:r w:rsidR="00B70FE0">
        <w:rPr>
          <w:rFonts w:ascii="Arial" w:hAnsi="Arial" w:cs="Arial"/>
          <w:sz w:val="22"/>
          <w:szCs w:val="22"/>
        </w:rPr>
        <w:t>s</w:t>
      </w:r>
      <w:r w:rsidRPr="007625C5">
        <w:rPr>
          <w:rFonts w:ascii="Arial" w:hAnsi="Arial" w:cs="Arial"/>
          <w:sz w:val="22"/>
          <w:szCs w:val="22"/>
        </w:rPr>
        <w:t xml:space="preserve"> </w:t>
      </w:r>
      <w:bookmarkEnd w:id="11"/>
      <w:r w:rsidR="007625C5">
        <w:rPr>
          <w:rFonts w:ascii="Arial" w:hAnsi="Arial" w:cs="Arial"/>
          <w:sz w:val="22"/>
          <w:szCs w:val="22"/>
        </w:rPr>
        <w:t>3</w:t>
      </w:r>
      <w:r w:rsidR="00B70FE0">
        <w:rPr>
          <w:rFonts w:ascii="Arial" w:hAnsi="Arial" w:cs="Arial"/>
          <w:sz w:val="22"/>
          <w:szCs w:val="22"/>
        </w:rPr>
        <w:t xml:space="preserve"> y 4, respectivamente</w:t>
      </w:r>
      <w:r w:rsidRPr="007625C5">
        <w:rPr>
          <w:rFonts w:ascii="Arial" w:hAnsi="Arial" w:cs="Arial"/>
          <w:sz w:val="22"/>
          <w:szCs w:val="22"/>
        </w:rPr>
        <w:t>.</w:t>
      </w:r>
      <w:r w:rsidR="0038065E">
        <w:rPr>
          <w:rFonts w:ascii="Arial" w:hAnsi="Arial" w:cs="Arial"/>
          <w:sz w:val="22"/>
          <w:szCs w:val="22"/>
        </w:rPr>
        <w:t xml:space="preserve"> Adicionalmente, el Anexo I describe la fórmula de medición de los indicadores de impacto.</w:t>
      </w:r>
    </w:p>
    <w:p w14:paraId="7C1E38CA" w14:textId="16C27EEB" w:rsidR="00B51002" w:rsidRDefault="00B51002" w:rsidP="008A049C">
      <w:pPr>
        <w:autoSpaceDE w:val="0"/>
        <w:autoSpaceDN w:val="0"/>
        <w:adjustRightInd w:val="0"/>
        <w:spacing w:before="120" w:after="120"/>
        <w:jc w:val="center"/>
        <w:rPr>
          <w:rFonts w:ascii="Arial" w:hAnsi="Arial" w:cs="Arial"/>
          <w:b/>
          <w:sz w:val="20"/>
        </w:rPr>
      </w:pPr>
      <w:r w:rsidRPr="002B4219">
        <w:rPr>
          <w:rFonts w:ascii="Arial" w:hAnsi="Arial" w:cs="Arial"/>
          <w:b/>
          <w:sz w:val="20"/>
        </w:rPr>
        <w:lastRenderedPageBreak/>
        <w:t xml:space="preserve">Cuadro </w:t>
      </w:r>
      <w:r>
        <w:rPr>
          <w:rFonts w:ascii="Arial" w:hAnsi="Arial" w:cs="Arial"/>
          <w:b/>
          <w:sz w:val="20"/>
        </w:rPr>
        <w:t>3</w:t>
      </w:r>
      <w:r w:rsidR="008A049C">
        <w:rPr>
          <w:rFonts w:ascii="Arial" w:hAnsi="Arial" w:cs="Arial"/>
          <w:b/>
          <w:sz w:val="20"/>
        </w:rPr>
        <w:t xml:space="preserve">. </w:t>
      </w:r>
      <w:r w:rsidRPr="002B4219">
        <w:rPr>
          <w:rFonts w:ascii="Arial" w:hAnsi="Arial" w:cs="Arial"/>
          <w:b/>
          <w:sz w:val="20"/>
        </w:rPr>
        <w:t xml:space="preserve">Indicadores de </w:t>
      </w:r>
      <w:r>
        <w:rPr>
          <w:rFonts w:ascii="Arial" w:hAnsi="Arial" w:cs="Arial"/>
          <w:b/>
          <w:sz w:val="20"/>
        </w:rPr>
        <w:t>impacto esperado</w:t>
      </w:r>
      <w:r w:rsidRPr="002B4219">
        <w:rPr>
          <w:rFonts w:ascii="Arial" w:hAnsi="Arial" w:cs="Arial"/>
          <w:b/>
          <w:sz w:val="20"/>
        </w:rPr>
        <w:t xml:space="preserve"> </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260"/>
        <w:gridCol w:w="990"/>
        <w:gridCol w:w="990"/>
        <w:gridCol w:w="900"/>
        <w:gridCol w:w="810"/>
        <w:gridCol w:w="2250"/>
        <w:gridCol w:w="3240"/>
      </w:tblGrid>
      <w:tr w:rsidR="00D9617F" w14:paraId="41113845" w14:textId="77777777" w:rsidTr="00D9617F">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3DED1" w14:textId="77777777" w:rsidR="00D9617F" w:rsidRPr="00885703" w:rsidRDefault="00D9617F" w:rsidP="000260E7">
            <w:pPr>
              <w:spacing w:before="20"/>
              <w:ind w:left="-120" w:right="-105"/>
              <w:jc w:val="center"/>
              <w:rPr>
                <w:rFonts w:ascii="Arial" w:hAnsi="Arial" w:cs="Arial"/>
                <w:b/>
                <w:sz w:val="20"/>
                <w:lang w:eastAsia="zh-CN"/>
              </w:rPr>
            </w:pPr>
            <w:bookmarkStart w:id="12" w:name="_Hlk38713213"/>
            <w:r w:rsidRPr="00885703">
              <w:rPr>
                <w:rFonts w:ascii="Arial" w:hAnsi="Arial" w:cs="Arial"/>
                <w:b/>
                <w:sz w:val="20"/>
                <w:lang w:eastAsia="zh-CN"/>
              </w:rPr>
              <w:t>Indicadores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7CE66"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Unidad de Medida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5C3B1"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 xml:space="preserve">Línea de Base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156B0"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Año Línea de Base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7724E"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 xml:space="preserve">Meta Final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90868"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Año</w:t>
            </w:r>
          </w:p>
          <w:p w14:paraId="3134512D"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Final</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B0B8E"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 xml:space="preserve">Medios de Verificación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7291F" w14:textId="77777777" w:rsidR="00D9617F" w:rsidRPr="00885703" w:rsidRDefault="00D9617F" w:rsidP="000260E7">
            <w:pPr>
              <w:spacing w:before="20"/>
              <w:ind w:left="-120" w:right="-105"/>
              <w:jc w:val="center"/>
              <w:rPr>
                <w:rFonts w:ascii="Arial" w:hAnsi="Arial" w:cs="Arial"/>
                <w:b/>
                <w:sz w:val="20"/>
                <w:lang w:eastAsia="zh-CN"/>
              </w:rPr>
            </w:pPr>
            <w:r w:rsidRPr="00885703">
              <w:rPr>
                <w:rFonts w:ascii="Arial" w:hAnsi="Arial" w:cs="Arial"/>
                <w:b/>
                <w:sz w:val="20"/>
                <w:lang w:eastAsia="zh-CN"/>
              </w:rPr>
              <w:t>Comentarios</w:t>
            </w:r>
          </w:p>
        </w:tc>
      </w:tr>
      <w:tr w:rsidR="00B076A1" w:rsidRPr="00B6452C" w14:paraId="48C9A62A" w14:textId="77777777" w:rsidTr="000A0597">
        <w:trPr>
          <w:trHeight w:val="20"/>
        </w:trPr>
        <w:tc>
          <w:tcPr>
            <w:tcW w:w="2875" w:type="dxa"/>
            <w:tcBorders>
              <w:top w:val="single" w:sz="4" w:space="0" w:color="auto"/>
              <w:left w:val="single" w:sz="4" w:space="0" w:color="auto"/>
              <w:bottom w:val="single" w:sz="4" w:space="0" w:color="auto"/>
              <w:right w:val="single" w:sz="4" w:space="0" w:color="auto"/>
            </w:tcBorders>
          </w:tcPr>
          <w:p w14:paraId="4CA876C6" w14:textId="07E136DB" w:rsidR="00B076A1" w:rsidRPr="00885703" w:rsidRDefault="00B076A1" w:rsidP="00B076A1">
            <w:pPr>
              <w:pStyle w:val="ListParagraph"/>
              <w:spacing w:before="40" w:after="40"/>
              <w:ind w:left="0"/>
              <w:rPr>
                <w:rFonts w:ascii="Arial" w:hAnsi="Arial" w:cs="Arial"/>
                <w:sz w:val="20"/>
                <w:lang w:eastAsia="zh-CN"/>
              </w:rPr>
            </w:pPr>
            <w:bookmarkStart w:id="13" w:name="_Hlk38897354"/>
            <w:r w:rsidRPr="00282CC9">
              <w:rPr>
                <w:rFonts w:ascii="Arial" w:hAnsi="Arial" w:cs="Arial"/>
                <w:sz w:val="20"/>
                <w:lang w:val="es-419" w:eastAsia="zh-CN"/>
              </w:rPr>
              <w:t>Semanas en las cuales la demanda por camas en las Unidades de Cuidados Intensivos (UCI) por COVID-19 no excede la capacidad UCI del sistema de salud</w:t>
            </w:r>
            <w:r>
              <w:rPr>
                <w:rFonts w:ascii="Arial" w:hAnsi="Arial" w:cs="Arial"/>
                <w:sz w:val="20"/>
                <w:lang w:val="es-419" w:eastAsia="zh-CN"/>
              </w:rPr>
              <w:t>.</w:t>
            </w:r>
            <w:r w:rsidRPr="00282CC9">
              <w:rPr>
                <w:rFonts w:ascii="Arial" w:hAnsi="Arial" w:cs="Arial"/>
                <w:sz w:val="20"/>
                <w:lang w:val="es-419" w:eastAsia="zh-CN"/>
              </w:rPr>
              <w:t xml:space="preserve"> </w:t>
            </w:r>
          </w:p>
        </w:tc>
        <w:tc>
          <w:tcPr>
            <w:tcW w:w="1260" w:type="dxa"/>
            <w:tcBorders>
              <w:top w:val="single" w:sz="4" w:space="0" w:color="auto"/>
              <w:left w:val="single" w:sz="4" w:space="0" w:color="auto"/>
              <w:bottom w:val="single" w:sz="4" w:space="0" w:color="auto"/>
              <w:right w:val="single" w:sz="4" w:space="0" w:color="auto"/>
            </w:tcBorders>
          </w:tcPr>
          <w:p w14:paraId="75E15D3F" w14:textId="79B970F1" w:rsidR="00B076A1" w:rsidRPr="00885703" w:rsidRDefault="00B076A1" w:rsidP="00B076A1">
            <w:pPr>
              <w:spacing w:before="40" w:after="40"/>
              <w:jc w:val="center"/>
              <w:rPr>
                <w:rFonts w:ascii="Arial" w:hAnsi="Arial" w:cs="Arial"/>
                <w:sz w:val="20"/>
                <w:lang w:val="es-MX" w:eastAsia="zh-CN"/>
              </w:rPr>
            </w:pPr>
            <w:r w:rsidRPr="00282CC9">
              <w:rPr>
                <w:rFonts w:ascii="Arial" w:hAnsi="Arial" w:cs="Arial"/>
                <w:sz w:val="20"/>
                <w:lang w:val="es-MX" w:eastAsia="zh-CN"/>
              </w:rPr>
              <w:t>%</w:t>
            </w:r>
          </w:p>
        </w:tc>
        <w:tc>
          <w:tcPr>
            <w:tcW w:w="990" w:type="dxa"/>
            <w:tcBorders>
              <w:top w:val="single" w:sz="4" w:space="0" w:color="auto"/>
              <w:left w:val="single" w:sz="4" w:space="0" w:color="auto"/>
              <w:bottom w:val="single" w:sz="4" w:space="0" w:color="auto"/>
              <w:right w:val="single" w:sz="4" w:space="0" w:color="auto"/>
            </w:tcBorders>
          </w:tcPr>
          <w:p w14:paraId="4D6D9B54" w14:textId="77777777" w:rsidR="00B076A1" w:rsidRDefault="00B076A1" w:rsidP="00B076A1">
            <w:pPr>
              <w:spacing w:before="40" w:after="40"/>
              <w:jc w:val="center"/>
              <w:rPr>
                <w:rFonts w:ascii="Arial" w:hAnsi="Arial" w:cs="Arial"/>
                <w:sz w:val="20"/>
                <w:lang w:val="es-CR" w:eastAsia="zh-CN"/>
              </w:rPr>
            </w:pPr>
            <w:r w:rsidRPr="00282CC9">
              <w:rPr>
                <w:rFonts w:ascii="Arial" w:hAnsi="Arial" w:cs="Arial"/>
                <w:sz w:val="20"/>
                <w:lang w:val="es-CR" w:eastAsia="zh-CN"/>
              </w:rPr>
              <w:t xml:space="preserve">100 </w:t>
            </w:r>
          </w:p>
          <w:p w14:paraId="61C3397D" w14:textId="00ECD11E" w:rsidR="00B076A1" w:rsidRPr="00885703" w:rsidRDefault="00B076A1" w:rsidP="00B076A1">
            <w:pPr>
              <w:spacing w:before="40" w:after="40"/>
              <w:jc w:val="center"/>
              <w:rPr>
                <w:rFonts w:ascii="Arial" w:hAnsi="Arial" w:cs="Arial"/>
                <w:sz w:val="20"/>
                <w:lang w:eastAsia="zh-CN"/>
              </w:rPr>
            </w:pPr>
            <w:r w:rsidRPr="00282CC9">
              <w:rPr>
                <w:rFonts w:ascii="Arial" w:hAnsi="Arial" w:cs="Arial"/>
                <w:sz w:val="20"/>
                <w:lang w:val="es-CR" w:eastAsia="zh-CN"/>
              </w:rPr>
              <w:t>(18 semanas)</w:t>
            </w:r>
          </w:p>
        </w:tc>
        <w:tc>
          <w:tcPr>
            <w:tcW w:w="990" w:type="dxa"/>
            <w:tcBorders>
              <w:top w:val="single" w:sz="4" w:space="0" w:color="auto"/>
              <w:left w:val="single" w:sz="4" w:space="0" w:color="auto"/>
              <w:bottom w:val="single" w:sz="4" w:space="0" w:color="auto"/>
              <w:right w:val="single" w:sz="4" w:space="0" w:color="auto"/>
            </w:tcBorders>
          </w:tcPr>
          <w:p w14:paraId="7C120268" w14:textId="77777777" w:rsidR="00B076A1" w:rsidRDefault="00B076A1" w:rsidP="00B076A1">
            <w:pPr>
              <w:spacing w:before="40" w:after="40"/>
              <w:jc w:val="center"/>
              <w:rPr>
                <w:rFonts w:ascii="Arial" w:hAnsi="Arial" w:cs="Arial"/>
                <w:sz w:val="20"/>
                <w:lang w:eastAsia="zh-CN"/>
              </w:rPr>
            </w:pPr>
            <w:r w:rsidRPr="00E2265B">
              <w:rPr>
                <w:rFonts w:ascii="Arial" w:hAnsi="Arial" w:cs="Arial"/>
                <w:sz w:val="20"/>
                <w:lang w:eastAsia="zh-CN"/>
              </w:rPr>
              <w:t>2020</w:t>
            </w:r>
          </w:p>
          <w:p w14:paraId="19815724" w14:textId="59F35BEF" w:rsidR="00B076A1" w:rsidRPr="00885703" w:rsidRDefault="00B076A1" w:rsidP="00B076A1">
            <w:pPr>
              <w:spacing w:before="40" w:after="40"/>
              <w:jc w:val="center"/>
              <w:rPr>
                <w:rFonts w:ascii="Arial" w:hAnsi="Arial" w:cs="Arial"/>
                <w:sz w:val="20"/>
                <w:lang w:eastAsia="zh-CN"/>
              </w:rPr>
            </w:pPr>
            <w:r w:rsidRPr="00E2265B">
              <w:rPr>
                <w:rFonts w:ascii="Arial" w:hAnsi="Arial" w:cs="Arial"/>
                <w:sz w:val="20"/>
                <w:lang w:eastAsia="zh-CN"/>
              </w:rPr>
              <w:t>(29 de abril)</w:t>
            </w:r>
          </w:p>
        </w:tc>
        <w:tc>
          <w:tcPr>
            <w:tcW w:w="900" w:type="dxa"/>
            <w:tcBorders>
              <w:top w:val="single" w:sz="4" w:space="0" w:color="auto"/>
              <w:left w:val="single" w:sz="4" w:space="0" w:color="auto"/>
              <w:bottom w:val="single" w:sz="4" w:space="0" w:color="auto"/>
              <w:right w:val="single" w:sz="4" w:space="0" w:color="auto"/>
            </w:tcBorders>
          </w:tcPr>
          <w:p w14:paraId="65D2AF19" w14:textId="77777777" w:rsidR="00B076A1" w:rsidRDefault="00B076A1" w:rsidP="00B076A1">
            <w:pPr>
              <w:spacing w:before="40" w:after="40"/>
              <w:jc w:val="center"/>
              <w:rPr>
                <w:rFonts w:ascii="Arial" w:hAnsi="Arial" w:cs="Arial"/>
                <w:sz w:val="20"/>
                <w:lang w:val="es-CR" w:eastAsia="zh-CN"/>
              </w:rPr>
            </w:pPr>
            <w:r w:rsidRPr="00282CC9">
              <w:rPr>
                <w:rFonts w:ascii="Arial" w:hAnsi="Arial" w:cs="Arial"/>
                <w:sz w:val="20"/>
                <w:lang w:val="es-CR" w:eastAsia="zh-CN"/>
              </w:rPr>
              <w:t xml:space="preserve">100 </w:t>
            </w:r>
          </w:p>
          <w:p w14:paraId="11F8B4AE" w14:textId="5E9442B3" w:rsidR="00B076A1" w:rsidRPr="00885703" w:rsidRDefault="00B076A1" w:rsidP="00B076A1">
            <w:pPr>
              <w:spacing w:before="40" w:after="40"/>
              <w:jc w:val="center"/>
              <w:rPr>
                <w:rFonts w:ascii="Arial" w:hAnsi="Arial" w:cs="Arial"/>
                <w:sz w:val="20"/>
                <w:lang w:eastAsia="zh-CN"/>
              </w:rPr>
            </w:pPr>
            <w:r w:rsidRPr="00282CC9">
              <w:rPr>
                <w:rFonts w:ascii="Arial" w:hAnsi="Arial" w:cs="Arial"/>
                <w:sz w:val="20"/>
                <w:lang w:val="es-CR" w:eastAsia="zh-CN"/>
              </w:rPr>
              <w:t>(34 semanas</w:t>
            </w:r>
            <w:r w:rsidRPr="00E2265B">
              <w:rPr>
                <w:rFonts w:ascii="Arial" w:hAnsi="Arial" w:cs="Arial"/>
                <w:sz w:val="20"/>
                <w:lang w:val="es-CR" w:eastAsia="zh-CN"/>
              </w:rPr>
              <w:t>)</w:t>
            </w:r>
          </w:p>
        </w:tc>
        <w:tc>
          <w:tcPr>
            <w:tcW w:w="810" w:type="dxa"/>
            <w:tcBorders>
              <w:top w:val="single" w:sz="4" w:space="0" w:color="auto"/>
              <w:left w:val="single" w:sz="4" w:space="0" w:color="auto"/>
              <w:bottom w:val="single" w:sz="4" w:space="0" w:color="auto"/>
              <w:right w:val="single" w:sz="4" w:space="0" w:color="auto"/>
            </w:tcBorders>
          </w:tcPr>
          <w:p w14:paraId="514A03EE" w14:textId="77777777" w:rsidR="00B076A1" w:rsidRDefault="00B076A1" w:rsidP="00B076A1">
            <w:pPr>
              <w:spacing w:before="40" w:after="40"/>
              <w:jc w:val="center"/>
              <w:rPr>
                <w:rFonts w:ascii="Arial" w:hAnsi="Arial" w:cs="Arial"/>
                <w:sz w:val="20"/>
                <w:lang w:val="es-CR" w:eastAsia="zh-CN"/>
              </w:rPr>
            </w:pPr>
            <w:r w:rsidRPr="00DB1B75">
              <w:rPr>
                <w:rFonts w:ascii="Arial" w:hAnsi="Arial" w:cs="Arial"/>
                <w:sz w:val="20"/>
                <w:lang w:val="es-CR" w:eastAsia="zh-CN"/>
              </w:rPr>
              <w:t xml:space="preserve">2020 </w:t>
            </w:r>
          </w:p>
          <w:p w14:paraId="0D383E52" w14:textId="1F85B4EE" w:rsidR="00B076A1" w:rsidRPr="00885703" w:rsidRDefault="00B076A1" w:rsidP="00B076A1">
            <w:pPr>
              <w:spacing w:before="40" w:after="40"/>
              <w:jc w:val="center"/>
              <w:rPr>
                <w:rFonts w:ascii="Arial" w:hAnsi="Arial" w:cs="Arial"/>
                <w:sz w:val="20"/>
                <w:lang w:eastAsia="zh-CN"/>
              </w:rPr>
            </w:pPr>
            <w:r w:rsidRPr="00E2265B">
              <w:rPr>
                <w:rFonts w:ascii="Arial" w:hAnsi="Arial" w:cs="Arial"/>
                <w:sz w:val="20"/>
                <w:lang w:val="es-CR" w:eastAsia="zh-CN"/>
              </w:rPr>
              <w:t>(30 de diciembre)</w:t>
            </w:r>
          </w:p>
        </w:tc>
        <w:tc>
          <w:tcPr>
            <w:tcW w:w="2250" w:type="dxa"/>
            <w:tcBorders>
              <w:top w:val="single" w:sz="4" w:space="0" w:color="auto"/>
              <w:left w:val="single" w:sz="4" w:space="0" w:color="auto"/>
              <w:bottom w:val="single" w:sz="4" w:space="0" w:color="auto"/>
              <w:right w:val="single" w:sz="4" w:space="0" w:color="auto"/>
            </w:tcBorders>
          </w:tcPr>
          <w:p w14:paraId="41BB91BA" w14:textId="6AE7CBEF" w:rsidR="00B076A1" w:rsidRPr="00885703" w:rsidRDefault="00B076A1" w:rsidP="00B076A1">
            <w:pPr>
              <w:spacing w:before="40" w:after="40"/>
              <w:rPr>
                <w:rFonts w:ascii="Arial" w:hAnsi="Arial" w:cs="Arial"/>
                <w:sz w:val="20"/>
                <w:lang w:val="es-MX" w:eastAsia="zh-CN"/>
              </w:rPr>
            </w:pPr>
            <w:r w:rsidRPr="00DB1B75">
              <w:rPr>
                <w:rFonts w:ascii="Arial" w:hAnsi="Arial" w:cs="Arial"/>
                <w:sz w:val="20"/>
                <w:lang w:val="es-MX" w:eastAsia="zh-CN"/>
              </w:rPr>
              <w:t>Boletines del Observatorio COVID-19 de El Salvador</w:t>
            </w:r>
            <w:r w:rsidRPr="00E2265B">
              <w:rPr>
                <w:rStyle w:val="FootnoteReference"/>
                <w:rFonts w:ascii="Arial" w:hAnsi="Arial" w:cs="Arial"/>
                <w:sz w:val="20"/>
                <w:lang w:val="es-MX" w:eastAsia="zh-CN"/>
              </w:rPr>
              <w:footnoteReference w:id="3"/>
            </w:r>
            <w:r>
              <w:rPr>
                <w:rFonts w:ascii="Arial" w:hAnsi="Arial" w:cs="Arial"/>
                <w:sz w:val="20"/>
                <w:lang w:val="es-MX" w:eastAsia="zh-CN"/>
              </w:rPr>
              <w:t>.</w:t>
            </w:r>
          </w:p>
        </w:tc>
        <w:tc>
          <w:tcPr>
            <w:tcW w:w="3240" w:type="dxa"/>
            <w:tcBorders>
              <w:top w:val="single" w:sz="4" w:space="0" w:color="auto"/>
              <w:left w:val="single" w:sz="4" w:space="0" w:color="auto"/>
              <w:bottom w:val="single" w:sz="4" w:space="0" w:color="auto"/>
              <w:right w:val="single" w:sz="4" w:space="0" w:color="auto"/>
            </w:tcBorders>
          </w:tcPr>
          <w:p w14:paraId="7E126908" w14:textId="77777777" w:rsidR="00B076A1" w:rsidRDefault="00B076A1" w:rsidP="00B076A1">
            <w:pPr>
              <w:spacing w:before="40" w:after="40"/>
              <w:jc w:val="both"/>
              <w:rPr>
                <w:rFonts w:ascii="Arial" w:hAnsi="Arial" w:cs="Arial"/>
                <w:sz w:val="20"/>
                <w:lang w:val="es-MX" w:eastAsia="zh-CN"/>
              </w:rPr>
            </w:pPr>
            <w:r w:rsidRPr="003D44D3">
              <w:rPr>
                <w:rFonts w:ascii="Arial" w:hAnsi="Arial" w:cs="Arial"/>
                <w:sz w:val="20"/>
                <w:lang w:val="es-MX" w:eastAsia="zh-CN"/>
              </w:rPr>
              <w:t xml:space="preserve">Número de semanas en que se cumple la condición / número de semanas </w:t>
            </w:r>
            <w:r w:rsidRPr="00282CC9">
              <w:rPr>
                <w:rFonts w:ascii="Arial" w:hAnsi="Arial" w:cs="Arial"/>
                <w:sz w:val="20"/>
                <w:lang w:eastAsia="zh-CN"/>
              </w:rPr>
              <w:t>totales</w:t>
            </w:r>
            <w:r>
              <w:rPr>
                <w:rFonts w:ascii="Arial" w:hAnsi="Arial" w:cs="Arial"/>
                <w:sz w:val="20"/>
                <w:lang w:val="es-MX" w:eastAsia="zh-CN"/>
              </w:rPr>
              <w:t>.</w:t>
            </w:r>
          </w:p>
          <w:p w14:paraId="53D2606A" w14:textId="23544B5F" w:rsidR="00B076A1" w:rsidRPr="00885703" w:rsidRDefault="00B076A1" w:rsidP="00B076A1">
            <w:pPr>
              <w:spacing w:before="40" w:after="40"/>
              <w:rPr>
                <w:rFonts w:ascii="Arial" w:hAnsi="Arial" w:cs="Arial"/>
                <w:sz w:val="20"/>
                <w:lang w:eastAsia="zh-CN"/>
              </w:rPr>
            </w:pPr>
            <w:r w:rsidRPr="00282CC9">
              <w:rPr>
                <w:rFonts w:ascii="Arial" w:hAnsi="Arial" w:cs="Arial"/>
                <w:sz w:val="20"/>
                <w:lang w:eastAsia="zh-CN"/>
              </w:rPr>
              <w:t>El impacto esperado es que en ningún momento de 2020 se exceda la capacidad del sistema de salud de proveer camas en UCI a pacientes COVID-19 que las requieran. La demanda de camas UCI por pacientes COVID</w:t>
            </w:r>
            <w:r>
              <w:rPr>
                <w:rFonts w:ascii="Arial" w:hAnsi="Arial" w:cs="Arial"/>
                <w:sz w:val="20"/>
                <w:lang w:eastAsia="zh-CN"/>
              </w:rPr>
              <w:noBreakHyphen/>
            </w:r>
            <w:r w:rsidRPr="00282CC9">
              <w:rPr>
                <w:rFonts w:ascii="Arial" w:hAnsi="Arial" w:cs="Arial"/>
                <w:sz w:val="20"/>
                <w:lang w:eastAsia="zh-CN"/>
              </w:rPr>
              <w:t xml:space="preserve">19 será la suma de pacientes en estado crítico y estado grave </w:t>
            </w:r>
            <w:r w:rsidRPr="00290843">
              <w:rPr>
                <w:rFonts w:ascii="Arial" w:hAnsi="Arial" w:cs="Arial"/>
                <w:sz w:val="20"/>
                <w:lang w:eastAsia="zh-CN"/>
              </w:rPr>
              <w:t>de acuerdo con</w:t>
            </w:r>
            <w:r w:rsidRPr="00282CC9">
              <w:rPr>
                <w:rFonts w:ascii="Arial" w:hAnsi="Arial" w:cs="Arial"/>
                <w:sz w:val="20"/>
                <w:lang w:eastAsia="zh-CN"/>
              </w:rPr>
              <w:t xml:space="preserve"> lo reportado en los boletines del observatorio. Al 29 de abril son 9</w:t>
            </w:r>
            <w:r>
              <w:rPr>
                <w:rFonts w:ascii="Arial" w:hAnsi="Arial" w:cs="Arial"/>
                <w:sz w:val="20"/>
                <w:lang w:eastAsia="zh-CN"/>
              </w:rPr>
              <w:t> </w:t>
            </w:r>
            <w:r w:rsidRPr="00282CC9">
              <w:rPr>
                <w:rFonts w:ascii="Arial" w:hAnsi="Arial" w:cs="Arial"/>
                <w:sz w:val="20"/>
                <w:lang w:eastAsia="zh-CN"/>
              </w:rPr>
              <w:t xml:space="preserve">los pacientes en este estado y hay una </w:t>
            </w:r>
            <w:r w:rsidRPr="00282CC9">
              <w:rPr>
                <w:rFonts w:ascii="Arial" w:hAnsi="Arial" w:cs="Arial"/>
                <w:sz w:val="20"/>
                <w:lang w:val="es-MX" w:eastAsia="zh-CN"/>
              </w:rPr>
              <w:t>capacidad</w:t>
            </w:r>
            <w:r w:rsidRPr="00282CC9">
              <w:rPr>
                <w:rFonts w:ascii="Arial" w:hAnsi="Arial" w:cs="Arial"/>
                <w:sz w:val="20"/>
                <w:lang w:eastAsia="zh-CN"/>
              </w:rPr>
              <w:t xml:space="preserve"> de 238 camas UCI, la cual se está expandiendo gracias al programa de políticas.</w:t>
            </w:r>
          </w:p>
        </w:tc>
      </w:tr>
      <w:bookmarkEnd w:id="13"/>
      <w:tr w:rsidR="00546DB0" w:rsidRPr="00B6452C" w14:paraId="2AA7F809" w14:textId="77777777" w:rsidTr="000260E7">
        <w:trPr>
          <w:trHeight w:val="20"/>
        </w:trPr>
        <w:tc>
          <w:tcPr>
            <w:tcW w:w="2875" w:type="dxa"/>
            <w:tcBorders>
              <w:top w:val="single" w:sz="4" w:space="0" w:color="auto"/>
              <w:left w:val="single" w:sz="4" w:space="0" w:color="auto"/>
              <w:bottom w:val="single" w:sz="4" w:space="0" w:color="auto"/>
              <w:right w:val="single" w:sz="4" w:space="0" w:color="auto"/>
            </w:tcBorders>
          </w:tcPr>
          <w:p w14:paraId="7AF8630F" w14:textId="232F0BDC" w:rsidR="00546DB0" w:rsidRPr="00885703" w:rsidRDefault="00546DB0" w:rsidP="00546DB0">
            <w:pPr>
              <w:pStyle w:val="ListParagraph"/>
              <w:spacing w:before="40" w:after="40"/>
              <w:ind w:left="0"/>
              <w:rPr>
                <w:rFonts w:ascii="Arial" w:hAnsi="Arial" w:cs="Arial"/>
                <w:sz w:val="20"/>
                <w:lang w:eastAsia="zh-CN"/>
              </w:rPr>
            </w:pPr>
            <w:r w:rsidRPr="00047A5B">
              <w:rPr>
                <w:rFonts w:ascii="Arial" w:hAnsi="Arial" w:cs="Arial"/>
                <w:sz w:val="20"/>
                <w:lang w:eastAsia="zh-CN"/>
              </w:rPr>
              <w:t>Balance primario del gobierno</w:t>
            </w:r>
            <w:r>
              <w:rPr>
                <w:rFonts w:ascii="Arial" w:hAnsi="Arial" w:cs="Arial"/>
                <w:sz w:val="20"/>
                <w:lang w:eastAsia="zh-CN"/>
              </w:rPr>
              <w:t>.</w:t>
            </w:r>
          </w:p>
        </w:tc>
        <w:tc>
          <w:tcPr>
            <w:tcW w:w="1260" w:type="dxa"/>
            <w:tcBorders>
              <w:top w:val="single" w:sz="4" w:space="0" w:color="auto"/>
              <w:left w:val="single" w:sz="4" w:space="0" w:color="auto"/>
              <w:bottom w:val="single" w:sz="4" w:space="0" w:color="auto"/>
              <w:right w:val="single" w:sz="4" w:space="0" w:color="auto"/>
            </w:tcBorders>
          </w:tcPr>
          <w:p w14:paraId="25FD336E" w14:textId="56FAC4FC" w:rsidR="00546DB0" w:rsidRPr="00885703" w:rsidRDefault="00546DB0" w:rsidP="00546DB0">
            <w:pPr>
              <w:spacing w:before="40" w:after="40"/>
              <w:jc w:val="center"/>
              <w:rPr>
                <w:rFonts w:ascii="Arial" w:hAnsi="Arial" w:cs="Arial"/>
                <w:sz w:val="20"/>
                <w:lang w:val="es-CR" w:eastAsia="zh-CN"/>
              </w:rPr>
            </w:pPr>
            <w:r w:rsidRPr="00047A5B">
              <w:rPr>
                <w:rFonts w:ascii="Arial" w:hAnsi="Arial" w:cs="Arial"/>
                <w:sz w:val="20"/>
                <w:lang w:val="es-CR" w:eastAsia="zh-CN"/>
              </w:rPr>
              <w:t>%</w:t>
            </w:r>
          </w:p>
        </w:tc>
        <w:tc>
          <w:tcPr>
            <w:tcW w:w="990" w:type="dxa"/>
            <w:tcBorders>
              <w:top w:val="single" w:sz="4" w:space="0" w:color="auto"/>
              <w:left w:val="single" w:sz="4" w:space="0" w:color="auto"/>
              <w:bottom w:val="single" w:sz="4" w:space="0" w:color="auto"/>
              <w:right w:val="single" w:sz="4" w:space="0" w:color="auto"/>
            </w:tcBorders>
          </w:tcPr>
          <w:p w14:paraId="7DAADBE6" w14:textId="2D5B46FC" w:rsidR="00546DB0" w:rsidRPr="00885703" w:rsidRDefault="00546DB0" w:rsidP="00546DB0">
            <w:pPr>
              <w:spacing w:before="40" w:after="40"/>
              <w:jc w:val="center"/>
              <w:rPr>
                <w:rFonts w:ascii="Arial" w:hAnsi="Arial" w:cs="Arial"/>
                <w:sz w:val="20"/>
                <w:lang w:eastAsia="zh-CN"/>
              </w:rPr>
            </w:pPr>
            <w:r>
              <w:rPr>
                <w:rFonts w:ascii="Arial" w:hAnsi="Arial" w:cs="Arial"/>
                <w:sz w:val="20"/>
                <w:lang w:eastAsia="zh-CN"/>
              </w:rPr>
              <w:t>-4,5</w:t>
            </w:r>
            <w:r w:rsidRPr="00047A5B">
              <w:rPr>
                <w:rFonts w:ascii="Arial" w:hAnsi="Arial" w:cs="Arial"/>
                <w:sz w:val="20"/>
                <w:lang w:eastAsia="zh-CN"/>
              </w:rPr>
              <w:t>%</w:t>
            </w:r>
          </w:p>
        </w:tc>
        <w:tc>
          <w:tcPr>
            <w:tcW w:w="990" w:type="dxa"/>
            <w:tcBorders>
              <w:top w:val="single" w:sz="4" w:space="0" w:color="auto"/>
              <w:left w:val="single" w:sz="4" w:space="0" w:color="auto"/>
              <w:bottom w:val="single" w:sz="4" w:space="0" w:color="auto"/>
              <w:right w:val="single" w:sz="4" w:space="0" w:color="auto"/>
            </w:tcBorders>
          </w:tcPr>
          <w:p w14:paraId="1EC2F7B3" w14:textId="398C21FB" w:rsidR="00546DB0" w:rsidRPr="00885703" w:rsidRDefault="00546DB0" w:rsidP="00546DB0">
            <w:pPr>
              <w:spacing w:before="40" w:after="40"/>
              <w:jc w:val="center"/>
              <w:rPr>
                <w:rFonts w:ascii="Arial" w:hAnsi="Arial" w:cs="Arial"/>
                <w:sz w:val="20"/>
                <w:lang w:eastAsia="zh-CN"/>
              </w:rPr>
            </w:pPr>
            <w:r w:rsidRPr="00047A5B">
              <w:rPr>
                <w:rFonts w:ascii="Arial" w:hAnsi="Arial" w:cs="Arial"/>
                <w:sz w:val="20"/>
                <w:lang w:eastAsia="zh-CN"/>
              </w:rPr>
              <w:t>20</w:t>
            </w:r>
            <w:r>
              <w:rPr>
                <w:rFonts w:ascii="Arial" w:hAnsi="Arial" w:cs="Arial"/>
                <w:sz w:val="20"/>
                <w:lang w:eastAsia="zh-CN"/>
              </w:rPr>
              <w:t>20</w:t>
            </w:r>
          </w:p>
        </w:tc>
        <w:tc>
          <w:tcPr>
            <w:tcW w:w="900" w:type="dxa"/>
            <w:tcBorders>
              <w:top w:val="single" w:sz="4" w:space="0" w:color="auto"/>
              <w:left w:val="single" w:sz="4" w:space="0" w:color="auto"/>
              <w:bottom w:val="single" w:sz="4" w:space="0" w:color="auto"/>
              <w:right w:val="single" w:sz="4" w:space="0" w:color="auto"/>
            </w:tcBorders>
          </w:tcPr>
          <w:p w14:paraId="38A54C4B" w14:textId="3D2213D5" w:rsidR="00546DB0" w:rsidRPr="00885703" w:rsidRDefault="00546DB0" w:rsidP="00546DB0">
            <w:pPr>
              <w:spacing w:before="40" w:after="40"/>
              <w:jc w:val="center"/>
              <w:rPr>
                <w:rFonts w:ascii="Arial" w:hAnsi="Arial" w:cs="Arial"/>
                <w:sz w:val="20"/>
                <w:lang w:val="es-CR" w:eastAsia="zh-CN"/>
              </w:rPr>
            </w:pPr>
            <w:r w:rsidRPr="00047A5B">
              <w:rPr>
                <w:rFonts w:ascii="Arial" w:hAnsi="Arial" w:cs="Arial"/>
                <w:sz w:val="20"/>
                <w:lang w:val="es-CR" w:eastAsia="zh-CN"/>
              </w:rPr>
              <w:t>1</w:t>
            </w:r>
            <w:r>
              <w:rPr>
                <w:rFonts w:ascii="Arial" w:hAnsi="Arial" w:cs="Arial"/>
                <w:sz w:val="20"/>
                <w:lang w:val="es-CR" w:eastAsia="zh-CN"/>
              </w:rPr>
              <w:t>,</w:t>
            </w:r>
            <w:r w:rsidRPr="00047A5B">
              <w:rPr>
                <w:rFonts w:ascii="Arial" w:hAnsi="Arial" w:cs="Arial"/>
                <w:sz w:val="20"/>
                <w:lang w:val="es-CR" w:eastAsia="zh-CN"/>
              </w:rPr>
              <w:t>9%</w:t>
            </w:r>
          </w:p>
        </w:tc>
        <w:tc>
          <w:tcPr>
            <w:tcW w:w="810" w:type="dxa"/>
            <w:tcBorders>
              <w:top w:val="single" w:sz="4" w:space="0" w:color="auto"/>
              <w:left w:val="single" w:sz="4" w:space="0" w:color="auto"/>
              <w:bottom w:val="single" w:sz="4" w:space="0" w:color="auto"/>
              <w:right w:val="single" w:sz="4" w:space="0" w:color="auto"/>
            </w:tcBorders>
          </w:tcPr>
          <w:p w14:paraId="386CB0EA" w14:textId="76419C49" w:rsidR="00546DB0" w:rsidRPr="00885703" w:rsidRDefault="00546DB0" w:rsidP="00546DB0">
            <w:pPr>
              <w:spacing w:before="40" w:after="40"/>
              <w:jc w:val="center"/>
              <w:rPr>
                <w:rFonts w:ascii="Arial" w:hAnsi="Arial" w:cs="Arial"/>
                <w:sz w:val="20"/>
                <w:lang w:val="es-CR" w:eastAsia="zh-CN"/>
              </w:rPr>
            </w:pPr>
            <w:r w:rsidRPr="00047A5B">
              <w:rPr>
                <w:rFonts w:ascii="Arial" w:hAnsi="Arial" w:cs="Arial"/>
                <w:sz w:val="20"/>
                <w:lang w:val="es-CR" w:eastAsia="zh-CN"/>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CBC86A" w14:textId="2DD3FAD6" w:rsidR="00546DB0" w:rsidRPr="00885703" w:rsidRDefault="00546DB0" w:rsidP="00546DB0">
            <w:pPr>
              <w:spacing w:before="40" w:after="40"/>
              <w:jc w:val="both"/>
              <w:rPr>
                <w:rFonts w:ascii="Arial" w:hAnsi="Arial" w:cs="Arial"/>
                <w:sz w:val="20"/>
                <w:lang w:eastAsia="zh-CN"/>
              </w:rPr>
            </w:pPr>
            <w:r w:rsidRPr="00047A5B">
              <w:rPr>
                <w:rFonts w:ascii="Arial" w:hAnsi="Arial" w:cs="Arial"/>
                <w:sz w:val="20"/>
                <w:lang w:eastAsia="zh-CN"/>
              </w:rPr>
              <w:t>M</w:t>
            </w:r>
            <w:r>
              <w:rPr>
                <w:rFonts w:ascii="Arial" w:hAnsi="Arial" w:cs="Arial"/>
                <w:sz w:val="20"/>
                <w:lang w:eastAsia="zh-CN"/>
              </w:rPr>
              <w:t>H –</w:t>
            </w:r>
            <w:r w:rsidRPr="00047A5B">
              <w:rPr>
                <w:rFonts w:ascii="Arial" w:hAnsi="Arial" w:cs="Arial"/>
                <w:sz w:val="20"/>
                <w:lang w:eastAsia="zh-CN"/>
              </w:rPr>
              <w:t xml:space="preserve"> M</w:t>
            </w:r>
            <w:r>
              <w:rPr>
                <w:rFonts w:ascii="Arial" w:hAnsi="Arial" w:cs="Arial"/>
                <w:sz w:val="20"/>
                <w:lang w:eastAsia="zh-CN"/>
              </w:rPr>
              <w:t>FMP.</w:t>
            </w:r>
          </w:p>
        </w:tc>
        <w:tc>
          <w:tcPr>
            <w:tcW w:w="3240" w:type="dxa"/>
            <w:tcBorders>
              <w:top w:val="single" w:sz="4" w:space="0" w:color="auto"/>
              <w:left w:val="single" w:sz="4" w:space="0" w:color="auto"/>
              <w:bottom w:val="single" w:sz="4" w:space="0" w:color="auto"/>
              <w:right w:val="single" w:sz="4" w:space="0" w:color="auto"/>
            </w:tcBorders>
          </w:tcPr>
          <w:p w14:paraId="22D9D706" w14:textId="77777777" w:rsidR="00546DB0" w:rsidRDefault="00546DB0" w:rsidP="00546DB0">
            <w:pPr>
              <w:spacing w:before="40" w:after="40"/>
              <w:jc w:val="both"/>
              <w:rPr>
                <w:rFonts w:ascii="Arial" w:hAnsi="Arial" w:cs="Arial"/>
                <w:sz w:val="20"/>
                <w:lang w:eastAsia="zh-CN"/>
              </w:rPr>
            </w:pPr>
            <w:r w:rsidRPr="00047A5B">
              <w:rPr>
                <w:rFonts w:ascii="Arial" w:hAnsi="Arial" w:cs="Arial"/>
                <w:sz w:val="20"/>
                <w:lang w:eastAsia="zh-CN"/>
              </w:rPr>
              <w:t>Balance fiscal primario como porcentaje del PIB</w:t>
            </w:r>
            <w:r>
              <w:rPr>
                <w:rFonts w:ascii="Arial" w:hAnsi="Arial" w:cs="Arial"/>
                <w:sz w:val="20"/>
                <w:lang w:eastAsia="zh-CN"/>
              </w:rPr>
              <w:t>.</w:t>
            </w:r>
          </w:p>
          <w:p w14:paraId="1FB2D527" w14:textId="1A1AC3DE" w:rsidR="00546DB0" w:rsidRPr="00885703" w:rsidRDefault="00546DB0" w:rsidP="00546DB0">
            <w:pPr>
              <w:spacing w:before="40" w:after="40"/>
              <w:rPr>
                <w:rFonts w:ascii="Arial" w:hAnsi="Arial" w:cs="Arial"/>
                <w:sz w:val="20"/>
                <w:lang w:eastAsia="zh-CN"/>
              </w:rPr>
            </w:pPr>
            <w:r>
              <w:rPr>
                <w:rFonts w:ascii="Arial" w:hAnsi="Arial" w:cs="Arial"/>
                <w:sz w:val="20"/>
                <w:lang w:eastAsia="zh-CN"/>
              </w:rPr>
              <w:t>Línea de Base: Proyección de FMI para 2020.</w:t>
            </w:r>
          </w:p>
        </w:tc>
      </w:tr>
      <w:bookmarkEnd w:id="12"/>
    </w:tbl>
    <w:p w14:paraId="383E558F" w14:textId="77777777" w:rsidR="00B51002" w:rsidRDefault="00B51002" w:rsidP="00485402">
      <w:pPr>
        <w:autoSpaceDE w:val="0"/>
        <w:autoSpaceDN w:val="0"/>
        <w:adjustRightInd w:val="0"/>
        <w:jc w:val="center"/>
        <w:rPr>
          <w:rFonts w:ascii="Arial" w:hAnsi="Arial" w:cs="Arial"/>
          <w:b/>
          <w:sz w:val="20"/>
        </w:rPr>
      </w:pPr>
    </w:p>
    <w:p w14:paraId="43DAB061" w14:textId="77777777" w:rsidR="00013D81" w:rsidRDefault="00013D81" w:rsidP="00EA10C3">
      <w:pPr>
        <w:autoSpaceDE w:val="0"/>
        <w:autoSpaceDN w:val="0"/>
        <w:adjustRightInd w:val="0"/>
        <w:rPr>
          <w:rFonts w:ascii="Arial" w:hAnsi="Arial" w:cs="Arial"/>
          <w:b/>
          <w:sz w:val="20"/>
        </w:rPr>
      </w:pPr>
    </w:p>
    <w:p w14:paraId="0FE5D19B" w14:textId="72E7A746" w:rsidR="00610A92" w:rsidRDefault="00610A92" w:rsidP="00485402">
      <w:pPr>
        <w:autoSpaceDE w:val="0"/>
        <w:autoSpaceDN w:val="0"/>
        <w:adjustRightInd w:val="0"/>
        <w:jc w:val="center"/>
        <w:rPr>
          <w:rFonts w:ascii="Arial" w:hAnsi="Arial" w:cs="Arial"/>
          <w:b/>
          <w:sz w:val="20"/>
        </w:rPr>
      </w:pPr>
      <w:r>
        <w:rPr>
          <w:rFonts w:ascii="Arial" w:hAnsi="Arial" w:cs="Arial"/>
          <w:b/>
          <w:sz w:val="20"/>
        </w:rPr>
        <w:br w:type="page"/>
      </w:r>
    </w:p>
    <w:p w14:paraId="5EB60D84" w14:textId="61E27BE4" w:rsidR="00A578FB" w:rsidRDefault="00A578FB" w:rsidP="008A049C">
      <w:pPr>
        <w:autoSpaceDE w:val="0"/>
        <w:autoSpaceDN w:val="0"/>
        <w:adjustRightInd w:val="0"/>
        <w:spacing w:before="120" w:after="120"/>
        <w:jc w:val="center"/>
        <w:rPr>
          <w:rFonts w:ascii="Arial" w:hAnsi="Arial" w:cs="Arial"/>
          <w:b/>
          <w:sz w:val="20"/>
        </w:rPr>
      </w:pPr>
      <w:r w:rsidRPr="002B4219">
        <w:rPr>
          <w:rFonts w:ascii="Arial" w:hAnsi="Arial" w:cs="Arial"/>
          <w:b/>
          <w:sz w:val="20"/>
        </w:rPr>
        <w:lastRenderedPageBreak/>
        <w:t xml:space="preserve">Cuadro </w:t>
      </w:r>
      <w:r w:rsidR="00B70FE0">
        <w:rPr>
          <w:rFonts w:ascii="Arial" w:hAnsi="Arial" w:cs="Arial"/>
          <w:b/>
          <w:sz w:val="20"/>
        </w:rPr>
        <w:t>4</w:t>
      </w:r>
      <w:r w:rsidR="008A049C">
        <w:rPr>
          <w:rFonts w:ascii="Arial" w:hAnsi="Arial" w:cs="Arial"/>
          <w:b/>
          <w:sz w:val="20"/>
        </w:rPr>
        <w:t xml:space="preserve">. </w:t>
      </w:r>
      <w:r w:rsidRPr="002B4219">
        <w:rPr>
          <w:rFonts w:ascii="Arial" w:hAnsi="Arial" w:cs="Arial"/>
          <w:b/>
          <w:sz w:val="20"/>
        </w:rPr>
        <w:t>Indicadores de resultados</w:t>
      </w:r>
      <w:r w:rsidR="00200A96" w:rsidRPr="002B4219">
        <w:rPr>
          <w:rFonts w:ascii="Arial" w:hAnsi="Arial" w:cs="Arial"/>
          <w:b/>
          <w:sz w:val="20"/>
        </w:rPr>
        <w:t xml:space="preserve"> </w:t>
      </w:r>
    </w:p>
    <w:tbl>
      <w:tblPr>
        <w:tblW w:w="1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5"/>
        <w:gridCol w:w="1350"/>
        <w:gridCol w:w="920"/>
        <w:gridCol w:w="1170"/>
        <w:gridCol w:w="1240"/>
        <w:gridCol w:w="2430"/>
        <w:gridCol w:w="3890"/>
      </w:tblGrid>
      <w:tr w:rsidR="00F6470F" w:rsidRPr="00047A5B" w14:paraId="7EB8DD05" w14:textId="77777777" w:rsidTr="00E34630">
        <w:trPr>
          <w:trHeight w:val="791"/>
          <w:tblHeader/>
        </w:trPr>
        <w:tc>
          <w:tcPr>
            <w:tcW w:w="2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934800"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Indicadores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3DEDAE"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Unidad de Medida</w:t>
            </w:r>
          </w:p>
        </w:tc>
        <w:tc>
          <w:tcPr>
            <w:tcW w:w="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3D42992"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 xml:space="preserve">Línea de Base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4B7518"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 xml:space="preserve">Año </w:t>
            </w:r>
          </w:p>
          <w:p w14:paraId="62D7F641"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Línea de Base</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0F01F8"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Meta Final</w:t>
            </w:r>
          </w:p>
          <w:p w14:paraId="64CB3F37"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(2020)</w:t>
            </w:r>
            <w:r w:rsidRPr="00047A5B">
              <w:rPr>
                <w:rStyle w:val="FootnoteReference"/>
                <w:rFonts w:ascii="Arial" w:hAnsi="Arial" w:cs="Arial"/>
                <w:b/>
                <w:color w:val="D9D9D9" w:themeColor="background1" w:themeShade="D9"/>
                <w:sz w:val="20"/>
                <w:lang w:val="es-MX" w:eastAsia="zh-CN"/>
              </w:rPr>
              <w:footnoteRef/>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44FCB1"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Medios de Verificación</w:t>
            </w:r>
          </w:p>
        </w:tc>
        <w:tc>
          <w:tcPr>
            <w:tcW w:w="3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9EF8BA" w14:textId="77777777" w:rsidR="00F6470F" w:rsidRPr="00047A5B" w:rsidRDefault="00F6470F" w:rsidP="00E34630">
            <w:pPr>
              <w:jc w:val="center"/>
              <w:rPr>
                <w:rFonts w:ascii="Arial" w:hAnsi="Arial" w:cs="Arial"/>
                <w:b/>
                <w:sz w:val="20"/>
                <w:lang w:val="es-MX" w:eastAsia="zh-CN"/>
              </w:rPr>
            </w:pPr>
            <w:r w:rsidRPr="00047A5B">
              <w:rPr>
                <w:rFonts w:ascii="Arial" w:hAnsi="Arial" w:cs="Arial"/>
                <w:b/>
                <w:sz w:val="20"/>
                <w:lang w:val="es-MX" w:eastAsia="zh-CN"/>
              </w:rPr>
              <w:t>Comentario</w:t>
            </w:r>
          </w:p>
        </w:tc>
      </w:tr>
      <w:tr w:rsidR="00F6470F" w:rsidRPr="008B2248" w14:paraId="56849A71" w14:textId="77777777" w:rsidTr="00E34630">
        <w:trPr>
          <w:trHeight w:val="260"/>
        </w:trPr>
        <w:tc>
          <w:tcPr>
            <w:tcW w:w="13335" w:type="dxa"/>
            <w:gridSpan w:val="7"/>
            <w:tcBorders>
              <w:top w:val="single" w:sz="4" w:space="0" w:color="000000"/>
              <w:left w:val="single" w:sz="4" w:space="0" w:color="000000"/>
              <w:bottom w:val="single" w:sz="4" w:space="0" w:color="000000"/>
              <w:right w:val="single" w:sz="4" w:space="0" w:color="000000"/>
            </w:tcBorders>
            <w:vAlign w:val="center"/>
            <w:hideMark/>
          </w:tcPr>
          <w:p w14:paraId="150406C6" w14:textId="77777777" w:rsidR="00F6470F" w:rsidRPr="008B2248" w:rsidRDefault="00F6470F" w:rsidP="00E34630">
            <w:pPr>
              <w:spacing w:before="60" w:after="60"/>
              <w:ind w:left="2771" w:hanging="2771"/>
              <w:jc w:val="both"/>
              <w:rPr>
                <w:rFonts w:ascii="Arial" w:hAnsi="Arial" w:cs="Arial"/>
                <w:sz w:val="20"/>
                <w:lang w:val="es-MX" w:eastAsia="zh-CN"/>
              </w:rPr>
            </w:pPr>
            <w:r w:rsidRPr="008B2248">
              <w:rPr>
                <w:rFonts w:ascii="Arial" w:hAnsi="Arial" w:cs="Arial"/>
                <w:b/>
                <w:caps/>
                <w:sz w:val="20"/>
                <w:u w:val="single"/>
                <w:lang w:val="es-MX" w:eastAsia="zh-CN"/>
              </w:rPr>
              <w:t>Objetivo ESPECÍFICO #1</w:t>
            </w:r>
            <w:r w:rsidRPr="008B2248">
              <w:rPr>
                <w:rFonts w:ascii="Arial" w:hAnsi="Arial" w:cs="Arial"/>
                <w:b/>
                <w:caps/>
                <w:sz w:val="20"/>
                <w:lang w:val="es-MX" w:eastAsia="zh-CN"/>
              </w:rPr>
              <w:t>:</w:t>
            </w:r>
            <w:r w:rsidRPr="008B2248">
              <w:rPr>
                <w:rFonts w:ascii="Arial" w:eastAsia="Arial" w:hAnsi="Arial" w:cs="Arial"/>
                <w:sz w:val="20"/>
                <w:lang w:val="es-MX"/>
              </w:rPr>
              <w:t xml:space="preserve"> </w:t>
            </w:r>
            <w:r w:rsidRPr="004E466A">
              <w:rPr>
                <w:rFonts w:ascii="Arial" w:eastAsia="Arial" w:hAnsi="Arial" w:cs="Arial"/>
                <w:sz w:val="20"/>
                <w:lang w:val="es-MX"/>
              </w:rPr>
              <w:t>P</w:t>
            </w:r>
            <w:proofErr w:type="spellStart"/>
            <w:r w:rsidRPr="004E466A">
              <w:rPr>
                <w:rFonts w:ascii="Arial" w:hAnsi="Arial" w:cs="Arial"/>
                <w:sz w:val="20"/>
                <w:lang w:val="es-CO"/>
              </w:rPr>
              <w:t>romover</w:t>
            </w:r>
            <w:proofErr w:type="spellEnd"/>
            <w:r w:rsidRPr="004E466A">
              <w:rPr>
                <w:rFonts w:ascii="Arial" w:hAnsi="Arial" w:cs="Arial"/>
                <w:sz w:val="20"/>
                <w:lang w:val="es-CO"/>
              </w:rPr>
              <w:t xml:space="preserve"> la disponibilidad y ejecución oportuna de recursos públicos para atender los efectos de la crisis sanitaria causada por el COVID-19.</w:t>
            </w:r>
          </w:p>
        </w:tc>
      </w:tr>
      <w:tr w:rsidR="00217E55" w:rsidRPr="00047A5B" w14:paraId="49AA1B2E" w14:textId="77777777" w:rsidTr="00E34630">
        <w:trPr>
          <w:trHeight w:val="547"/>
        </w:trPr>
        <w:tc>
          <w:tcPr>
            <w:tcW w:w="2335" w:type="dxa"/>
            <w:tcBorders>
              <w:top w:val="single" w:sz="4" w:space="0" w:color="000000"/>
              <w:left w:val="single" w:sz="4" w:space="0" w:color="000000"/>
              <w:bottom w:val="single" w:sz="4" w:space="0" w:color="000000"/>
              <w:right w:val="single" w:sz="4" w:space="0" w:color="000000"/>
            </w:tcBorders>
            <w:hideMark/>
          </w:tcPr>
          <w:p w14:paraId="3825C9F4" w14:textId="1DAD6D74" w:rsidR="00217E55" w:rsidRPr="00047A5B" w:rsidRDefault="00217E55" w:rsidP="00217E55">
            <w:pPr>
              <w:pStyle w:val="ListParagraph"/>
              <w:spacing w:before="40" w:after="40"/>
              <w:ind w:left="0"/>
              <w:rPr>
                <w:rFonts w:ascii="Arial" w:hAnsi="Arial" w:cs="Arial"/>
                <w:sz w:val="20"/>
                <w:lang w:val="es-MX" w:eastAsia="zh-CN"/>
              </w:rPr>
            </w:pPr>
            <w:r w:rsidRPr="00047A5B">
              <w:rPr>
                <w:rFonts w:ascii="Arial" w:hAnsi="Arial" w:cs="Arial"/>
                <w:sz w:val="20"/>
              </w:rPr>
              <w:t>Presupuesto asignado al sector salud</w:t>
            </w:r>
            <w:r>
              <w:rPr>
                <w:rFonts w:ascii="Arial" w:hAnsi="Arial" w:cs="Arial"/>
                <w:sz w:val="20"/>
              </w:rPr>
              <w:t>.</w:t>
            </w:r>
          </w:p>
        </w:tc>
        <w:tc>
          <w:tcPr>
            <w:tcW w:w="1350" w:type="dxa"/>
            <w:tcBorders>
              <w:top w:val="single" w:sz="4" w:space="0" w:color="000000"/>
              <w:left w:val="single" w:sz="4" w:space="0" w:color="000000"/>
              <w:bottom w:val="single" w:sz="4" w:space="0" w:color="000000"/>
              <w:right w:val="single" w:sz="4" w:space="0" w:color="000000"/>
            </w:tcBorders>
          </w:tcPr>
          <w:p w14:paraId="1CC15482" w14:textId="18437902" w:rsidR="00217E55" w:rsidRPr="00047A5B" w:rsidRDefault="00217E55" w:rsidP="00217E55">
            <w:pPr>
              <w:spacing w:before="40" w:after="40"/>
              <w:jc w:val="center"/>
              <w:rPr>
                <w:rFonts w:ascii="Arial" w:hAnsi="Arial" w:cs="Arial"/>
                <w:sz w:val="20"/>
                <w:lang w:val="es-MX" w:eastAsia="zh-CN"/>
              </w:rPr>
            </w:pPr>
            <w:r w:rsidRPr="00047A5B">
              <w:rPr>
                <w:rFonts w:ascii="Arial" w:hAnsi="Arial" w:cs="Arial"/>
                <w:sz w:val="20"/>
                <w:lang w:val="es-MX" w:eastAsia="zh-CN"/>
              </w:rPr>
              <w:t>% PIB</w:t>
            </w:r>
          </w:p>
        </w:tc>
        <w:tc>
          <w:tcPr>
            <w:tcW w:w="920" w:type="dxa"/>
            <w:tcBorders>
              <w:top w:val="single" w:sz="4" w:space="0" w:color="000000"/>
              <w:left w:val="single" w:sz="4" w:space="0" w:color="000000"/>
              <w:bottom w:val="single" w:sz="4" w:space="0" w:color="000000"/>
              <w:right w:val="single" w:sz="4" w:space="0" w:color="000000"/>
            </w:tcBorders>
          </w:tcPr>
          <w:p w14:paraId="3FD3C1EA" w14:textId="050210B1" w:rsidR="00217E55" w:rsidRPr="00047A5B" w:rsidRDefault="00217E55" w:rsidP="00217E55">
            <w:pPr>
              <w:spacing w:before="40" w:after="40"/>
              <w:jc w:val="center"/>
              <w:rPr>
                <w:rFonts w:ascii="Arial" w:hAnsi="Arial" w:cs="Arial"/>
                <w:sz w:val="20"/>
                <w:lang w:val="es-MX" w:eastAsia="zh-CN"/>
              </w:rPr>
            </w:pPr>
            <w:r w:rsidRPr="00047A5B">
              <w:rPr>
                <w:rFonts w:ascii="Arial" w:hAnsi="Arial" w:cs="Arial"/>
                <w:sz w:val="20"/>
                <w:lang w:val="es-MX" w:eastAsia="zh-CN"/>
              </w:rPr>
              <w:t>2</w:t>
            </w:r>
            <w:r>
              <w:rPr>
                <w:rFonts w:ascii="Arial" w:hAnsi="Arial" w:cs="Arial"/>
                <w:sz w:val="20"/>
                <w:lang w:val="es-MX" w:eastAsia="zh-CN"/>
              </w:rPr>
              <w:t>,</w:t>
            </w:r>
            <w:r w:rsidRPr="00047A5B">
              <w:rPr>
                <w:rFonts w:ascii="Arial" w:hAnsi="Arial" w:cs="Arial"/>
                <w:sz w:val="20"/>
                <w:lang w:val="es-MX" w:eastAsia="zh-CN"/>
              </w:rPr>
              <w:t>52%</w:t>
            </w:r>
          </w:p>
        </w:tc>
        <w:tc>
          <w:tcPr>
            <w:tcW w:w="1170" w:type="dxa"/>
            <w:tcBorders>
              <w:top w:val="single" w:sz="4" w:space="0" w:color="000000"/>
              <w:left w:val="single" w:sz="4" w:space="0" w:color="000000"/>
              <w:bottom w:val="single" w:sz="4" w:space="0" w:color="000000"/>
              <w:right w:val="single" w:sz="4" w:space="0" w:color="000000"/>
            </w:tcBorders>
          </w:tcPr>
          <w:p w14:paraId="39C2FACF" w14:textId="2DAB3BD9" w:rsidR="00217E55" w:rsidRPr="00047A5B" w:rsidRDefault="00217E55" w:rsidP="00217E55">
            <w:pPr>
              <w:spacing w:before="40" w:after="40"/>
              <w:jc w:val="center"/>
              <w:rPr>
                <w:rFonts w:ascii="Arial" w:hAnsi="Arial" w:cs="Arial"/>
                <w:sz w:val="20"/>
                <w:lang w:val="es-MX" w:eastAsia="zh-CN"/>
              </w:rPr>
            </w:pPr>
            <w:r w:rsidRPr="00047A5B">
              <w:rPr>
                <w:rFonts w:ascii="Arial" w:hAnsi="Arial" w:cs="Arial"/>
                <w:sz w:val="20"/>
                <w:lang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081CB803" w14:textId="7FB326E1" w:rsidR="00217E55" w:rsidRPr="00047A5B" w:rsidRDefault="00217E55" w:rsidP="00217E55">
            <w:pPr>
              <w:spacing w:before="40" w:after="40"/>
              <w:jc w:val="center"/>
              <w:rPr>
                <w:rFonts w:ascii="Arial" w:hAnsi="Arial" w:cs="Arial"/>
                <w:sz w:val="20"/>
                <w:lang w:val="es-MX" w:eastAsia="zh-CN"/>
              </w:rPr>
            </w:pPr>
            <w:r w:rsidRPr="00047A5B">
              <w:rPr>
                <w:rFonts w:ascii="Arial" w:hAnsi="Arial" w:cs="Arial"/>
                <w:sz w:val="20"/>
                <w:lang w:eastAsia="zh-CN"/>
              </w:rPr>
              <w:t>5%</w:t>
            </w:r>
          </w:p>
        </w:tc>
        <w:tc>
          <w:tcPr>
            <w:tcW w:w="2430" w:type="dxa"/>
            <w:tcBorders>
              <w:top w:val="single" w:sz="4" w:space="0" w:color="000000"/>
              <w:left w:val="single" w:sz="4" w:space="0" w:color="000000"/>
              <w:bottom w:val="single" w:sz="4" w:space="0" w:color="000000"/>
              <w:right w:val="single" w:sz="4" w:space="0" w:color="000000"/>
            </w:tcBorders>
          </w:tcPr>
          <w:p w14:paraId="50CBF247" w14:textId="4B3DFDF8" w:rsidR="00217E55" w:rsidRPr="00047A5B" w:rsidRDefault="00217E55" w:rsidP="00217E55">
            <w:pPr>
              <w:spacing w:before="40" w:after="40"/>
              <w:rPr>
                <w:rFonts w:ascii="Arial" w:hAnsi="Arial" w:cs="Arial"/>
                <w:sz w:val="20"/>
                <w:lang w:val="es-MX" w:eastAsia="zh-CN"/>
              </w:rPr>
            </w:pPr>
            <w:r w:rsidRPr="00047A5B">
              <w:rPr>
                <w:rFonts w:ascii="Arial" w:hAnsi="Arial" w:cs="Arial"/>
                <w:sz w:val="20"/>
                <w:lang w:val="es-MX" w:eastAsia="zh-CN"/>
              </w:rPr>
              <w:t>Presupuesto aprobado por A</w:t>
            </w:r>
            <w:r>
              <w:rPr>
                <w:rFonts w:ascii="Arial" w:hAnsi="Arial" w:cs="Arial"/>
                <w:sz w:val="20"/>
                <w:lang w:val="es-MX" w:eastAsia="zh-CN"/>
              </w:rPr>
              <w:t>L</w:t>
            </w:r>
            <w:r w:rsidRPr="00047A5B">
              <w:rPr>
                <w:rFonts w:ascii="Arial" w:hAnsi="Arial" w:cs="Arial"/>
                <w:sz w:val="20"/>
                <w:lang w:val="es-MX" w:eastAsia="zh-CN"/>
              </w:rPr>
              <w:t xml:space="preserve"> y recursos adicionales vía F</w:t>
            </w:r>
            <w:r>
              <w:rPr>
                <w:rFonts w:ascii="Arial" w:hAnsi="Arial" w:cs="Arial"/>
                <w:sz w:val="20"/>
                <w:lang w:val="es-MX" w:eastAsia="zh-CN"/>
              </w:rPr>
              <w:t>ERRE, Informe de Gestión Financiera del Estado (IGFE) del MH.</w:t>
            </w:r>
          </w:p>
        </w:tc>
        <w:tc>
          <w:tcPr>
            <w:tcW w:w="3890" w:type="dxa"/>
            <w:tcBorders>
              <w:top w:val="single" w:sz="4" w:space="0" w:color="000000"/>
              <w:left w:val="single" w:sz="4" w:space="0" w:color="000000"/>
              <w:bottom w:val="single" w:sz="4" w:space="0" w:color="000000"/>
              <w:right w:val="single" w:sz="4" w:space="0" w:color="000000"/>
            </w:tcBorders>
          </w:tcPr>
          <w:p w14:paraId="049E2EDA" w14:textId="77777777" w:rsidR="00217E55" w:rsidRDefault="00217E55" w:rsidP="00217E55">
            <w:pPr>
              <w:spacing w:before="40" w:after="40"/>
              <w:jc w:val="both"/>
              <w:rPr>
                <w:rFonts w:ascii="Arial" w:hAnsi="Arial" w:cs="Arial"/>
                <w:sz w:val="20"/>
                <w:lang w:val="es-MX" w:eastAsia="zh-CN"/>
              </w:rPr>
            </w:pPr>
            <w:r w:rsidRPr="00047A5B">
              <w:rPr>
                <w:rFonts w:ascii="Arial" w:hAnsi="Arial" w:cs="Arial"/>
                <w:sz w:val="20"/>
                <w:lang w:val="es-MX" w:eastAsia="zh-CN"/>
              </w:rPr>
              <w:t>El incremento se medirá al cierre de 2020. Para calcular el incremento se tomará como base el presupuesto para 2020</w:t>
            </w:r>
            <w:r>
              <w:rPr>
                <w:rFonts w:ascii="Arial" w:hAnsi="Arial" w:cs="Arial"/>
                <w:sz w:val="20"/>
                <w:lang w:val="es-MX" w:eastAsia="zh-CN"/>
              </w:rPr>
              <w:t>,</w:t>
            </w:r>
            <w:r w:rsidRPr="00047A5B">
              <w:rPr>
                <w:rFonts w:ascii="Arial" w:hAnsi="Arial" w:cs="Arial"/>
                <w:sz w:val="20"/>
                <w:lang w:val="es-MX" w:eastAsia="zh-CN"/>
              </w:rPr>
              <w:t xml:space="preserve"> aprobado por el Congreso.</w:t>
            </w:r>
          </w:p>
          <w:p w14:paraId="7F03A3A6" w14:textId="4378144C" w:rsidR="00217E55" w:rsidRPr="00047A5B" w:rsidRDefault="00217E55" w:rsidP="00217E55">
            <w:pPr>
              <w:spacing w:before="40" w:after="40"/>
              <w:jc w:val="both"/>
              <w:rPr>
                <w:rFonts w:ascii="Arial" w:hAnsi="Arial" w:cs="Arial"/>
                <w:sz w:val="20"/>
                <w:lang w:val="es-MX" w:eastAsia="zh-CN"/>
              </w:rPr>
            </w:pPr>
            <w:r>
              <w:rPr>
                <w:rFonts w:ascii="Arial" w:hAnsi="Arial" w:cs="Arial"/>
                <w:sz w:val="20"/>
                <w:lang w:val="es-MX" w:eastAsia="zh-CN"/>
              </w:rPr>
              <w:t>Línea de Base: Presupuesto asignado Sector Salud: US$681,7 millones / PIB 2019: US$27.022,6 millones (IGFE, marzo 2020).</w:t>
            </w:r>
            <w:r w:rsidRPr="00047A5B">
              <w:rPr>
                <w:rFonts w:ascii="Arial" w:hAnsi="Arial" w:cs="Arial"/>
                <w:sz w:val="20"/>
                <w:lang w:val="es-MX" w:eastAsia="zh-CN"/>
              </w:rPr>
              <w:t xml:space="preserve"> </w:t>
            </w:r>
          </w:p>
        </w:tc>
      </w:tr>
      <w:tr w:rsidR="005F227C" w:rsidRPr="00047A5B" w14:paraId="5FAF655A" w14:textId="77777777" w:rsidTr="00E34630">
        <w:trPr>
          <w:trHeight w:val="547"/>
        </w:trPr>
        <w:tc>
          <w:tcPr>
            <w:tcW w:w="2335" w:type="dxa"/>
            <w:tcBorders>
              <w:top w:val="single" w:sz="4" w:space="0" w:color="000000"/>
              <w:left w:val="single" w:sz="4" w:space="0" w:color="000000"/>
              <w:bottom w:val="single" w:sz="4" w:space="0" w:color="000000"/>
              <w:right w:val="single" w:sz="4" w:space="0" w:color="000000"/>
            </w:tcBorders>
          </w:tcPr>
          <w:p w14:paraId="1DE18190" w14:textId="39825252" w:rsidR="005F227C" w:rsidRPr="00047A5B" w:rsidRDefault="005F227C" w:rsidP="005F227C">
            <w:pPr>
              <w:pStyle w:val="ListParagraph"/>
              <w:spacing w:before="40" w:after="40"/>
              <w:ind w:left="0"/>
              <w:rPr>
                <w:rFonts w:ascii="Arial" w:hAnsi="Arial" w:cs="Arial"/>
                <w:sz w:val="20"/>
              </w:rPr>
            </w:pPr>
            <w:r w:rsidRPr="00047A5B">
              <w:rPr>
                <w:rFonts w:ascii="Arial" w:hAnsi="Arial" w:cs="Arial"/>
                <w:sz w:val="20"/>
              </w:rPr>
              <w:t>Gasto ejecutado en el sector salud</w:t>
            </w:r>
            <w:r>
              <w:rPr>
                <w:rFonts w:ascii="Arial" w:hAnsi="Arial" w:cs="Arial"/>
                <w:sz w:val="20"/>
              </w:rPr>
              <w:t>.</w:t>
            </w:r>
          </w:p>
        </w:tc>
        <w:tc>
          <w:tcPr>
            <w:tcW w:w="1350" w:type="dxa"/>
            <w:tcBorders>
              <w:top w:val="single" w:sz="4" w:space="0" w:color="000000"/>
              <w:left w:val="single" w:sz="4" w:space="0" w:color="000000"/>
              <w:bottom w:val="single" w:sz="4" w:space="0" w:color="000000"/>
              <w:right w:val="single" w:sz="4" w:space="0" w:color="000000"/>
            </w:tcBorders>
          </w:tcPr>
          <w:p w14:paraId="6F344096" w14:textId="3B074324" w:rsidR="005F227C" w:rsidRPr="00047A5B" w:rsidRDefault="005F227C" w:rsidP="005F227C">
            <w:pPr>
              <w:spacing w:before="40" w:after="40"/>
              <w:jc w:val="center"/>
              <w:rPr>
                <w:rFonts w:ascii="Arial" w:hAnsi="Arial" w:cs="Arial"/>
                <w:sz w:val="20"/>
                <w:lang w:val="es-MX" w:eastAsia="zh-CN"/>
              </w:rPr>
            </w:pPr>
            <w:r w:rsidRPr="00047A5B">
              <w:rPr>
                <w:rFonts w:ascii="Arial" w:hAnsi="Arial" w:cs="Arial"/>
                <w:sz w:val="20"/>
                <w:lang w:val="es-MX" w:eastAsia="zh-CN"/>
              </w:rPr>
              <w:t>%</w:t>
            </w:r>
          </w:p>
        </w:tc>
        <w:tc>
          <w:tcPr>
            <w:tcW w:w="920" w:type="dxa"/>
            <w:tcBorders>
              <w:top w:val="single" w:sz="4" w:space="0" w:color="000000"/>
              <w:left w:val="single" w:sz="4" w:space="0" w:color="000000"/>
              <w:bottom w:val="single" w:sz="4" w:space="0" w:color="000000"/>
              <w:right w:val="single" w:sz="4" w:space="0" w:color="000000"/>
            </w:tcBorders>
          </w:tcPr>
          <w:p w14:paraId="429E9B13" w14:textId="5A121451" w:rsidR="005F227C" w:rsidRPr="00047A5B" w:rsidRDefault="005F227C" w:rsidP="005F227C">
            <w:pPr>
              <w:spacing w:before="40" w:after="40"/>
              <w:jc w:val="center"/>
              <w:rPr>
                <w:rFonts w:ascii="Arial" w:hAnsi="Arial" w:cs="Arial"/>
                <w:sz w:val="20"/>
                <w:lang w:val="es-MX" w:eastAsia="zh-CN"/>
              </w:rPr>
            </w:pPr>
            <w:r w:rsidRPr="00047A5B">
              <w:rPr>
                <w:rFonts w:ascii="Arial" w:hAnsi="Arial" w:cs="Arial"/>
                <w:sz w:val="20"/>
                <w:lang w:val="es-MX" w:eastAsia="zh-CN"/>
              </w:rPr>
              <w:t>97</w:t>
            </w:r>
            <w:r>
              <w:rPr>
                <w:rFonts w:ascii="Arial" w:hAnsi="Arial" w:cs="Arial"/>
                <w:sz w:val="20"/>
                <w:lang w:val="es-MX" w:eastAsia="zh-CN"/>
              </w:rPr>
              <w:t>,</w:t>
            </w:r>
            <w:r w:rsidRPr="00047A5B">
              <w:rPr>
                <w:rFonts w:ascii="Arial" w:hAnsi="Arial" w:cs="Arial"/>
                <w:sz w:val="20"/>
                <w:lang w:val="es-MX" w:eastAsia="zh-CN"/>
              </w:rPr>
              <w:t>3%</w:t>
            </w:r>
          </w:p>
        </w:tc>
        <w:tc>
          <w:tcPr>
            <w:tcW w:w="1170" w:type="dxa"/>
            <w:tcBorders>
              <w:top w:val="single" w:sz="4" w:space="0" w:color="000000"/>
              <w:left w:val="single" w:sz="4" w:space="0" w:color="000000"/>
              <w:bottom w:val="single" w:sz="4" w:space="0" w:color="000000"/>
              <w:right w:val="single" w:sz="4" w:space="0" w:color="000000"/>
            </w:tcBorders>
          </w:tcPr>
          <w:p w14:paraId="59B006FC" w14:textId="25586342" w:rsidR="005F227C" w:rsidRPr="00047A5B" w:rsidRDefault="005F227C" w:rsidP="005F227C">
            <w:pPr>
              <w:spacing w:before="40" w:after="40"/>
              <w:jc w:val="center"/>
              <w:rPr>
                <w:rFonts w:ascii="Arial" w:hAnsi="Arial" w:cs="Arial"/>
                <w:sz w:val="20"/>
                <w:lang w:eastAsia="zh-CN"/>
              </w:rPr>
            </w:pPr>
            <w:r w:rsidRPr="00047A5B">
              <w:rPr>
                <w:rFonts w:ascii="Arial" w:hAnsi="Arial" w:cs="Arial"/>
                <w:sz w:val="20"/>
                <w:lang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5108DEA4" w14:textId="3E7052D9" w:rsidR="005F227C" w:rsidRPr="00047A5B" w:rsidRDefault="005F227C" w:rsidP="005F227C">
            <w:pPr>
              <w:spacing w:before="40" w:after="40"/>
              <w:jc w:val="center"/>
              <w:rPr>
                <w:rFonts w:ascii="Arial" w:hAnsi="Arial" w:cs="Arial"/>
                <w:sz w:val="20"/>
                <w:lang w:eastAsia="zh-CN"/>
              </w:rPr>
            </w:pPr>
            <w:r w:rsidRPr="00047A5B">
              <w:rPr>
                <w:rFonts w:ascii="Arial" w:hAnsi="Arial" w:cs="Arial"/>
                <w:sz w:val="20"/>
                <w:lang w:eastAsia="zh-CN"/>
              </w:rPr>
              <w:t>98</w:t>
            </w:r>
            <w:r>
              <w:rPr>
                <w:rFonts w:ascii="Arial" w:hAnsi="Arial" w:cs="Arial"/>
                <w:sz w:val="20"/>
                <w:lang w:eastAsia="zh-CN"/>
              </w:rPr>
              <w:t>,</w:t>
            </w:r>
            <w:r w:rsidRPr="00047A5B">
              <w:rPr>
                <w:rFonts w:ascii="Arial" w:hAnsi="Arial" w:cs="Arial"/>
                <w:sz w:val="20"/>
                <w:lang w:eastAsia="zh-CN"/>
              </w:rPr>
              <w:t>5%</w:t>
            </w:r>
          </w:p>
        </w:tc>
        <w:tc>
          <w:tcPr>
            <w:tcW w:w="2430" w:type="dxa"/>
            <w:tcBorders>
              <w:top w:val="single" w:sz="4" w:space="0" w:color="000000"/>
              <w:left w:val="single" w:sz="4" w:space="0" w:color="000000"/>
              <w:bottom w:val="single" w:sz="4" w:space="0" w:color="000000"/>
              <w:right w:val="single" w:sz="4" w:space="0" w:color="000000"/>
            </w:tcBorders>
          </w:tcPr>
          <w:p w14:paraId="5C522566" w14:textId="582D7632" w:rsidR="005F227C" w:rsidRPr="00047A5B" w:rsidRDefault="005F227C" w:rsidP="005F227C">
            <w:pPr>
              <w:spacing w:before="40" w:after="40"/>
              <w:rPr>
                <w:rFonts w:ascii="Arial" w:hAnsi="Arial" w:cs="Arial"/>
                <w:sz w:val="20"/>
                <w:lang w:val="es-MX" w:eastAsia="zh-CN"/>
              </w:rPr>
            </w:pPr>
            <w:r w:rsidRPr="00047A5B">
              <w:rPr>
                <w:rFonts w:ascii="Arial" w:hAnsi="Arial" w:cs="Arial"/>
                <w:sz w:val="20"/>
                <w:lang w:val="es-MX" w:eastAsia="zh-CN"/>
              </w:rPr>
              <w:t xml:space="preserve">Presupuesto aprobado por </w:t>
            </w:r>
            <w:r>
              <w:rPr>
                <w:rFonts w:ascii="Arial" w:hAnsi="Arial" w:cs="Arial"/>
                <w:sz w:val="20"/>
                <w:lang w:val="es-MX" w:eastAsia="zh-CN"/>
              </w:rPr>
              <w:t xml:space="preserve">la AL </w:t>
            </w:r>
            <w:r w:rsidRPr="00047A5B">
              <w:rPr>
                <w:rFonts w:ascii="Arial" w:hAnsi="Arial" w:cs="Arial"/>
                <w:sz w:val="20"/>
                <w:lang w:val="es-MX" w:eastAsia="zh-CN"/>
              </w:rPr>
              <w:t>y reportes de ejecución de gasto del M</w:t>
            </w:r>
            <w:r>
              <w:rPr>
                <w:rFonts w:ascii="Arial" w:hAnsi="Arial" w:cs="Arial"/>
                <w:sz w:val="20"/>
                <w:lang w:val="es-MX" w:eastAsia="zh-CN"/>
              </w:rPr>
              <w:t xml:space="preserve">H, </w:t>
            </w:r>
            <w:r w:rsidRPr="00232B90">
              <w:rPr>
                <w:rFonts w:ascii="Arial" w:hAnsi="Arial" w:cs="Arial"/>
                <w:sz w:val="20"/>
                <w:lang w:val="es-CR"/>
              </w:rPr>
              <w:t>I</w:t>
            </w:r>
            <w:r>
              <w:rPr>
                <w:rFonts w:ascii="Arial" w:hAnsi="Arial" w:cs="Arial"/>
                <w:sz w:val="20"/>
                <w:lang w:val="es-CR"/>
              </w:rPr>
              <w:t>GFE del MH.</w:t>
            </w:r>
          </w:p>
        </w:tc>
        <w:tc>
          <w:tcPr>
            <w:tcW w:w="3890" w:type="dxa"/>
            <w:tcBorders>
              <w:top w:val="single" w:sz="4" w:space="0" w:color="000000"/>
              <w:left w:val="single" w:sz="4" w:space="0" w:color="000000"/>
              <w:bottom w:val="single" w:sz="4" w:space="0" w:color="000000"/>
              <w:right w:val="single" w:sz="4" w:space="0" w:color="000000"/>
            </w:tcBorders>
          </w:tcPr>
          <w:p w14:paraId="50726671" w14:textId="77777777" w:rsidR="005F227C" w:rsidRDefault="005F227C" w:rsidP="005F227C">
            <w:pPr>
              <w:spacing w:before="40" w:after="40"/>
              <w:rPr>
                <w:rFonts w:ascii="Arial" w:hAnsi="Arial" w:cs="Arial"/>
                <w:sz w:val="20"/>
                <w:lang w:val="es-CR"/>
              </w:rPr>
            </w:pPr>
            <w:r w:rsidRPr="00047A5B">
              <w:rPr>
                <w:rFonts w:ascii="Arial" w:hAnsi="Arial" w:cs="Arial"/>
                <w:sz w:val="20"/>
                <w:lang w:val="es-CR"/>
              </w:rPr>
              <w:t>Porcentaje del presupuesto asignado efectivamente ejecutado.</w:t>
            </w:r>
          </w:p>
          <w:p w14:paraId="607410A5" w14:textId="4FD0E86C" w:rsidR="005F227C" w:rsidRPr="00047A5B" w:rsidRDefault="005F227C" w:rsidP="005F227C">
            <w:pPr>
              <w:spacing w:before="40" w:after="40"/>
              <w:jc w:val="both"/>
              <w:rPr>
                <w:rFonts w:ascii="Arial" w:hAnsi="Arial" w:cs="Arial"/>
                <w:sz w:val="20"/>
                <w:lang w:val="es-CR" w:eastAsia="zh-CN"/>
              </w:rPr>
            </w:pPr>
            <w:r w:rsidRPr="00D642EE">
              <w:rPr>
                <w:rFonts w:ascii="Arial" w:hAnsi="Arial" w:cs="Arial"/>
                <w:sz w:val="20"/>
                <w:lang w:val="es-CR"/>
              </w:rPr>
              <w:t>Línea Base</w:t>
            </w:r>
            <w:r>
              <w:rPr>
                <w:rFonts w:ascii="Arial" w:hAnsi="Arial" w:cs="Arial"/>
                <w:sz w:val="20"/>
                <w:lang w:val="es-CR"/>
              </w:rPr>
              <w:t>:</w:t>
            </w:r>
            <w:r w:rsidRPr="00D642EE">
              <w:rPr>
                <w:rFonts w:ascii="Arial" w:hAnsi="Arial" w:cs="Arial"/>
                <w:sz w:val="20"/>
                <w:lang w:val="es-CR"/>
              </w:rPr>
              <w:t xml:space="preserve"> </w:t>
            </w:r>
            <w:r>
              <w:rPr>
                <w:rFonts w:ascii="Arial" w:hAnsi="Arial" w:cs="Arial"/>
                <w:sz w:val="20"/>
                <w:lang w:val="es-CR"/>
              </w:rPr>
              <w:t xml:space="preserve">Presupuesto ejecutado: </w:t>
            </w:r>
            <w:r w:rsidRPr="00D642EE">
              <w:rPr>
                <w:rFonts w:ascii="Arial" w:hAnsi="Arial" w:cs="Arial"/>
                <w:sz w:val="20"/>
                <w:lang w:val="es-CR"/>
              </w:rPr>
              <w:t>US$663</w:t>
            </w:r>
            <w:r>
              <w:rPr>
                <w:rFonts w:ascii="Arial" w:hAnsi="Arial" w:cs="Arial"/>
                <w:sz w:val="20"/>
                <w:lang w:val="es-CR"/>
              </w:rPr>
              <w:t>,</w:t>
            </w:r>
            <w:r w:rsidRPr="00D642EE">
              <w:rPr>
                <w:rFonts w:ascii="Arial" w:hAnsi="Arial" w:cs="Arial"/>
                <w:sz w:val="20"/>
                <w:lang w:val="es-CR"/>
              </w:rPr>
              <w:t>6 millones</w:t>
            </w:r>
            <w:r>
              <w:rPr>
                <w:rFonts w:ascii="Arial" w:hAnsi="Arial" w:cs="Arial"/>
                <w:sz w:val="20"/>
                <w:lang w:val="es-CR"/>
              </w:rPr>
              <w:t xml:space="preserve"> </w:t>
            </w:r>
            <w:r w:rsidRPr="00D642EE">
              <w:rPr>
                <w:rFonts w:ascii="Arial" w:hAnsi="Arial" w:cs="Arial"/>
                <w:sz w:val="20"/>
                <w:lang w:val="es-CR"/>
              </w:rPr>
              <w:t>/</w:t>
            </w:r>
            <w:r>
              <w:rPr>
                <w:rFonts w:ascii="Arial" w:hAnsi="Arial" w:cs="Arial"/>
                <w:sz w:val="20"/>
                <w:lang w:val="es-CR"/>
              </w:rPr>
              <w:t xml:space="preserve"> Presupuesto asignado: </w:t>
            </w:r>
            <w:r w:rsidRPr="00D642EE">
              <w:rPr>
                <w:rFonts w:ascii="Arial" w:hAnsi="Arial" w:cs="Arial"/>
                <w:sz w:val="20"/>
                <w:lang w:val="es-CR"/>
              </w:rPr>
              <w:t>US$681</w:t>
            </w:r>
            <w:r>
              <w:rPr>
                <w:rFonts w:ascii="Arial" w:hAnsi="Arial" w:cs="Arial"/>
                <w:sz w:val="20"/>
                <w:lang w:val="es-CR"/>
              </w:rPr>
              <w:t>,</w:t>
            </w:r>
            <w:r w:rsidRPr="00D642EE">
              <w:rPr>
                <w:rFonts w:ascii="Arial" w:hAnsi="Arial" w:cs="Arial"/>
                <w:sz w:val="20"/>
                <w:lang w:val="es-CR"/>
              </w:rPr>
              <w:t>7</w:t>
            </w:r>
            <w:r>
              <w:rPr>
                <w:rFonts w:ascii="Arial" w:hAnsi="Arial" w:cs="Arial"/>
                <w:sz w:val="20"/>
                <w:lang w:val="es-CR"/>
              </w:rPr>
              <w:t xml:space="preserve"> </w:t>
            </w:r>
            <w:r w:rsidRPr="00D642EE">
              <w:rPr>
                <w:rFonts w:ascii="Arial" w:hAnsi="Arial" w:cs="Arial"/>
                <w:sz w:val="20"/>
                <w:lang w:val="es-CR"/>
              </w:rPr>
              <w:t xml:space="preserve">millones. </w:t>
            </w:r>
            <w:r>
              <w:rPr>
                <w:rFonts w:ascii="Arial" w:hAnsi="Arial" w:cs="Arial"/>
                <w:sz w:val="20"/>
                <w:lang w:val="es-CR"/>
              </w:rPr>
              <w:t>(IGFE, marzo 2020).</w:t>
            </w:r>
          </w:p>
        </w:tc>
      </w:tr>
      <w:tr w:rsidR="00E5012F" w:rsidRPr="00047A5B" w14:paraId="0BE1345F" w14:textId="77777777" w:rsidTr="00E34630">
        <w:trPr>
          <w:trHeight w:val="64"/>
        </w:trPr>
        <w:tc>
          <w:tcPr>
            <w:tcW w:w="2335" w:type="dxa"/>
            <w:tcBorders>
              <w:top w:val="single" w:sz="4" w:space="0" w:color="000000"/>
              <w:left w:val="single" w:sz="4" w:space="0" w:color="000000"/>
              <w:bottom w:val="single" w:sz="4" w:space="0" w:color="000000"/>
              <w:right w:val="single" w:sz="4" w:space="0" w:color="000000"/>
            </w:tcBorders>
            <w:hideMark/>
          </w:tcPr>
          <w:p w14:paraId="66D01E9C" w14:textId="5739AEFF" w:rsidR="00E5012F" w:rsidRPr="004A6744" w:rsidRDefault="00E5012F" w:rsidP="00E5012F">
            <w:pPr>
              <w:pStyle w:val="ListParagraph"/>
              <w:spacing w:before="40" w:after="40"/>
              <w:ind w:left="0"/>
              <w:rPr>
                <w:rFonts w:ascii="Arial" w:hAnsi="Arial" w:cs="Arial"/>
                <w:sz w:val="20"/>
                <w:lang w:val="es-MX" w:eastAsia="zh-CN"/>
              </w:rPr>
            </w:pPr>
            <w:r w:rsidRPr="004A6744">
              <w:rPr>
                <w:rFonts w:ascii="Arial" w:hAnsi="Arial" w:cs="Arial"/>
                <w:sz w:val="20"/>
                <w:lang w:val="es-MX"/>
              </w:rPr>
              <w:t>Tiempo promedio de proceso de compra de insumos médicos</w:t>
            </w:r>
            <w:r>
              <w:rPr>
                <w:rFonts w:ascii="Arial" w:hAnsi="Arial" w:cs="Arial"/>
                <w:sz w:val="20"/>
                <w:lang w:val="es-MX"/>
              </w:rPr>
              <w:t>.</w:t>
            </w:r>
          </w:p>
        </w:tc>
        <w:tc>
          <w:tcPr>
            <w:tcW w:w="1350" w:type="dxa"/>
            <w:tcBorders>
              <w:top w:val="single" w:sz="4" w:space="0" w:color="000000"/>
              <w:left w:val="single" w:sz="4" w:space="0" w:color="000000"/>
              <w:bottom w:val="single" w:sz="4" w:space="0" w:color="000000"/>
              <w:right w:val="single" w:sz="4" w:space="0" w:color="000000"/>
            </w:tcBorders>
          </w:tcPr>
          <w:p w14:paraId="59333C9C" w14:textId="739DB592" w:rsidR="00E5012F" w:rsidRPr="004A6744" w:rsidRDefault="00E5012F" w:rsidP="00E5012F">
            <w:pPr>
              <w:spacing w:before="40" w:after="40"/>
              <w:jc w:val="center"/>
              <w:rPr>
                <w:rFonts w:ascii="Arial" w:hAnsi="Arial" w:cs="Arial"/>
                <w:sz w:val="20"/>
                <w:lang w:val="es-MX" w:eastAsia="zh-CN"/>
              </w:rPr>
            </w:pPr>
            <w:r w:rsidRPr="004A6744">
              <w:rPr>
                <w:rFonts w:ascii="Arial" w:hAnsi="Arial" w:cs="Arial"/>
                <w:sz w:val="20"/>
                <w:lang w:val="es-MX" w:eastAsia="zh-CN"/>
              </w:rPr>
              <w:t>Días calendario</w:t>
            </w:r>
          </w:p>
        </w:tc>
        <w:tc>
          <w:tcPr>
            <w:tcW w:w="920" w:type="dxa"/>
            <w:tcBorders>
              <w:top w:val="single" w:sz="4" w:space="0" w:color="000000"/>
              <w:left w:val="single" w:sz="4" w:space="0" w:color="000000"/>
              <w:bottom w:val="single" w:sz="4" w:space="0" w:color="000000"/>
              <w:right w:val="single" w:sz="4" w:space="0" w:color="000000"/>
            </w:tcBorders>
          </w:tcPr>
          <w:p w14:paraId="1DA902C4" w14:textId="606606B1" w:rsidR="00E5012F" w:rsidRPr="004A6744" w:rsidRDefault="00E5012F" w:rsidP="00E5012F">
            <w:pPr>
              <w:spacing w:before="40" w:after="40"/>
              <w:jc w:val="center"/>
              <w:rPr>
                <w:rFonts w:ascii="Arial" w:hAnsi="Arial" w:cs="Arial"/>
                <w:sz w:val="20"/>
                <w:lang w:val="es-MX" w:eastAsia="zh-CN"/>
              </w:rPr>
            </w:pPr>
            <w:r w:rsidRPr="004A6744">
              <w:rPr>
                <w:rFonts w:ascii="Arial" w:hAnsi="Arial" w:cs="Arial"/>
                <w:sz w:val="20"/>
                <w:lang w:val="es-MX" w:eastAsia="zh-CN"/>
              </w:rPr>
              <w:t>62</w:t>
            </w:r>
          </w:p>
        </w:tc>
        <w:tc>
          <w:tcPr>
            <w:tcW w:w="1170" w:type="dxa"/>
            <w:tcBorders>
              <w:top w:val="single" w:sz="4" w:space="0" w:color="000000"/>
              <w:left w:val="single" w:sz="4" w:space="0" w:color="000000"/>
              <w:bottom w:val="single" w:sz="4" w:space="0" w:color="000000"/>
              <w:right w:val="single" w:sz="4" w:space="0" w:color="000000"/>
            </w:tcBorders>
          </w:tcPr>
          <w:p w14:paraId="77DBE7BA" w14:textId="4EB85AC6" w:rsidR="00E5012F" w:rsidRPr="004A6744" w:rsidRDefault="00E5012F" w:rsidP="00E5012F">
            <w:pPr>
              <w:spacing w:before="40" w:after="40"/>
              <w:jc w:val="center"/>
              <w:rPr>
                <w:rFonts w:ascii="Arial" w:hAnsi="Arial" w:cs="Arial"/>
                <w:sz w:val="20"/>
                <w:lang w:val="es-MX" w:eastAsia="zh-CN"/>
              </w:rPr>
            </w:pPr>
            <w:r w:rsidRPr="004A6744">
              <w:rPr>
                <w:rFonts w:ascii="Arial" w:hAnsi="Arial" w:cs="Arial"/>
                <w:sz w:val="20"/>
                <w:lang w:val="es-MX"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4A55B232" w14:textId="58DEAE7D" w:rsidR="00E5012F" w:rsidRPr="004A6744" w:rsidRDefault="00E5012F" w:rsidP="00E5012F">
            <w:pPr>
              <w:spacing w:before="40" w:after="40"/>
              <w:jc w:val="center"/>
              <w:rPr>
                <w:rFonts w:ascii="Arial" w:hAnsi="Arial" w:cs="Arial"/>
                <w:sz w:val="20"/>
                <w:lang w:eastAsia="zh-CN"/>
              </w:rPr>
            </w:pPr>
            <w:r w:rsidRPr="004A6744">
              <w:rPr>
                <w:rFonts w:ascii="Arial" w:hAnsi="Arial" w:cs="Arial"/>
                <w:sz w:val="20"/>
                <w:lang w:eastAsia="zh-CN"/>
              </w:rPr>
              <w:t>5</w:t>
            </w:r>
          </w:p>
        </w:tc>
        <w:tc>
          <w:tcPr>
            <w:tcW w:w="2430" w:type="dxa"/>
            <w:tcBorders>
              <w:top w:val="single" w:sz="4" w:space="0" w:color="000000"/>
              <w:left w:val="single" w:sz="4" w:space="0" w:color="000000"/>
              <w:bottom w:val="single" w:sz="4" w:space="0" w:color="000000"/>
              <w:right w:val="single" w:sz="4" w:space="0" w:color="000000"/>
            </w:tcBorders>
          </w:tcPr>
          <w:p w14:paraId="54A20A18" w14:textId="243F5054" w:rsidR="00E5012F" w:rsidRPr="004A6744" w:rsidRDefault="00E5012F" w:rsidP="00E5012F">
            <w:pPr>
              <w:spacing w:before="40" w:after="40"/>
              <w:rPr>
                <w:rFonts w:ascii="Arial" w:hAnsi="Arial" w:cs="Arial"/>
                <w:sz w:val="20"/>
                <w:lang w:val="es-MX" w:eastAsia="zh-CN"/>
              </w:rPr>
            </w:pPr>
            <w:r w:rsidRPr="004A6744">
              <w:rPr>
                <w:rFonts w:ascii="Arial" w:hAnsi="Arial" w:cs="Arial"/>
                <w:sz w:val="20"/>
                <w:lang w:val="es-MX" w:eastAsia="zh-CN"/>
              </w:rPr>
              <w:t>Reporte del M</w:t>
            </w:r>
            <w:r>
              <w:rPr>
                <w:rFonts w:ascii="Arial" w:hAnsi="Arial" w:cs="Arial"/>
                <w:sz w:val="20"/>
                <w:lang w:val="es-MX" w:eastAsia="zh-CN"/>
              </w:rPr>
              <w:t xml:space="preserve">H y </w:t>
            </w:r>
            <w:r w:rsidRPr="004A6744">
              <w:rPr>
                <w:rFonts w:ascii="Arial" w:hAnsi="Arial" w:cs="Arial"/>
                <w:sz w:val="20"/>
                <w:lang w:val="es-MX" w:eastAsia="zh-CN"/>
              </w:rPr>
              <w:t>la UNAC</w:t>
            </w:r>
            <w:r>
              <w:rPr>
                <w:rFonts w:ascii="Arial" w:hAnsi="Arial" w:cs="Arial"/>
                <w:sz w:val="20"/>
                <w:lang w:val="es-MX" w:eastAsia="zh-CN"/>
              </w:rPr>
              <w:t>.</w:t>
            </w:r>
            <w:r w:rsidRPr="004A6744">
              <w:rPr>
                <w:rFonts w:ascii="Arial" w:hAnsi="Arial" w:cs="Arial"/>
                <w:sz w:val="20"/>
                <w:lang w:val="es-MX" w:eastAsia="zh-CN"/>
              </w:rPr>
              <w:t xml:space="preserve"> </w:t>
            </w:r>
          </w:p>
        </w:tc>
        <w:tc>
          <w:tcPr>
            <w:tcW w:w="3890" w:type="dxa"/>
            <w:tcBorders>
              <w:top w:val="single" w:sz="4" w:space="0" w:color="000000"/>
              <w:left w:val="single" w:sz="4" w:space="0" w:color="000000"/>
              <w:bottom w:val="single" w:sz="4" w:space="0" w:color="000000"/>
              <w:right w:val="single" w:sz="4" w:space="0" w:color="000000"/>
            </w:tcBorders>
          </w:tcPr>
          <w:p w14:paraId="1D95B68B" w14:textId="77777777" w:rsidR="00E5012F" w:rsidRPr="00047A5B" w:rsidRDefault="00E5012F" w:rsidP="00E5012F">
            <w:pPr>
              <w:spacing w:before="40" w:after="40"/>
              <w:jc w:val="both"/>
              <w:rPr>
                <w:rFonts w:ascii="Arial" w:hAnsi="Arial" w:cs="Arial"/>
                <w:sz w:val="20"/>
                <w:lang w:val="es-MX" w:eastAsia="zh-CN"/>
              </w:rPr>
            </w:pPr>
            <w:r w:rsidRPr="005B779C">
              <w:rPr>
                <w:rFonts w:ascii="Arial" w:hAnsi="Arial" w:cs="Arial"/>
                <w:sz w:val="20"/>
                <w:lang w:val="es-MX" w:eastAsia="zh-CN"/>
              </w:rPr>
              <w:t>Línea base 2019: UNAC estimó en relación con los tiempos promedios con base a datos registrados de ejecución (no reglamentarios) de procesos relacionados con insumos médicos</w:t>
            </w:r>
            <w:r>
              <w:rPr>
                <w:rFonts w:ascii="Arial" w:hAnsi="Arial" w:cs="Arial"/>
                <w:sz w:val="20"/>
                <w:lang w:val="es-MX" w:eastAsia="zh-CN"/>
              </w:rPr>
              <w:t xml:space="preserve">. </w:t>
            </w:r>
            <w:r w:rsidRPr="005B779C">
              <w:rPr>
                <w:rFonts w:ascii="Arial" w:hAnsi="Arial" w:cs="Arial"/>
                <w:sz w:val="20"/>
                <w:lang w:val="es-MX" w:eastAsia="zh-CN"/>
              </w:rPr>
              <w:t xml:space="preserve"> (Libre Gestión, Contratación Directa, Licitaciones Públicas y Abiertas) ejecutados durante 2019</w:t>
            </w:r>
            <w:r w:rsidRPr="00047A5B">
              <w:rPr>
                <w:rFonts w:ascii="Arial" w:hAnsi="Arial" w:cs="Arial"/>
                <w:sz w:val="20"/>
                <w:lang w:val="es-MX" w:eastAsia="zh-CN"/>
              </w:rPr>
              <w:t xml:space="preserve">. </w:t>
            </w:r>
          </w:p>
          <w:p w14:paraId="1388B8DB" w14:textId="77777777" w:rsidR="00E5012F" w:rsidRDefault="00E5012F" w:rsidP="00E5012F">
            <w:pPr>
              <w:spacing w:before="40" w:after="40"/>
              <w:jc w:val="both"/>
              <w:rPr>
                <w:rFonts w:ascii="Arial" w:hAnsi="Arial" w:cs="Arial"/>
                <w:sz w:val="20"/>
                <w:lang w:val="es-MX" w:eastAsia="zh-CN"/>
              </w:rPr>
            </w:pPr>
            <w:r w:rsidRPr="00047A5B">
              <w:rPr>
                <w:rFonts w:ascii="Arial" w:hAnsi="Arial" w:cs="Arial"/>
                <w:sz w:val="20"/>
                <w:lang w:val="es-MX" w:eastAsia="zh-CN"/>
              </w:rPr>
              <w:t>Para las compras de emergencia COVID</w:t>
            </w:r>
            <w:r>
              <w:rPr>
                <w:rFonts w:ascii="Arial" w:hAnsi="Arial" w:cs="Arial"/>
                <w:sz w:val="20"/>
                <w:lang w:val="es-MX" w:eastAsia="zh-CN"/>
              </w:rPr>
              <w:noBreakHyphen/>
            </w:r>
            <w:r w:rsidRPr="00047A5B">
              <w:rPr>
                <w:rFonts w:ascii="Arial" w:hAnsi="Arial" w:cs="Arial"/>
                <w:sz w:val="20"/>
                <w:lang w:val="es-MX" w:eastAsia="zh-CN"/>
              </w:rPr>
              <w:t xml:space="preserve">19 </w:t>
            </w:r>
            <w:r>
              <w:rPr>
                <w:rFonts w:ascii="Arial" w:hAnsi="Arial" w:cs="Arial"/>
                <w:sz w:val="20"/>
                <w:lang w:val="es-MX" w:eastAsia="zh-CN"/>
              </w:rPr>
              <w:t xml:space="preserve">se aplican procedimientos simplificados. </w:t>
            </w:r>
            <w:r w:rsidRPr="00047A5B">
              <w:rPr>
                <w:rFonts w:ascii="Arial" w:hAnsi="Arial" w:cs="Arial"/>
                <w:sz w:val="20"/>
                <w:lang w:val="es-MX" w:eastAsia="zh-CN"/>
              </w:rPr>
              <w:t xml:space="preserve">no se aplican los procesos anteriores, en los lineamientos específicos para comprar en esta </w:t>
            </w:r>
            <w:r w:rsidRPr="00047A5B">
              <w:rPr>
                <w:rFonts w:ascii="Arial" w:hAnsi="Arial" w:cs="Arial"/>
                <w:sz w:val="20"/>
                <w:lang w:val="es-MX" w:eastAsia="zh-CN"/>
              </w:rPr>
              <w:lastRenderedPageBreak/>
              <w:t xml:space="preserve">emergencia, se estableció un procedimiento diferente a las formas de contratación normalmente utilizadas, sin haber regulado plazos mínimos, es abierto y expedito, el tiempo de ejecución dependerá de la gestión institucional y las condiciones del mercado nacional e internacional. </w:t>
            </w:r>
          </w:p>
          <w:p w14:paraId="25ECE385" w14:textId="7F287289" w:rsidR="00E5012F" w:rsidRPr="00047A5B" w:rsidRDefault="00E5012F" w:rsidP="00E5012F">
            <w:pPr>
              <w:spacing w:before="40" w:after="40"/>
              <w:jc w:val="both"/>
              <w:rPr>
                <w:rFonts w:ascii="Arial" w:hAnsi="Arial" w:cs="Arial"/>
                <w:sz w:val="20"/>
                <w:lang w:val="es-MX" w:eastAsia="zh-CN"/>
              </w:rPr>
            </w:pPr>
            <w:r w:rsidRPr="005B779C">
              <w:rPr>
                <w:rFonts w:ascii="Arial" w:hAnsi="Arial" w:cs="Arial"/>
                <w:sz w:val="20"/>
              </w:rPr>
              <w:t xml:space="preserve">Para el cálculo de la meta del indicador se considerarán solo insumos médicos adquiridos en el marco de la emergencia sanitaria por el Nuevo Coronavirus 2019, decretada por </w:t>
            </w:r>
            <w:hyperlink r:id="rId17" w:history="1">
              <w:r w:rsidRPr="005B779C">
                <w:rPr>
                  <w:rStyle w:val="Hyperlink"/>
                  <w:rFonts w:ascii="Arial" w:hAnsi="Arial" w:cs="Arial"/>
                  <w:sz w:val="20"/>
                </w:rPr>
                <w:t>Acuerdo Ministerial No.</w:t>
              </w:r>
              <w:r>
                <w:rPr>
                  <w:rStyle w:val="Hyperlink"/>
                  <w:rFonts w:ascii="Arial" w:hAnsi="Arial" w:cs="Arial"/>
                  <w:sz w:val="20"/>
                </w:rPr>
                <w:t> </w:t>
              </w:r>
              <w:r w:rsidRPr="005B779C">
                <w:rPr>
                  <w:rStyle w:val="Hyperlink"/>
                  <w:rFonts w:ascii="Arial" w:hAnsi="Arial" w:cs="Arial"/>
                  <w:sz w:val="20"/>
                </w:rPr>
                <w:t>301</w:t>
              </w:r>
            </w:hyperlink>
            <w:r w:rsidRPr="005B779C">
              <w:rPr>
                <w:rFonts w:ascii="Arial" w:hAnsi="Arial" w:cs="Arial"/>
                <w:sz w:val="20"/>
              </w:rPr>
              <w:t xml:space="preserve"> de fecha 23 de enero de 2020</w:t>
            </w:r>
            <w:r>
              <w:rPr>
                <w:rFonts w:ascii="Arial" w:hAnsi="Arial" w:cs="Arial"/>
                <w:sz w:val="20"/>
              </w:rPr>
              <w:t>.</w:t>
            </w:r>
          </w:p>
        </w:tc>
      </w:tr>
      <w:tr w:rsidR="00F6470F" w:rsidRPr="008C4837" w14:paraId="548C1B06" w14:textId="77777777" w:rsidTr="00E34630">
        <w:trPr>
          <w:trHeight w:val="368"/>
        </w:trPr>
        <w:tc>
          <w:tcPr>
            <w:tcW w:w="13335" w:type="dxa"/>
            <w:gridSpan w:val="7"/>
            <w:tcBorders>
              <w:top w:val="single" w:sz="4" w:space="0" w:color="FFFFFF" w:themeColor="background1"/>
              <w:left w:val="single" w:sz="4" w:space="0" w:color="000000"/>
              <w:bottom w:val="single" w:sz="4" w:space="0" w:color="000000"/>
              <w:right w:val="single" w:sz="4" w:space="0" w:color="000000"/>
            </w:tcBorders>
            <w:vAlign w:val="center"/>
            <w:hideMark/>
          </w:tcPr>
          <w:p w14:paraId="59A2C5D3" w14:textId="77777777" w:rsidR="00F6470F" w:rsidRPr="008C4837" w:rsidRDefault="00F6470F" w:rsidP="00E34630">
            <w:pPr>
              <w:spacing w:before="60" w:after="60"/>
              <w:ind w:left="2674" w:hanging="2700"/>
              <w:jc w:val="both"/>
              <w:rPr>
                <w:rFonts w:ascii="Arial" w:hAnsi="Arial" w:cs="Arial"/>
                <w:sz w:val="20"/>
                <w:u w:val="single"/>
                <w:lang w:val="es-MX" w:eastAsia="zh-CN"/>
              </w:rPr>
            </w:pPr>
            <w:r w:rsidRPr="008C4837">
              <w:rPr>
                <w:rFonts w:ascii="Arial" w:hAnsi="Arial" w:cs="Arial"/>
                <w:b/>
                <w:caps/>
                <w:sz w:val="20"/>
                <w:u w:val="single"/>
                <w:lang w:val="es-MX" w:eastAsia="zh-CN"/>
              </w:rPr>
              <w:lastRenderedPageBreak/>
              <w:t>Objetivo ESPECÍFICO #2</w:t>
            </w:r>
            <w:r w:rsidRPr="008C4837">
              <w:rPr>
                <w:rFonts w:ascii="Arial" w:hAnsi="Arial" w:cs="Arial"/>
                <w:b/>
                <w:caps/>
                <w:sz w:val="20"/>
                <w:lang w:val="es-MX" w:eastAsia="zh-CN"/>
              </w:rPr>
              <w:t>:</w:t>
            </w:r>
            <w:r w:rsidRPr="008C4837">
              <w:rPr>
                <w:rFonts w:ascii="Arial" w:eastAsia="Arial" w:hAnsi="Arial" w:cs="Arial"/>
                <w:bCs/>
                <w:sz w:val="20"/>
                <w:lang w:val="es-MX"/>
              </w:rPr>
              <w:t xml:space="preserve"> </w:t>
            </w:r>
            <w:r w:rsidRPr="008C4837">
              <w:rPr>
                <w:rFonts w:ascii="Arial" w:hAnsi="Arial" w:cs="Arial"/>
                <w:bCs/>
                <w:sz w:val="20"/>
                <w:lang w:val="es-MX"/>
              </w:rPr>
              <w:t xml:space="preserve">Fortalecer </w:t>
            </w:r>
            <w:r w:rsidRPr="00282CC9">
              <w:rPr>
                <w:rFonts w:ascii="Arial" w:hAnsi="Arial" w:cs="Arial"/>
                <w:sz w:val="20"/>
              </w:rPr>
              <w:t xml:space="preserve">el efecto anticíclico de la política </w:t>
            </w:r>
            <w:r>
              <w:rPr>
                <w:rFonts w:ascii="Arial" w:hAnsi="Arial" w:cs="Arial"/>
                <w:sz w:val="20"/>
              </w:rPr>
              <w:t xml:space="preserve">pública y gestión </w:t>
            </w:r>
            <w:r w:rsidRPr="00282CC9">
              <w:rPr>
                <w:rFonts w:ascii="Arial" w:hAnsi="Arial" w:cs="Arial"/>
                <w:sz w:val="20"/>
              </w:rPr>
              <w:t>fiscal a través de la introducción temporal de medidas para la protección del ingreso de los hogares vulnerables y para el incremento de la liquidez de las firmas durante la crisis sanitaria y económica</w:t>
            </w:r>
            <w:r w:rsidRPr="008C4837">
              <w:rPr>
                <w:rFonts w:ascii="Arial" w:hAnsi="Arial" w:cs="Arial"/>
                <w:sz w:val="20"/>
              </w:rPr>
              <w:t>.</w:t>
            </w:r>
          </w:p>
        </w:tc>
      </w:tr>
      <w:tr w:rsidR="00E86034" w:rsidRPr="00047A5B" w14:paraId="2318C819" w14:textId="77777777" w:rsidTr="00E34630">
        <w:trPr>
          <w:trHeight w:val="64"/>
        </w:trPr>
        <w:tc>
          <w:tcPr>
            <w:tcW w:w="2335" w:type="dxa"/>
            <w:tcBorders>
              <w:top w:val="single" w:sz="4" w:space="0" w:color="000000"/>
              <w:left w:val="single" w:sz="4" w:space="0" w:color="000000"/>
              <w:bottom w:val="single" w:sz="4" w:space="0" w:color="000000"/>
              <w:right w:val="single" w:sz="4" w:space="0" w:color="000000"/>
            </w:tcBorders>
            <w:hideMark/>
          </w:tcPr>
          <w:p w14:paraId="1DF59A2F" w14:textId="2FDF1A87" w:rsidR="00E86034" w:rsidRPr="00047A5B" w:rsidRDefault="00E86034" w:rsidP="00E86034">
            <w:pPr>
              <w:pStyle w:val="ListParagraph"/>
              <w:spacing w:before="40" w:after="40"/>
              <w:ind w:left="0"/>
              <w:rPr>
                <w:rFonts w:ascii="Arial" w:hAnsi="Arial" w:cs="Arial"/>
                <w:sz w:val="20"/>
                <w:lang w:val="es-MX" w:eastAsia="zh-CN"/>
              </w:rPr>
            </w:pPr>
            <w:r w:rsidRPr="00047A5B">
              <w:rPr>
                <w:rFonts w:ascii="Arial" w:hAnsi="Arial" w:cs="Arial"/>
                <w:sz w:val="20"/>
                <w:lang w:val="es-MX" w:eastAsia="zh-CN"/>
              </w:rPr>
              <w:t>Hogares beneficiados por programas temporales de transferencias directas relacionados con la crisis sanitaria</w:t>
            </w:r>
            <w:r>
              <w:rPr>
                <w:rFonts w:ascii="Arial" w:hAnsi="Arial" w:cs="Arial"/>
                <w:sz w:val="20"/>
                <w:lang w:val="es-MX" w:eastAsia="zh-CN"/>
              </w:rPr>
              <w:t>.</w:t>
            </w:r>
          </w:p>
        </w:tc>
        <w:tc>
          <w:tcPr>
            <w:tcW w:w="1350" w:type="dxa"/>
            <w:tcBorders>
              <w:top w:val="single" w:sz="4" w:space="0" w:color="000000"/>
              <w:left w:val="single" w:sz="4" w:space="0" w:color="000000"/>
              <w:bottom w:val="single" w:sz="4" w:space="0" w:color="000000"/>
              <w:right w:val="single" w:sz="4" w:space="0" w:color="000000"/>
            </w:tcBorders>
          </w:tcPr>
          <w:p w14:paraId="7228D137" w14:textId="0FA85360" w:rsidR="00E86034" w:rsidRPr="00047A5B" w:rsidRDefault="00E86034" w:rsidP="00E86034">
            <w:pPr>
              <w:spacing w:before="40" w:after="40"/>
              <w:jc w:val="center"/>
              <w:rPr>
                <w:rFonts w:ascii="Arial" w:hAnsi="Arial" w:cs="Arial"/>
                <w:sz w:val="20"/>
                <w:lang w:val="es-MX" w:eastAsia="zh-CN"/>
              </w:rPr>
            </w:pPr>
            <w:r w:rsidRPr="00047A5B">
              <w:rPr>
                <w:rFonts w:ascii="Arial" w:hAnsi="Arial" w:cs="Arial"/>
                <w:sz w:val="20"/>
                <w:lang w:val="es-MX" w:eastAsia="zh-CN"/>
              </w:rPr>
              <w:t>Porcentaje</w:t>
            </w:r>
          </w:p>
        </w:tc>
        <w:tc>
          <w:tcPr>
            <w:tcW w:w="920" w:type="dxa"/>
            <w:tcBorders>
              <w:top w:val="single" w:sz="4" w:space="0" w:color="000000"/>
              <w:left w:val="single" w:sz="4" w:space="0" w:color="000000"/>
              <w:bottom w:val="single" w:sz="4" w:space="0" w:color="000000"/>
              <w:right w:val="single" w:sz="4" w:space="0" w:color="000000"/>
            </w:tcBorders>
          </w:tcPr>
          <w:p w14:paraId="22EF2A83" w14:textId="763B1C26" w:rsidR="00E86034" w:rsidRPr="00047A5B" w:rsidRDefault="00E86034" w:rsidP="00E86034">
            <w:pPr>
              <w:spacing w:before="40" w:after="40"/>
              <w:jc w:val="center"/>
              <w:rPr>
                <w:rFonts w:ascii="Arial" w:hAnsi="Arial" w:cs="Arial"/>
                <w:sz w:val="20"/>
                <w:lang w:val="es-MX" w:eastAsia="zh-CN"/>
              </w:rPr>
            </w:pPr>
            <w:r w:rsidRPr="00047A5B">
              <w:rPr>
                <w:rFonts w:ascii="Arial" w:hAnsi="Arial" w:cs="Arial"/>
                <w:sz w:val="20"/>
                <w:lang w:val="es-MX" w:eastAsia="zh-CN"/>
              </w:rPr>
              <w:t>0</w:t>
            </w:r>
          </w:p>
        </w:tc>
        <w:tc>
          <w:tcPr>
            <w:tcW w:w="1170" w:type="dxa"/>
            <w:tcBorders>
              <w:top w:val="single" w:sz="4" w:space="0" w:color="000000"/>
              <w:left w:val="single" w:sz="4" w:space="0" w:color="000000"/>
              <w:bottom w:val="single" w:sz="4" w:space="0" w:color="000000"/>
              <w:right w:val="single" w:sz="4" w:space="0" w:color="000000"/>
            </w:tcBorders>
          </w:tcPr>
          <w:p w14:paraId="4C3E9D0F" w14:textId="132226DC" w:rsidR="00E86034" w:rsidRPr="00047A5B" w:rsidRDefault="00E86034" w:rsidP="00E86034">
            <w:pPr>
              <w:spacing w:before="40" w:after="40"/>
              <w:jc w:val="center"/>
              <w:rPr>
                <w:rFonts w:ascii="Arial" w:hAnsi="Arial" w:cs="Arial"/>
                <w:sz w:val="20"/>
                <w:lang w:val="es-MX" w:eastAsia="zh-CN"/>
              </w:rPr>
            </w:pPr>
            <w:r w:rsidRPr="00047A5B">
              <w:rPr>
                <w:rFonts w:ascii="Arial" w:hAnsi="Arial" w:cs="Arial"/>
                <w:sz w:val="20"/>
                <w:lang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191C2E81" w14:textId="581E2DC9" w:rsidR="00E86034" w:rsidRPr="00047A5B" w:rsidRDefault="00E86034" w:rsidP="00E86034">
            <w:pPr>
              <w:spacing w:before="40" w:after="40"/>
              <w:jc w:val="center"/>
              <w:rPr>
                <w:rFonts w:ascii="Arial" w:hAnsi="Arial" w:cs="Arial"/>
                <w:sz w:val="20"/>
                <w:lang w:val="es-MX" w:eastAsia="zh-CN"/>
              </w:rPr>
            </w:pPr>
            <w:r w:rsidRPr="00047A5B">
              <w:rPr>
                <w:rFonts w:ascii="Arial" w:hAnsi="Arial" w:cs="Arial"/>
                <w:sz w:val="20"/>
                <w:lang w:eastAsia="zh-CN"/>
              </w:rPr>
              <w:t>75%</w:t>
            </w:r>
          </w:p>
        </w:tc>
        <w:tc>
          <w:tcPr>
            <w:tcW w:w="2430" w:type="dxa"/>
            <w:tcBorders>
              <w:top w:val="single" w:sz="4" w:space="0" w:color="000000"/>
              <w:left w:val="single" w:sz="4" w:space="0" w:color="000000"/>
              <w:bottom w:val="single" w:sz="4" w:space="0" w:color="000000"/>
              <w:right w:val="single" w:sz="4" w:space="0" w:color="000000"/>
            </w:tcBorders>
          </w:tcPr>
          <w:p w14:paraId="6930CD79" w14:textId="66AEFDA2" w:rsidR="00E86034" w:rsidRPr="00047A5B" w:rsidRDefault="00E86034" w:rsidP="00E86034">
            <w:pPr>
              <w:spacing w:before="40" w:after="40"/>
              <w:rPr>
                <w:rFonts w:ascii="Arial" w:hAnsi="Arial" w:cs="Arial"/>
                <w:sz w:val="20"/>
                <w:lang w:val="es-MX" w:eastAsia="zh-CN"/>
              </w:rPr>
            </w:pPr>
            <w:r w:rsidRPr="00047A5B">
              <w:rPr>
                <w:rFonts w:ascii="Arial" w:hAnsi="Arial" w:cs="Arial"/>
                <w:sz w:val="20"/>
                <w:lang w:val="es-MX" w:eastAsia="zh-CN"/>
              </w:rPr>
              <w:t xml:space="preserve">Registros </w:t>
            </w:r>
            <w:r>
              <w:rPr>
                <w:rFonts w:ascii="Arial" w:hAnsi="Arial" w:cs="Arial"/>
                <w:sz w:val="20"/>
                <w:lang w:val="es-MX" w:eastAsia="zh-CN"/>
              </w:rPr>
              <w:t>a</w:t>
            </w:r>
            <w:r w:rsidRPr="00047A5B">
              <w:rPr>
                <w:rFonts w:ascii="Arial" w:hAnsi="Arial" w:cs="Arial"/>
                <w:sz w:val="20"/>
                <w:lang w:val="es-MX" w:eastAsia="zh-CN"/>
              </w:rPr>
              <w:t>dministrativos de</w:t>
            </w:r>
            <w:r>
              <w:rPr>
                <w:rFonts w:ascii="Arial" w:hAnsi="Arial" w:cs="Arial"/>
                <w:sz w:val="20"/>
                <w:lang w:val="es-MX" w:eastAsia="zh-CN"/>
              </w:rPr>
              <w:t>l MH.</w:t>
            </w:r>
            <w:r w:rsidRPr="00047A5B">
              <w:rPr>
                <w:rFonts w:ascii="Arial" w:hAnsi="Arial" w:cs="Arial"/>
                <w:sz w:val="20"/>
                <w:lang w:val="es-MX" w:eastAsia="zh-CN"/>
              </w:rPr>
              <w:t xml:space="preserve"> </w:t>
            </w:r>
          </w:p>
        </w:tc>
        <w:tc>
          <w:tcPr>
            <w:tcW w:w="3890" w:type="dxa"/>
            <w:tcBorders>
              <w:top w:val="single" w:sz="4" w:space="0" w:color="000000"/>
              <w:left w:val="single" w:sz="4" w:space="0" w:color="000000"/>
              <w:bottom w:val="single" w:sz="4" w:space="0" w:color="000000"/>
              <w:right w:val="single" w:sz="4" w:space="0" w:color="000000"/>
            </w:tcBorders>
          </w:tcPr>
          <w:p w14:paraId="10478728" w14:textId="0F0A2C09" w:rsidR="00E86034" w:rsidRPr="00047A5B" w:rsidRDefault="00E86034" w:rsidP="00E86034">
            <w:pPr>
              <w:spacing w:before="40" w:after="40"/>
              <w:jc w:val="both"/>
              <w:rPr>
                <w:rFonts w:ascii="Arial" w:hAnsi="Arial" w:cs="Arial"/>
                <w:sz w:val="20"/>
                <w:lang w:val="es-MX" w:eastAsia="zh-CN"/>
              </w:rPr>
            </w:pPr>
            <w:r>
              <w:rPr>
                <w:rFonts w:ascii="Arial" w:hAnsi="Arial" w:cs="Arial"/>
                <w:sz w:val="20"/>
                <w:lang w:val="es-MX" w:eastAsia="zh-CN"/>
              </w:rPr>
              <w:t>Los hogares beneficiados se identificaron primordialmente vía registro de beneficiarios del subsidio al gas, el cual a su vez se construyó en base al censo vigente. Se incluyó un mecanismo de reclamo para los no incluidos que se consideren elegibles.</w:t>
            </w:r>
          </w:p>
        </w:tc>
      </w:tr>
      <w:tr w:rsidR="00E215F3" w:rsidRPr="00047A5B" w14:paraId="697A2CC2" w14:textId="77777777" w:rsidTr="00E34630">
        <w:trPr>
          <w:trHeight w:val="926"/>
        </w:trPr>
        <w:tc>
          <w:tcPr>
            <w:tcW w:w="2335" w:type="dxa"/>
            <w:tcBorders>
              <w:top w:val="single" w:sz="4" w:space="0" w:color="000000"/>
              <w:left w:val="single" w:sz="4" w:space="0" w:color="000000"/>
              <w:bottom w:val="single" w:sz="4" w:space="0" w:color="000000"/>
              <w:right w:val="single" w:sz="4" w:space="0" w:color="000000"/>
            </w:tcBorders>
          </w:tcPr>
          <w:p w14:paraId="08C13443" w14:textId="229448A7" w:rsidR="00E215F3" w:rsidRPr="00047A5B" w:rsidRDefault="00E215F3" w:rsidP="00E215F3">
            <w:pPr>
              <w:pStyle w:val="ListParagraph"/>
              <w:spacing w:before="40" w:after="40"/>
              <w:ind w:left="0"/>
              <w:rPr>
                <w:rFonts w:ascii="Arial" w:hAnsi="Arial" w:cs="Arial"/>
                <w:sz w:val="20"/>
                <w:lang w:val="es-MX" w:eastAsia="zh-CN"/>
              </w:rPr>
            </w:pPr>
            <w:r w:rsidRPr="00047A5B">
              <w:rPr>
                <w:rFonts w:ascii="Arial" w:hAnsi="Arial" w:cs="Arial"/>
                <w:sz w:val="20"/>
                <w:lang w:val="es-CR"/>
              </w:rPr>
              <w:t>Trabajadores</w:t>
            </w:r>
            <w:r>
              <w:rPr>
                <w:rFonts w:ascii="Arial" w:hAnsi="Arial" w:cs="Arial"/>
                <w:sz w:val="20"/>
                <w:lang w:val="es-CR"/>
              </w:rPr>
              <w:t xml:space="preserve"> </w:t>
            </w:r>
            <w:r w:rsidRPr="00047A5B">
              <w:rPr>
                <w:rFonts w:ascii="Arial" w:hAnsi="Arial" w:cs="Arial"/>
                <w:sz w:val="20"/>
                <w:lang w:val="es-CR"/>
              </w:rPr>
              <w:t xml:space="preserve">del estado beneficiados por </w:t>
            </w:r>
            <w:r w:rsidRPr="00047A5B">
              <w:rPr>
                <w:rFonts w:ascii="Arial" w:hAnsi="Arial" w:cs="Arial"/>
                <w:sz w:val="20"/>
                <w:lang w:val="es-419"/>
              </w:rPr>
              <w:t>bonificaciones</w:t>
            </w:r>
            <w:r w:rsidRPr="00047A5B">
              <w:rPr>
                <w:rFonts w:ascii="Arial" w:hAnsi="Arial" w:cs="Arial"/>
                <w:sz w:val="20"/>
                <w:lang w:val="es-CR"/>
              </w:rPr>
              <w:t xml:space="preserve"> temporales</w:t>
            </w:r>
            <w:r>
              <w:rPr>
                <w:rFonts w:ascii="Arial" w:hAnsi="Arial" w:cs="Arial"/>
                <w:sz w:val="20"/>
                <w:lang w:val="es-CR"/>
              </w:rPr>
              <w:t xml:space="preserve"> por tener funciones esenciales.</w:t>
            </w:r>
          </w:p>
        </w:tc>
        <w:tc>
          <w:tcPr>
            <w:tcW w:w="1350" w:type="dxa"/>
            <w:tcBorders>
              <w:top w:val="single" w:sz="4" w:space="0" w:color="000000"/>
              <w:left w:val="single" w:sz="4" w:space="0" w:color="000000"/>
              <w:bottom w:val="single" w:sz="4" w:space="0" w:color="000000"/>
              <w:right w:val="single" w:sz="4" w:space="0" w:color="000000"/>
            </w:tcBorders>
          </w:tcPr>
          <w:p w14:paraId="76FEA542" w14:textId="6D1387C7" w:rsidR="00E215F3" w:rsidRPr="00047A5B" w:rsidRDefault="00E215F3" w:rsidP="00E215F3">
            <w:pPr>
              <w:spacing w:before="40" w:after="40"/>
              <w:jc w:val="center"/>
              <w:rPr>
                <w:rFonts w:ascii="Arial" w:hAnsi="Arial" w:cs="Arial"/>
                <w:sz w:val="20"/>
                <w:lang w:val="es-MX" w:eastAsia="zh-CN"/>
              </w:rPr>
            </w:pPr>
            <w:r w:rsidRPr="00047A5B">
              <w:rPr>
                <w:rFonts w:ascii="Arial" w:hAnsi="Arial" w:cs="Arial"/>
                <w:sz w:val="20"/>
                <w:lang w:val="es-MX" w:eastAsia="zh-CN"/>
              </w:rPr>
              <w:t>Porcentaje</w:t>
            </w:r>
          </w:p>
        </w:tc>
        <w:tc>
          <w:tcPr>
            <w:tcW w:w="920" w:type="dxa"/>
            <w:tcBorders>
              <w:top w:val="single" w:sz="4" w:space="0" w:color="000000"/>
              <w:left w:val="single" w:sz="4" w:space="0" w:color="000000"/>
              <w:bottom w:val="single" w:sz="4" w:space="0" w:color="000000"/>
              <w:right w:val="single" w:sz="4" w:space="0" w:color="000000"/>
            </w:tcBorders>
          </w:tcPr>
          <w:p w14:paraId="2216DAA7" w14:textId="1AF7389D" w:rsidR="00E215F3" w:rsidRPr="00047A5B" w:rsidRDefault="00E215F3" w:rsidP="00E215F3">
            <w:pPr>
              <w:spacing w:before="40" w:after="40"/>
              <w:jc w:val="center"/>
              <w:rPr>
                <w:rFonts w:ascii="Arial" w:hAnsi="Arial" w:cs="Arial"/>
                <w:sz w:val="20"/>
                <w:lang w:val="es-MX" w:eastAsia="zh-CN"/>
              </w:rPr>
            </w:pPr>
            <w:r w:rsidRPr="00047A5B">
              <w:rPr>
                <w:rFonts w:ascii="Arial" w:hAnsi="Arial" w:cs="Arial"/>
                <w:sz w:val="20"/>
                <w:lang w:val="es-MX" w:eastAsia="zh-CN"/>
              </w:rPr>
              <w:t>0</w:t>
            </w:r>
          </w:p>
        </w:tc>
        <w:tc>
          <w:tcPr>
            <w:tcW w:w="1170" w:type="dxa"/>
            <w:tcBorders>
              <w:top w:val="single" w:sz="4" w:space="0" w:color="000000"/>
              <w:left w:val="single" w:sz="4" w:space="0" w:color="000000"/>
              <w:bottom w:val="single" w:sz="4" w:space="0" w:color="000000"/>
              <w:right w:val="single" w:sz="4" w:space="0" w:color="000000"/>
            </w:tcBorders>
          </w:tcPr>
          <w:p w14:paraId="61CEEDF1" w14:textId="51978EE8" w:rsidR="00E215F3" w:rsidRPr="00047A5B" w:rsidRDefault="00E215F3" w:rsidP="00E215F3">
            <w:pPr>
              <w:spacing w:before="40" w:after="40"/>
              <w:jc w:val="center"/>
              <w:rPr>
                <w:rFonts w:ascii="Arial" w:hAnsi="Arial" w:cs="Arial"/>
                <w:sz w:val="20"/>
                <w:lang w:eastAsia="zh-CN"/>
              </w:rPr>
            </w:pPr>
            <w:r w:rsidRPr="00047A5B">
              <w:rPr>
                <w:rFonts w:ascii="Arial" w:hAnsi="Arial" w:cs="Arial"/>
                <w:sz w:val="20"/>
                <w:lang w:val="es-CR"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5A8B1602" w14:textId="730536AA" w:rsidR="00E215F3" w:rsidRPr="00047A5B" w:rsidRDefault="00E215F3" w:rsidP="00E215F3">
            <w:pPr>
              <w:spacing w:before="40" w:after="40"/>
              <w:jc w:val="center"/>
              <w:rPr>
                <w:rFonts w:ascii="Arial" w:hAnsi="Arial" w:cs="Arial"/>
                <w:sz w:val="20"/>
                <w:lang w:val="es-SV" w:eastAsia="zh-CN"/>
              </w:rPr>
            </w:pPr>
            <w:r w:rsidRPr="00047A5B">
              <w:rPr>
                <w:rFonts w:ascii="Arial" w:hAnsi="Arial" w:cs="Arial"/>
                <w:sz w:val="20"/>
                <w:lang w:val="es-CR" w:eastAsia="zh-CN"/>
              </w:rPr>
              <w:t xml:space="preserve">10% </w:t>
            </w:r>
          </w:p>
        </w:tc>
        <w:tc>
          <w:tcPr>
            <w:tcW w:w="2430" w:type="dxa"/>
            <w:tcBorders>
              <w:top w:val="single" w:sz="4" w:space="0" w:color="000000"/>
              <w:left w:val="single" w:sz="4" w:space="0" w:color="000000"/>
              <w:bottom w:val="single" w:sz="4" w:space="0" w:color="000000"/>
              <w:right w:val="single" w:sz="4" w:space="0" w:color="000000"/>
            </w:tcBorders>
          </w:tcPr>
          <w:p w14:paraId="24D8344D" w14:textId="1CE3CF0D" w:rsidR="00E215F3" w:rsidRPr="00047A5B" w:rsidRDefault="00E215F3" w:rsidP="00E215F3">
            <w:pPr>
              <w:spacing w:before="40" w:after="40"/>
              <w:rPr>
                <w:rFonts w:ascii="Arial" w:hAnsi="Arial" w:cs="Arial"/>
                <w:sz w:val="20"/>
                <w:lang w:val="es-MX" w:eastAsia="zh-CN"/>
              </w:rPr>
            </w:pPr>
            <w:r w:rsidRPr="00047A5B">
              <w:rPr>
                <w:rFonts w:ascii="Arial" w:hAnsi="Arial" w:cs="Arial"/>
                <w:sz w:val="20"/>
                <w:lang w:val="es-MX" w:eastAsia="zh-CN"/>
              </w:rPr>
              <w:t xml:space="preserve">Registros </w:t>
            </w:r>
            <w:r>
              <w:rPr>
                <w:rFonts w:ascii="Arial" w:hAnsi="Arial" w:cs="Arial"/>
                <w:sz w:val="20"/>
                <w:lang w:val="es-MX" w:eastAsia="zh-CN"/>
              </w:rPr>
              <w:t>a</w:t>
            </w:r>
            <w:r w:rsidRPr="00047A5B">
              <w:rPr>
                <w:rFonts w:ascii="Arial" w:hAnsi="Arial" w:cs="Arial"/>
                <w:sz w:val="20"/>
                <w:lang w:val="es-MX" w:eastAsia="zh-CN"/>
              </w:rPr>
              <w:t>dministrativos de</w:t>
            </w:r>
            <w:r>
              <w:rPr>
                <w:rFonts w:ascii="Arial" w:hAnsi="Arial" w:cs="Arial"/>
                <w:sz w:val="20"/>
                <w:lang w:val="es-MX" w:eastAsia="zh-CN"/>
              </w:rPr>
              <w:t>l MH.</w:t>
            </w:r>
            <w:r w:rsidRPr="00047A5B">
              <w:rPr>
                <w:rFonts w:ascii="Arial" w:hAnsi="Arial" w:cs="Arial"/>
                <w:sz w:val="20"/>
                <w:lang w:val="es-MX" w:eastAsia="zh-CN"/>
              </w:rPr>
              <w:t xml:space="preserve"> </w:t>
            </w:r>
          </w:p>
        </w:tc>
        <w:tc>
          <w:tcPr>
            <w:tcW w:w="3890" w:type="dxa"/>
            <w:tcBorders>
              <w:top w:val="single" w:sz="4" w:space="0" w:color="000000"/>
              <w:left w:val="single" w:sz="4" w:space="0" w:color="000000"/>
              <w:bottom w:val="single" w:sz="4" w:space="0" w:color="000000"/>
              <w:right w:val="single" w:sz="4" w:space="0" w:color="000000"/>
            </w:tcBorders>
          </w:tcPr>
          <w:p w14:paraId="155B4531" w14:textId="6B8A6D65" w:rsidR="00E215F3" w:rsidRPr="00047A5B" w:rsidRDefault="00E215F3" w:rsidP="00E215F3">
            <w:pPr>
              <w:spacing w:before="40" w:after="40"/>
              <w:jc w:val="both"/>
              <w:rPr>
                <w:rFonts w:ascii="Arial" w:hAnsi="Arial" w:cs="Arial"/>
                <w:sz w:val="20"/>
                <w:lang w:val="es-MX" w:eastAsia="zh-CN"/>
              </w:rPr>
            </w:pPr>
            <w:r w:rsidRPr="00047A5B">
              <w:rPr>
                <w:rFonts w:ascii="Arial" w:hAnsi="Arial" w:cs="Arial"/>
                <w:sz w:val="20"/>
                <w:lang w:val="es-MX" w:eastAsia="zh-CN"/>
              </w:rPr>
              <w:t>El porcentaje se calculará en base a los registros oficiales de empleo público.</w:t>
            </w:r>
            <w:r w:rsidRPr="00047A5B">
              <w:rPr>
                <w:rStyle w:val="CommentReference"/>
                <w:rFonts w:ascii="Arial" w:hAnsi="Arial" w:cs="Arial"/>
                <w:sz w:val="20"/>
                <w:lang w:val="es-AR"/>
              </w:rPr>
              <w:t xml:space="preserve"> </w:t>
            </w:r>
          </w:p>
        </w:tc>
      </w:tr>
      <w:tr w:rsidR="00795EDD" w:rsidRPr="00047A5B" w14:paraId="43D8C64F" w14:textId="77777777" w:rsidTr="00E34630">
        <w:trPr>
          <w:trHeight w:val="64"/>
        </w:trPr>
        <w:tc>
          <w:tcPr>
            <w:tcW w:w="2335" w:type="dxa"/>
            <w:tcBorders>
              <w:top w:val="single" w:sz="4" w:space="0" w:color="000000"/>
              <w:left w:val="single" w:sz="4" w:space="0" w:color="000000"/>
              <w:bottom w:val="single" w:sz="4" w:space="0" w:color="000000"/>
              <w:right w:val="single" w:sz="4" w:space="0" w:color="000000"/>
            </w:tcBorders>
          </w:tcPr>
          <w:p w14:paraId="0F140504" w14:textId="74DD7ABA" w:rsidR="00795EDD" w:rsidRPr="00047A5B" w:rsidRDefault="00795EDD" w:rsidP="00795EDD">
            <w:pPr>
              <w:pStyle w:val="ListParagraph"/>
              <w:spacing w:before="40" w:after="40"/>
              <w:ind w:left="0"/>
              <w:rPr>
                <w:rFonts w:ascii="Arial" w:hAnsi="Arial" w:cs="Arial"/>
                <w:sz w:val="20"/>
                <w:lang w:val="es-MX" w:eastAsia="zh-CN"/>
              </w:rPr>
            </w:pPr>
            <w:r w:rsidRPr="00047A5B">
              <w:rPr>
                <w:rFonts w:ascii="Arial" w:hAnsi="Arial" w:cs="Arial"/>
                <w:sz w:val="20"/>
                <w:lang w:val="es-MX" w:eastAsia="zh-CN"/>
              </w:rPr>
              <w:t xml:space="preserve">Empresas que se acogen a </w:t>
            </w:r>
            <w:r>
              <w:rPr>
                <w:rFonts w:ascii="Arial" w:hAnsi="Arial" w:cs="Arial"/>
                <w:sz w:val="20"/>
                <w:lang w:val="es-MX" w:eastAsia="zh-CN"/>
              </w:rPr>
              <w:t xml:space="preserve">la </w:t>
            </w:r>
            <w:r w:rsidRPr="00047A5B">
              <w:rPr>
                <w:rFonts w:ascii="Arial" w:hAnsi="Arial" w:cs="Arial"/>
                <w:sz w:val="20"/>
                <w:lang w:val="es-MX" w:eastAsia="zh-CN"/>
              </w:rPr>
              <w:t xml:space="preserve">extensión </w:t>
            </w:r>
            <w:r w:rsidRPr="00047A5B">
              <w:rPr>
                <w:rFonts w:ascii="Arial" w:hAnsi="Arial" w:cs="Arial"/>
                <w:sz w:val="20"/>
                <w:lang w:val="es-MX" w:eastAsia="zh-CN"/>
              </w:rPr>
              <w:lastRenderedPageBreak/>
              <w:t xml:space="preserve">de plazos </w:t>
            </w:r>
            <w:r>
              <w:rPr>
                <w:rFonts w:ascii="Arial" w:hAnsi="Arial" w:cs="Arial"/>
                <w:sz w:val="20"/>
                <w:lang w:val="es-MX" w:eastAsia="zh-CN"/>
              </w:rPr>
              <w:t xml:space="preserve">para el pago del ISR, </w:t>
            </w:r>
            <w:r w:rsidRPr="00047A5B">
              <w:rPr>
                <w:rFonts w:ascii="Arial" w:hAnsi="Arial" w:cs="Arial"/>
                <w:sz w:val="20"/>
                <w:lang w:val="es-MX" w:eastAsia="zh-CN"/>
              </w:rPr>
              <w:t>introducida por la crisis sanitaria</w:t>
            </w:r>
            <w:r>
              <w:rPr>
                <w:rFonts w:ascii="Arial" w:hAnsi="Arial" w:cs="Arial"/>
                <w:sz w:val="20"/>
                <w:lang w:val="es-MX" w:eastAsia="zh-CN"/>
              </w:rPr>
              <w:t>.</w:t>
            </w:r>
          </w:p>
        </w:tc>
        <w:tc>
          <w:tcPr>
            <w:tcW w:w="1350" w:type="dxa"/>
            <w:tcBorders>
              <w:top w:val="single" w:sz="4" w:space="0" w:color="000000"/>
              <w:left w:val="single" w:sz="4" w:space="0" w:color="000000"/>
              <w:bottom w:val="single" w:sz="4" w:space="0" w:color="000000"/>
              <w:right w:val="single" w:sz="4" w:space="0" w:color="000000"/>
            </w:tcBorders>
          </w:tcPr>
          <w:p w14:paraId="0E112B92" w14:textId="523FEB44" w:rsidR="00795EDD" w:rsidRPr="00047A5B" w:rsidRDefault="00795EDD" w:rsidP="00795EDD">
            <w:pPr>
              <w:spacing w:before="40" w:after="40"/>
              <w:jc w:val="center"/>
              <w:rPr>
                <w:rFonts w:ascii="Arial" w:hAnsi="Arial" w:cs="Arial"/>
                <w:sz w:val="20"/>
                <w:lang w:val="es-MX" w:eastAsia="zh-CN"/>
              </w:rPr>
            </w:pPr>
            <w:r w:rsidRPr="00047A5B">
              <w:rPr>
                <w:rFonts w:ascii="Arial" w:hAnsi="Arial" w:cs="Arial"/>
                <w:sz w:val="20"/>
                <w:lang w:val="es-MX" w:eastAsia="zh-CN"/>
              </w:rPr>
              <w:lastRenderedPageBreak/>
              <w:t>Porcentaje</w:t>
            </w:r>
          </w:p>
        </w:tc>
        <w:tc>
          <w:tcPr>
            <w:tcW w:w="920" w:type="dxa"/>
            <w:tcBorders>
              <w:top w:val="single" w:sz="4" w:space="0" w:color="000000"/>
              <w:left w:val="single" w:sz="4" w:space="0" w:color="000000"/>
              <w:bottom w:val="single" w:sz="4" w:space="0" w:color="000000"/>
              <w:right w:val="single" w:sz="4" w:space="0" w:color="000000"/>
            </w:tcBorders>
          </w:tcPr>
          <w:p w14:paraId="43C12D98" w14:textId="790F3B21" w:rsidR="00795EDD" w:rsidRPr="00047A5B" w:rsidRDefault="00795EDD" w:rsidP="00795EDD">
            <w:pPr>
              <w:spacing w:before="40" w:after="40"/>
              <w:jc w:val="center"/>
              <w:rPr>
                <w:rFonts w:ascii="Arial" w:hAnsi="Arial" w:cs="Arial"/>
                <w:sz w:val="20"/>
                <w:lang w:val="es-MX" w:eastAsia="zh-CN"/>
              </w:rPr>
            </w:pPr>
            <w:r w:rsidRPr="00047A5B">
              <w:rPr>
                <w:rFonts w:ascii="Arial" w:hAnsi="Arial" w:cs="Arial"/>
                <w:sz w:val="20"/>
                <w:lang w:val="es-MX" w:eastAsia="zh-CN"/>
              </w:rPr>
              <w:t>0</w:t>
            </w:r>
          </w:p>
        </w:tc>
        <w:tc>
          <w:tcPr>
            <w:tcW w:w="1170" w:type="dxa"/>
            <w:tcBorders>
              <w:top w:val="single" w:sz="4" w:space="0" w:color="000000"/>
              <w:left w:val="single" w:sz="4" w:space="0" w:color="000000"/>
              <w:bottom w:val="single" w:sz="4" w:space="0" w:color="000000"/>
              <w:right w:val="single" w:sz="4" w:space="0" w:color="000000"/>
            </w:tcBorders>
          </w:tcPr>
          <w:p w14:paraId="64FF0AD7" w14:textId="69267C46" w:rsidR="00795EDD" w:rsidRPr="00047A5B" w:rsidRDefault="00795EDD" w:rsidP="00795EDD">
            <w:pPr>
              <w:spacing w:before="40" w:after="40"/>
              <w:jc w:val="center"/>
              <w:rPr>
                <w:rFonts w:ascii="Arial" w:hAnsi="Arial" w:cs="Arial"/>
                <w:sz w:val="20"/>
                <w:lang w:val="es-MX" w:eastAsia="zh-CN"/>
              </w:rPr>
            </w:pPr>
            <w:r w:rsidRPr="00047A5B">
              <w:rPr>
                <w:rFonts w:ascii="Arial" w:hAnsi="Arial" w:cs="Arial"/>
                <w:sz w:val="20"/>
                <w:lang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274FC627" w14:textId="677E3162" w:rsidR="00795EDD" w:rsidRPr="00047A5B" w:rsidRDefault="00795EDD" w:rsidP="00795EDD">
            <w:pPr>
              <w:spacing w:before="40" w:after="40"/>
              <w:jc w:val="center"/>
              <w:rPr>
                <w:rFonts w:ascii="Arial" w:hAnsi="Arial" w:cs="Arial"/>
                <w:sz w:val="20"/>
                <w:lang w:val="es-MX" w:eastAsia="zh-CN"/>
              </w:rPr>
            </w:pPr>
            <w:r>
              <w:rPr>
                <w:rFonts w:ascii="Arial" w:hAnsi="Arial" w:cs="Arial"/>
                <w:sz w:val="20"/>
                <w:lang w:eastAsia="zh-CN"/>
              </w:rPr>
              <w:t>54%</w:t>
            </w:r>
          </w:p>
        </w:tc>
        <w:tc>
          <w:tcPr>
            <w:tcW w:w="2430" w:type="dxa"/>
            <w:tcBorders>
              <w:top w:val="single" w:sz="4" w:space="0" w:color="000000"/>
              <w:left w:val="single" w:sz="4" w:space="0" w:color="000000"/>
              <w:bottom w:val="single" w:sz="4" w:space="0" w:color="000000"/>
              <w:right w:val="single" w:sz="4" w:space="0" w:color="000000"/>
            </w:tcBorders>
          </w:tcPr>
          <w:p w14:paraId="3A719D29" w14:textId="0614DA75" w:rsidR="00795EDD" w:rsidRPr="00047A5B" w:rsidRDefault="00795EDD" w:rsidP="00795EDD">
            <w:pPr>
              <w:spacing w:before="40" w:after="40"/>
              <w:rPr>
                <w:rFonts w:ascii="Arial" w:hAnsi="Arial" w:cs="Arial"/>
                <w:sz w:val="20"/>
                <w:lang w:val="es-MX" w:eastAsia="zh-CN"/>
              </w:rPr>
            </w:pPr>
            <w:r w:rsidRPr="00047A5B">
              <w:rPr>
                <w:rFonts w:ascii="Arial" w:hAnsi="Arial" w:cs="Arial"/>
                <w:sz w:val="20"/>
                <w:lang w:val="es-MX" w:eastAsia="zh-CN"/>
              </w:rPr>
              <w:t xml:space="preserve">Registros </w:t>
            </w:r>
            <w:r>
              <w:rPr>
                <w:rFonts w:ascii="Arial" w:hAnsi="Arial" w:cs="Arial"/>
                <w:sz w:val="20"/>
                <w:lang w:val="es-MX" w:eastAsia="zh-CN"/>
              </w:rPr>
              <w:t>a</w:t>
            </w:r>
            <w:r w:rsidRPr="00047A5B">
              <w:rPr>
                <w:rFonts w:ascii="Arial" w:hAnsi="Arial" w:cs="Arial"/>
                <w:sz w:val="20"/>
                <w:lang w:val="es-MX" w:eastAsia="zh-CN"/>
              </w:rPr>
              <w:t xml:space="preserve">dministrativos de la </w:t>
            </w:r>
            <w:r w:rsidRPr="00047A5B">
              <w:rPr>
                <w:rFonts w:ascii="Arial" w:hAnsi="Arial" w:cs="Arial"/>
                <w:sz w:val="20"/>
                <w:lang w:val="es-MX" w:eastAsia="zh-CN"/>
              </w:rPr>
              <w:lastRenderedPageBreak/>
              <w:t>Administración Tributaria</w:t>
            </w:r>
            <w:r>
              <w:rPr>
                <w:rFonts w:ascii="Arial" w:hAnsi="Arial" w:cs="Arial"/>
                <w:sz w:val="20"/>
                <w:lang w:val="es-MX" w:eastAsia="zh-CN"/>
              </w:rPr>
              <w:t>.</w:t>
            </w:r>
          </w:p>
        </w:tc>
        <w:tc>
          <w:tcPr>
            <w:tcW w:w="3890" w:type="dxa"/>
            <w:tcBorders>
              <w:top w:val="single" w:sz="4" w:space="0" w:color="000000"/>
              <w:left w:val="single" w:sz="4" w:space="0" w:color="000000"/>
              <w:bottom w:val="single" w:sz="4" w:space="0" w:color="000000"/>
              <w:right w:val="single" w:sz="4" w:space="0" w:color="000000"/>
            </w:tcBorders>
          </w:tcPr>
          <w:p w14:paraId="45D06A5E" w14:textId="77777777" w:rsidR="00795EDD" w:rsidRPr="00047A5B" w:rsidRDefault="00795EDD" w:rsidP="00795EDD">
            <w:pPr>
              <w:spacing w:before="40" w:after="40"/>
              <w:jc w:val="both"/>
              <w:rPr>
                <w:rStyle w:val="CommentReference"/>
                <w:rFonts w:ascii="Arial" w:hAnsi="Arial" w:cs="Arial"/>
                <w:sz w:val="20"/>
                <w:lang w:val="es-AR"/>
              </w:rPr>
            </w:pPr>
            <w:r w:rsidRPr="00047A5B">
              <w:rPr>
                <w:rFonts w:ascii="Arial" w:hAnsi="Arial" w:cs="Arial"/>
                <w:sz w:val="20"/>
                <w:lang w:val="es-MX" w:eastAsia="zh-CN"/>
              </w:rPr>
              <w:lastRenderedPageBreak/>
              <w:t xml:space="preserve">El porcentaje se calculará considerando exclusivamente los contribuyentes que </w:t>
            </w:r>
            <w:r w:rsidRPr="00047A5B">
              <w:rPr>
                <w:rFonts w:ascii="Arial" w:hAnsi="Arial" w:cs="Arial"/>
                <w:sz w:val="20"/>
                <w:lang w:val="es-MX" w:eastAsia="zh-CN"/>
              </w:rPr>
              <w:lastRenderedPageBreak/>
              <w:t xml:space="preserve">son personas jurídicas. De ser posible, se estratificará por </w:t>
            </w:r>
            <w:r w:rsidRPr="00047A5B">
              <w:rPr>
                <w:rStyle w:val="CommentReference"/>
                <w:rFonts w:ascii="Arial" w:hAnsi="Arial" w:cs="Arial"/>
                <w:sz w:val="20"/>
                <w:lang w:val="es-AR"/>
              </w:rPr>
              <w:t>tamaño de las empresas y el tipo de moratoria al que se acogen.</w:t>
            </w:r>
          </w:p>
          <w:p w14:paraId="678D8504" w14:textId="77777777" w:rsidR="00795EDD" w:rsidRDefault="00795EDD" w:rsidP="00795EDD">
            <w:pPr>
              <w:spacing w:before="40"/>
              <w:jc w:val="both"/>
              <w:rPr>
                <w:rFonts w:ascii="Arial" w:hAnsi="Arial" w:cs="Arial"/>
                <w:sz w:val="20"/>
                <w:lang w:val="es-MX" w:eastAsia="zh-CN"/>
              </w:rPr>
            </w:pPr>
            <w:r w:rsidRPr="00047A5B">
              <w:rPr>
                <w:rFonts w:ascii="Arial" w:hAnsi="Arial" w:cs="Arial"/>
                <w:sz w:val="20"/>
                <w:lang w:val="es-MX" w:eastAsia="zh-CN"/>
              </w:rPr>
              <w:t>(Grandes 159, Medianos 1</w:t>
            </w:r>
            <w:r>
              <w:rPr>
                <w:rFonts w:ascii="Arial" w:hAnsi="Arial" w:cs="Arial"/>
                <w:sz w:val="20"/>
                <w:lang w:val="es-MX" w:eastAsia="zh-CN"/>
              </w:rPr>
              <w:t>.</w:t>
            </w:r>
            <w:r w:rsidRPr="00047A5B">
              <w:rPr>
                <w:rFonts w:ascii="Arial" w:hAnsi="Arial" w:cs="Arial"/>
                <w:sz w:val="20"/>
                <w:lang w:val="es-MX" w:eastAsia="zh-CN"/>
              </w:rPr>
              <w:t>011 y Otros 17</w:t>
            </w:r>
            <w:r>
              <w:rPr>
                <w:rFonts w:ascii="Arial" w:hAnsi="Arial" w:cs="Arial"/>
                <w:sz w:val="20"/>
                <w:lang w:val="es-MX" w:eastAsia="zh-CN"/>
              </w:rPr>
              <w:t>.</w:t>
            </w:r>
            <w:r w:rsidRPr="00047A5B">
              <w:rPr>
                <w:rFonts w:ascii="Arial" w:hAnsi="Arial" w:cs="Arial"/>
                <w:sz w:val="20"/>
                <w:lang w:val="es-MX" w:eastAsia="zh-CN"/>
              </w:rPr>
              <w:t>591</w:t>
            </w:r>
            <w:r>
              <w:rPr>
                <w:rFonts w:ascii="Arial" w:hAnsi="Arial" w:cs="Arial"/>
                <w:sz w:val="20"/>
                <w:lang w:val="es-MX" w:eastAsia="zh-CN"/>
              </w:rPr>
              <w:t xml:space="preserve"> </w:t>
            </w:r>
            <w:r w:rsidRPr="00047A5B">
              <w:rPr>
                <w:rFonts w:ascii="Arial" w:hAnsi="Arial" w:cs="Arial"/>
                <w:sz w:val="20"/>
                <w:lang w:val="es-MX" w:eastAsia="zh-CN"/>
              </w:rPr>
              <w:t>/</w:t>
            </w:r>
            <w:r>
              <w:rPr>
                <w:rFonts w:ascii="Arial" w:hAnsi="Arial" w:cs="Arial"/>
                <w:sz w:val="20"/>
                <w:lang w:val="es-MX" w:eastAsia="zh-CN"/>
              </w:rPr>
              <w:t xml:space="preserve"> </w:t>
            </w:r>
            <w:r w:rsidRPr="00047A5B">
              <w:rPr>
                <w:rFonts w:ascii="Arial" w:hAnsi="Arial" w:cs="Arial"/>
                <w:sz w:val="20"/>
                <w:lang w:val="es-MX" w:eastAsia="zh-CN"/>
              </w:rPr>
              <w:t>34</w:t>
            </w:r>
            <w:r>
              <w:rPr>
                <w:rFonts w:ascii="Arial" w:hAnsi="Arial" w:cs="Arial"/>
                <w:sz w:val="20"/>
                <w:lang w:val="es-MX" w:eastAsia="zh-CN"/>
              </w:rPr>
              <w:t>.</w:t>
            </w:r>
            <w:r w:rsidRPr="00047A5B">
              <w:rPr>
                <w:rFonts w:ascii="Arial" w:hAnsi="Arial" w:cs="Arial"/>
                <w:sz w:val="20"/>
                <w:lang w:val="es-MX" w:eastAsia="zh-CN"/>
              </w:rPr>
              <w:t>541</w:t>
            </w:r>
            <w:r>
              <w:rPr>
                <w:rFonts w:ascii="Arial" w:hAnsi="Arial" w:cs="Arial"/>
                <w:sz w:val="20"/>
                <w:lang w:val="es-MX" w:eastAsia="zh-CN"/>
              </w:rPr>
              <w:t>*</w:t>
            </w:r>
            <w:r w:rsidRPr="00047A5B">
              <w:rPr>
                <w:rFonts w:ascii="Arial" w:hAnsi="Arial" w:cs="Arial"/>
                <w:sz w:val="20"/>
                <w:lang w:val="es-MX" w:eastAsia="zh-CN"/>
              </w:rPr>
              <w:t>)</w:t>
            </w:r>
            <w:r>
              <w:rPr>
                <w:rFonts w:ascii="Arial" w:hAnsi="Arial" w:cs="Arial"/>
                <w:sz w:val="20"/>
                <w:lang w:val="es-MX" w:eastAsia="zh-CN"/>
              </w:rPr>
              <w:t>.</w:t>
            </w:r>
          </w:p>
          <w:p w14:paraId="3BB903EF" w14:textId="3B34E7BC" w:rsidR="00795EDD" w:rsidRPr="00047A5B" w:rsidRDefault="00795EDD" w:rsidP="00795EDD">
            <w:pPr>
              <w:spacing w:after="40"/>
              <w:jc w:val="both"/>
              <w:rPr>
                <w:rFonts w:ascii="Arial" w:hAnsi="Arial" w:cs="Arial"/>
                <w:sz w:val="20"/>
                <w:lang w:val="es-MX" w:eastAsia="zh-CN"/>
              </w:rPr>
            </w:pPr>
            <w:r>
              <w:rPr>
                <w:rFonts w:ascii="Arial" w:hAnsi="Arial" w:cs="Arial"/>
                <w:sz w:val="20"/>
                <w:lang w:val="es-MX" w:eastAsia="zh-CN"/>
              </w:rPr>
              <w:t>*D</w:t>
            </w:r>
            <w:r w:rsidRPr="00047A5B">
              <w:rPr>
                <w:rFonts w:ascii="Arial" w:hAnsi="Arial" w:cs="Arial"/>
                <w:sz w:val="20"/>
                <w:lang w:val="es-MX" w:eastAsia="zh-CN"/>
              </w:rPr>
              <w:t xml:space="preserve">eclarantes </w:t>
            </w:r>
            <w:r>
              <w:rPr>
                <w:rFonts w:ascii="Arial" w:hAnsi="Arial" w:cs="Arial"/>
                <w:sz w:val="20"/>
                <w:lang w:val="es-MX" w:eastAsia="zh-CN"/>
              </w:rPr>
              <w:t xml:space="preserve">del ISR de las </w:t>
            </w:r>
            <w:r w:rsidRPr="00047A5B">
              <w:rPr>
                <w:rFonts w:ascii="Arial" w:hAnsi="Arial" w:cs="Arial"/>
                <w:sz w:val="20"/>
                <w:lang w:val="es-MX" w:eastAsia="zh-CN"/>
              </w:rPr>
              <w:t>persona</w:t>
            </w:r>
            <w:r>
              <w:rPr>
                <w:rFonts w:ascii="Arial" w:hAnsi="Arial" w:cs="Arial"/>
                <w:sz w:val="20"/>
                <w:lang w:val="es-MX" w:eastAsia="zh-CN"/>
              </w:rPr>
              <w:t>s</w:t>
            </w:r>
            <w:r w:rsidRPr="00047A5B">
              <w:rPr>
                <w:rFonts w:ascii="Arial" w:hAnsi="Arial" w:cs="Arial"/>
                <w:sz w:val="20"/>
                <w:lang w:val="es-MX" w:eastAsia="zh-CN"/>
              </w:rPr>
              <w:t xml:space="preserve"> jurídicas beneficiadas según </w:t>
            </w:r>
            <w:r>
              <w:rPr>
                <w:rFonts w:ascii="Arial" w:hAnsi="Arial" w:cs="Arial"/>
                <w:sz w:val="20"/>
                <w:lang w:val="es-MX" w:eastAsia="zh-CN"/>
              </w:rPr>
              <w:t xml:space="preserve">la </w:t>
            </w:r>
            <w:r w:rsidRPr="00047A5B">
              <w:rPr>
                <w:rFonts w:ascii="Arial" w:hAnsi="Arial" w:cs="Arial"/>
                <w:sz w:val="20"/>
                <w:lang w:val="es-MX" w:eastAsia="zh-CN"/>
              </w:rPr>
              <w:t xml:space="preserve">cartera de contribuyentes /Total declarantes </w:t>
            </w:r>
            <w:r>
              <w:rPr>
                <w:rFonts w:ascii="Arial" w:hAnsi="Arial" w:cs="Arial"/>
                <w:sz w:val="20"/>
                <w:lang w:val="es-MX" w:eastAsia="zh-CN"/>
              </w:rPr>
              <w:t xml:space="preserve">del ISR de las </w:t>
            </w:r>
            <w:r w:rsidRPr="00047A5B">
              <w:rPr>
                <w:rFonts w:ascii="Arial" w:hAnsi="Arial" w:cs="Arial"/>
                <w:sz w:val="20"/>
                <w:lang w:val="es-MX" w:eastAsia="zh-CN"/>
              </w:rPr>
              <w:t xml:space="preserve">personas jurídicas </w:t>
            </w:r>
            <w:r>
              <w:rPr>
                <w:rFonts w:ascii="Arial" w:hAnsi="Arial" w:cs="Arial"/>
                <w:sz w:val="20"/>
                <w:lang w:val="es-MX" w:eastAsia="zh-CN"/>
              </w:rPr>
              <w:t xml:space="preserve">en el </w:t>
            </w:r>
            <w:r w:rsidRPr="00047A5B">
              <w:rPr>
                <w:rFonts w:ascii="Arial" w:hAnsi="Arial" w:cs="Arial"/>
                <w:sz w:val="20"/>
                <w:lang w:val="es-MX" w:eastAsia="zh-CN"/>
              </w:rPr>
              <w:t>ejercicio fiscal 2019.</w:t>
            </w:r>
          </w:p>
        </w:tc>
      </w:tr>
      <w:tr w:rsidR="00F6470F" w:rsidRPr="00047A5B" w14:paraId="3CCE52DE" w14:textId="77777777" w:rsidTr="00E34630">
        <w:trPr>
          <w:trHeight w:val="64"/>
        </w:trPr>
        <w:tc>
          <w:tcPr>
            <w:tcW w:w="13335" w:type="dxa"/>
            <w:gridSpan w:val="7"/>
            <w:tcBorders>
              <w:top w:val="single" w:sz="4" w:space="0" w:color="FFFFFF" w:themeColor="background1"/>
              <w:left w:val="single" w:sz="4" w:space="0" w:color="000000"/>
              <w:bottom w:val="single" w:sz="4" w:space="0" w:color="000000"/>
              <w:right w:val="single" w:sz="4" w:space="0" w:color="000000"/>
            </w:tcBorders>
            <w:vAlign w:val="center"/>
          </w:tcPr>
          <w:p w14:paraId="18101A51" w14:textId="77777777" w:rsidR="00F6470F" w:rsidRPr="00047A5B" w:rsidRDefault="00F6470F" w:rsidP="00E34630">
            <w:pPr>
              <w:spacing w:before="60" w:after="60"/>
              <w:rPr>
                <w:rFonts w:ascii="Arial" w:hAnsi="Arial" w:cs="Arial"/>
                <w:sz w:val="20"/>
                <w:lang w:val="es-MX" w:eastAsia="zh-CN"/>
              </w:rPr>
            </w:pPr>
            <w:r w:rsidRPr="00047A5B">
              <w:rPr>
                <w:rFonts w:ascii="Arial" w:hAnsi="Arial" w:cs="Arial"/>
                <w:b/>
                <w:caps/>
                <w:sz w:val="20"/>
                <w:u w:val="single"/>
                <w:lang w:val="es-MX" w:eastAsia="zh-CN"/>
              </w:rPr>
              <w:lastRenderedPageBreak/>
              <w:t>Objetivo ESPECÍFICO #</w:t>
            </w:r>
            <w:r>
              <w:rPr>
                <w:rFonts w:ascii="Arial" w:hAnsi="Arial" w:cs="Arial"/>
                <w:b/>
                <w:caps/>
                <w:sz w:val="20"/>
                <w:u w:val="single"/>
                <w:lang w:val="es-MX" w:eastAsia="zh-CN"/>
              </w:rPr>
              <w:t>3</w:t>
            </w:r>
            <w:r w:rsidRPr="005A6C34">
              <w:rPr>
                <w:rFonts w:ascii="Arial" w:hAnsi="Arial" w:cs="Arial"/>
                <w:b/>
                <w:caps/>
                <w:sz w:val="20"/>
                <w:lang w:val="es-MX" w:eastAsia="zh-CN"/>
              </w:rPr>
              <w:t>:</w:t>
            </w:r>
            <w:r w:rsidRPr="00047A5B">
              <w:rPr>
                <w:rFonts w:ascii="Arial" w:hAnsi="Arial" w:cs="Arial"/>
                <w:b/>
                <w:caps/>
                <w:sz w:val="20"/>
                <w:lang w:val="es-MX" w:eastAsia="zh-CN"/>
              </w:rPr>
              <w:t xml:space="preserve"> </w:t>
            </w:r>
            <w:r w:rsidRPr="00047A5B">
              <w:rPr>
                <w:rFonts w:ascii="Arial" w:hAnsi="Arial" w:cs="Arial"/>
                <w:sz w:val="20"/>
                <w:lang w:val="es-MX"/>
              </w:rPr>
              <w:t>Promover la recuperación económica y fiscal en el periodo post pandemia.</w:t>
            </w:r>
          </w:p>
        </w:tc>
      </w:tr>
      <w:tr w:rsidR="00D479F4" w:rsidRPr="00D754EA" w14:paraId="21253294" w14:textId="77777777" w:rsidTr="00E34630">
        <w:trPr>
          <w:trHeight w:val="64"/>
        </w:trPr>
        <w:tc>
          <w:tcPr>
            <w:tcW w:w="2335" w:type="dxa"/>
            <w:tcBorders>
              <w:top w:val="single" w:sz="4" w:space="0" w:color="000000"/>
              <w:left w:val="single" w:sz="4" w:space="0" w:color="000000"/>
              <w:bottom w:val="single" w:sz="4" w:space="0" w:color="000000"/>
              <w:right w:val="single" w:sz="4" w:space="0" w:color="000000"/>
            </w:tcBorders>
          </w:tcPr>
          <w:p w14:paraId="524DE664" w14:textId="6A46476C" w:rsidR="00D479F4" w:rsidRPr="00047A5B" w:rsidRDefault="00D479F4" w:rsidP="00D479F4">
            <w:pPr>
              <w:pStyle w:val="ListParagraph"/>
              <w:spacing w:before="40" w:after="40"/>
              <w:ind w:left="0"/>
              <w:rPr>
                <w:rFonts w:ascii="Arial" w:hAnsi="Arial" w:cs="Arial"/>
                <w:sz w:val="20"/>
                <w:lang w:val="es-MX" w:eastAsia="zh-CN"/>
              </w:rPr>
            </w:pPr>
            <w:r>
              <w:rPr>
                <w:rFonts w:ascii="Arial" w:hAnsi="Arial" w:cs="Arial"/>
                <w:sz w:val="20"/>
                <w:lang w:val="es-MX" w:eastAsia="zh-CN"/>
              </w:rPr>
              <w:t>Diagnósticos de monitoreo y/o impacto del COVID-19 sobre la sostenibilidad fiscal y estabilidad económica del país.</w:t>
            </w:r>
          </w:p>
        </w:tc>
        <w:tc>
          <w:tcPr>
            <w:tcW w:w="1350" w:type="dxa"/>
            <w:tcBorders>
              <w:top w:val="single" w:sz="4" w:space="0" w:color="000000"/>
              <w:left w:val="single" w:sz="4" w:space="0" w:color="000000"/>
              <w:bottom w:val="single" w:sz="4" w:space="0" w:color="000000"/>
              <w:right w:val="single" w:sz="4" w:space="0" w:color="000000"/>
            </w:tcBorders>
          </w:tcPr>
          <w:p w14:paraId="118C58B5" w14:textId="13D208D0" w:rsidR="00D479F4" w:rsidRPr="00047A5B" w:rsidRDefault="00D479F4" w:rsidP="00D479F4">
            <w:pPr>
              <w:spacing w:before="40" w:after="40"/>
              <w:jc w:val="center"/>
              <w:rPr>
                <w:rFonts w:ascii="Arial" w:hAnsi="Arial" w:cs="Arial"/>
                <w:sz w:val="20"/>
                <w:lang w:val="es-MX" w:eastAsia="zh-CN"/>
              </w:rPr>
            </w:pPr>
            <w:r>
              <w:rPr>
                <w:rFonts w:ascii="Arial" w:hAnsi="Arial" w:cs="Arial"/>
                <w:sz w:val="20"/>
                <w:lang w:val="es-MX" w:eastAsia="zh-CN"/>
              </w:rPr>
              <w:t>Estudios</w:t>
            </w:r>
          </w:p>
        </w:tc>
        <w:tc>
          <w:tcPr>
            <w:tcW w:w="920" w:type="dxa"/>
            <w:tcBorders>
              <w:top w:val="single" w:sz="4" w:space="0" w:color="000000"/>
              <w:left w:val="single" w:sz="4" w:space="0" w:color="000000"/>
              <w:bottom w:val="single" w:sz="4" w:space="0" w:color="000000"/>
              <w:right w:val="single" w:sz="4" w:space="0" w:color="000000"/>
            </w:tcBorders>
          </w:tcPr>
          <w:p w14:paraId="5033CB14" w14:textId="187AB32F" w:rsidR="00D479F4" w:rsidRPr="00047A5B" w:rsidRDefault="00D479F4" w:rsidP="00D479F4">
            <w:pPr>
              <w:spacing w:before="40" w:after="40"/>
              <w:jc w:val="center"/>
              <w:rPr>
                <w:rFonts w:ascii="Arial" w:hAnsi="Arial" w:cs="Arial"/>
                <w:sz w:val="20"/>
                <w:lang w:val="es-MX" w:eastAsia="zh-CN"/>
              </w:rPr>
            </w:pPr>
            <w:r w:rsidRPr="00047A5B">
              <w:rPr>
                <w:rFonts w:ascii="Arial" w:hAnsi="Arial" w:cs="Arial"/>
                <w:sz w:val="20"/>
                <w:lang w:val="es-MX" w:eastAsia="zh-CN"/>
              </w:rPr>
              <w:t>0</w:t>
            </w:r>
          </w:p>
        </w:tc>
        <w:tc>
          <w:tcPr>
            <w:tcW w:w="1170" w:type="dxa"/>
            <w:tcBorders>
              <w:top w:val="single" w:sz="4" w:space="0" w:color="000000"/>
              <w:left w:val="single" w:sz="4" w:space="0" w:color="000000"/>
              <w:bottom w:val="single" w:sz="4" w:space="0" w:color="000000"/>
              <w:right w:val="single" w:sz="4" w:space="0" w:color="000000"/>
            </w:tcBorders>
          </w:tcPr>
          <w:p w14:paraId="6E02A85D" w14:textId="3A028F47" w:rsidR="00D479F4" w:rsidRPr="00047A5B" w:rsidRDefault="00D479F4" w:rsidP="00D479F4">
            <w:pPr>
              <w:spacing w:before="40" w:after="40"/>
              <w:jc w:val="center"/>
              <w:rPr>
                <w:rFonts w:ascii="Arial" w:hAnsi="Arial" w:cs="Arial"/>
                <w:sz w:val="20"/>
                <w:lang w:val="es-MX" w:eastAsia="zh-CN"/>
              </w:rPr>
            </w:pPr>
            <w:r w:rsidRPr="00047A5B">
              <w:rPr>
                <w:rFonts w:ascii="Arial" w:hAnsi="Arial" w:cs="Arial"/>
                <w:sz w:val="20"/>
                <w:lang w:eastAsia="zh-CN"/>
              </w:rPr>
              <w:t>2019</w:t>
            </w:r>
          </w:p>
        </w:tc>
        <w:tc>
          <w:tcPr>
            <w:tcW w:w="1240" w:type="dxa"/>
            <w:tcBorders>
              <w:top w:val="single" w:sz="4" w:space="0" w:color="000000"/>
              <w:left w:val="single" w:sz="4" w:space="0" w:color="000000"/>
              <w:bottom w:val="single" w:sz="4" w:space="0" w:color="000000"/>
              <w:right w:val="single" w:sz="4" w:space="0" w:color="000000"/>
            </w:tcBorders>
          </w:tcPr>
          <w:p w14:paraId="7701D96A" w14:textId="0C9AAD84" w:rsidR="00D479F4" w:rsidRPr="00047A5B" w:rsidRDefault="00D479F4" w:rsidP="00D479F4">
            <w:pPr>
              <w:spacing w:before="40" w:after="40"/>
              <w:jc w:val="center"/>
              <w:rPr>
                <w:rFonts w:ascii="Arial" w:hAnsi="Arial" w:cs="Arial"/>
                <w:sz w:val="20"/>
                <w:lang w:val="es-MX" w:eastAsia="zh-CN"/>
              </w:rPr>
            </w:pPr>
            <w:r>
              <w:rPr>
                <w:rFonts w:ascii="Arial" w:hAnsi="Arial" w:cs="Arial"/>
                <w:sz w:val="20"/>
                <w:lang w:eastAsia="zh-CN"/>
              </w:rPr>
              <w:t>6</w:t>
            </w:r>
          </w:p>
        </w:tc>
        <w:tc>
          <w:tcPr>
            <w:tcW w:w="2430" w:type="dxa"/>
            <w:tcBorders>
              <w:top w:val="single" w:sz="4" w:space="0" w:color="000000"/>
              <w:left w:val="single" w:sz="4" w:space="0" w:color="000000"/>
              <w:bottom w:val="single" w:sz="4" w:space="0" w:color="000000"/>
              <w:right w:val="single" w:sz="4" w:space="0" w:color="000000"/>
            </w:tcBorders>
          </w:tcPr>
          <w:p w14:paraId="1CFEAB6D" w14:textId="70AD64C5" w:rsidR="00D479F4" w:rsidRPr="00047A5B" w:rsidRDefault="00D479F4" w:rsidP="00D479F4">
            <w:pPr>
              <w:spacing w:before="40" w:after="40"/>
              <w:rPr>
                <w:rFonts w:ascii="Arial" w:hAnsi="Arial" w:cs="Arial"/>
                <w:sz w:val="20"/>
                <w:lang w:val="es-MX" w:eastAsia="zh-CN"/>
              </w:rPr>
            </w:pPr>
            <w:r>
              <w:rPr>
                <w:rFonts w:ascii="Arial" w:hAnsi="Arial" w:cs="Arial"/>
                <w:sz w:val="20"/>
                <w:lang w:val="es-MX" w:eastAsia="zh-CN"/>
              </w:rPr>
              <w:t xml:space="preserve">Estudios publicados en la página </w:t>
            </w:r>
            <w:r w:rsidRPr="005A6C34">
              <w:rPr>
                <w:rFonts w:ascii="Arial" w:hAnsi="Arial" w:cs="Arial"/>
                <w:i/>
                <w:iCs/>
                <w:sz w:val="20"/>
                <w:lang w:val="es-MX" w:eastAsia="zh-CN"/>
              </w:rPr>
              <w:t>web</w:t>
            </w:r>
            <w:r>
              <w:rPr>
                <w:rFonts w:ascii="Arial" w:hAnsi="Arial" w:cs="Arial"/>
                <w:sz w:val="20"/>
                <w:lang w:val="es-MX" w:eastAsia="zh-CN"/>
              </w:rPr>
              <w:t xml:space="preserve"> del MH.</w:t>
            </w:r>
          </w:p>
        </w:tc>
        <w:tc>
          <w:tcPr>
            <w:tcW w:w="3890" w:type="dxa"/>
            <w:tcBorders>
              <w:top w:val="single" w:sz="4" w:space="0" w:color="000000"/>
              <w:left w:val="single" w:sz="4" w:space="0" w:color="000000"/>
              <w:bottom w:val="single" w:sz="4" w:space="0" w:color="000000"/>
              <w:right w:val="single" w:sz="4" w:space="0" w:color="000000"/>
            </w:tcBorders>
          </w:tcPr>
          <w:p w14:paraId="71032812" w14:textId="5FAB73D0" w:rsidR="00D479F4" w:rsidRPr="00D754EA" w:rsidRDefault="00D479F4" w:rsidP="00D479F4">
            <w:pPr>
              <w:spacing w:before="40" w:after="40"/>
              <w:jc w:val="both"/>
              <w:rPr>
                <w:rFonts w:ascii="Arial" w:hAnsi="Arial" w:cs="Arial"/>
                <w:sz w:val="20"/>
                <w:lang w:val="es-MX" w:eastAsia="zh-CN"/>
              </w:rPr>
            </w:pPr>
            <w:r w:rsidRPr="00D754EA">
              <w:rPr>
                <w:rFonts w:ascii="Arial" w:hAnsi="Arial" w:cs="Arial"/>
                <w:sz w:val="20"/>
                <w:lang w:val="es-MX" w:eastAsia="zh-CN"/>
              </w:rPr>
              <w:t>Se espera que el informe sobre los costos económicos, sociales y fiscales estimados sea actualizado al menos seis veces a lo largo del año. Cada actualización será considerada como un estudio completo.</w:t>
            </w:r>
          </w:p>
        </w:tc>
      </w:tr>
    </w:tbl>
    <w:p w14:paraId="319C3DA1" w14:textId="77777777" w:rsidR="00013D81" w:rsidRPr="002B4219" w:rsidRDefault="00013D81" w:rsidP="00485402">
      <w:pPr>
        <w:autoSpaceDE w:val="0"/>
        <w:autoSpaceDN w:val="0"/>
        <w:adjustRightInd w:val="0"/>
        <w:jc w:val="center"/>
        <w:rPr>
          <w:rFonts w:ascii="Arial" w:hAnsi="Arial" w:cs="Arial"/>
          <w:b/>
          <w:sz w:val="20"/>
        </w:rPr>
      </w:pPr>
    </w:p>
    <w:p w14:paraId="4BEBC901" w14:textId="77777777" w:rsidR="00D72F69" w:rsidRPr="00544627" w:rsidRDefault="00D72F69" w:rsidP="00A578FB">
      <w:pPr>
        <w:autoSpaceDE w:val="0"/>
        <w:autoSpaceDN w:val="0"/>
        <w:adjustRightInd w:val="0"/>
        <w:jc w:val="center"/>
        <w:rPr>
          <w:rFonts w:ascii="Arial" w:hAnsi="Arial" w:cs="Arial"/>
          <w:b/>
          <w:smallCaps/>
          <w:noProof/>
          <w:color w:val="000000"/>
          <w:sz w:val="20"/>
          <w:highlight w:val="yellow"/>
        </w:rPr>
      </w:pPr>
    </w:p>
    <w:p w14:paraId="61D9BEF6" w14:textId="77777777" w:rsidR="00A578FB" w:rsidRPr="00544627" w:rsidRDefault="00A578FB" w:rsidP="00A578FB">
      <w:pPr>
        <w:rPr>
          <w:highlight w:val="yellow"/>
          <w:lang w:val="es-ES"/>
        </w:rPr>
        <w:sectPr w:rsidR="00A578FB" w:rsidRPr="00544627" w:rsidSect="005A0ED4">
          <w:pgSz w:w="15840" w:h="12240" w:orient="landscape" w:code="1"/>
          <w:pgMar w:top="1800" w:right="1440" w:bottom="1800" w:left="1440" w:header="706" w:footer="706" w:gutter="0"/>
          <w:cols w:space="720"/>
          <w:formProt w:val="0"/>
          <w:docGrid w:linePitch="326"/>
        </w:sectPr>
      </w:pPr>
    </w:p>
    <w:p w14:paraId="01C95D35" w14:textId="631BE26E" w:rsidR="006256A4" w:rsidRPr="00835704" w:rsidRDefault="007625C5" w:rsidP="00835704">
      <w:pPr>
        <w:pStyle w:val="FirstHeading"/>
        <w:ind w:left="720"/>
        <w:rPr>
          <w:rFonts w:ascii="Arial" w:hAnsi="Arial" w:cs="Arial"/>
          <w:sz w:val="22"/>
          <w:szCs w:val="22"/>
        </w:rPr>
      </w:pPr>
      <w:bookmarkStart w:id="14" w:name="_Toc36166566"/>
      <w:r>
        <w:rPr>
          <w:rFonts w:ascii="Arial" w:hAnsi="Arial" w:cs="Arial"/>
          <w:sz w:val="22"/>
          <w:szCs w:val="22"/>
        </w:rPr>
        <w:lastRenderedPageBreak/>
        <w:t>C</w:t>
      </w:r>
      <w:r w:rsidR="00EB0154" w:rsidRPr="003B0457">
        <w:rPr>
          <w:rFonts w:ascii="Arial" w:hAnsi="Arial" w:cs="Arial"/>
          <w:sz w:val="22"/>
          <w:szCs w:val="22"/>
        </w:rPr>
        <w:t>.</w:t>
      </w:r>
      <w:r w:rsidR="00EB0154" w:rsidRPr="003B0457">
        <w:rPr>
          <w:rFonts w:ascii="Arial" w:hAnsi="Arial" w:cs="Arial"/>
          <w:sz w:val="22"/>
          <w:szCs w:val="22"/>
        </w:rPr>
        <w:tab/>
      </w:r>
      <w:r w:rsidR="007C1307" w:rsidRPr="003B0457">
        <w:rPr>
          <w:rFonts w:ascii="Arial" w:hAnsi="Arial" w:cs="Arial"/>
          <w:sz w:val="22"/>
          <w:szCs w:val="22"/>
        </w:rPr>
        <w:t xml:space="preserve">Conocimiento </w:t>
      </w:r>
      <w:r w:rsidR="004B2F1D" w:rsidRPr="003B0457">
        <w:rPr>
          <w:rFonts w:ascii="Arial" w:hAnsi="Arial" w:cs="Arial"/>
          <w:sz w:val="22"/>
          <w:szCs w:val="22"/>
        </w:rPr>
        <w:t>e</w:t>
      </w:r>
      <w:r w:rsidR="007C1307" w:rsidRPr="003B0457">
        <w:rPr>
          <w:rFonts w:ascii="Arial" w:hAnsi="Arial" w:cs="Arial"/>
          <w:sz w:val="22"/>
          <w:szCs w:val="22"/>
        </w:rPr>
        <w:t xml:space="preserve">xistente </w:t>
      </w:r>
      <w:bookmarkEnd w:id="14"/>
    </w:p>
    <w:p w14:paraId="76C3910E" w14:textId="23C37174" w:rsidR="00821780" w:rsidRDefault="00AE1C79" w:rsidP="00821780">
      <w:pPr>
        <w:pStyle w:val="AutoNumpara"/>
        <w:tabs>
          <w:tab w:val="clear" w:pos="360"/>
        </w:tabs>
        <w:spacing w:line="276" w:lineRule="auto"/>
        <w:ind w:left="0"/>
        <w:rPr>
          <w:rFonts w:ascii="Arial" w:eastAsia="Arial" w:hAnsi="Arial" w:cs="Arial"/>
          <w:noProof w:val="0"/>
          <w:spacing w:val="0"/>
          <w:sz w:val="22"/>
          <w:szCs w:val="22"/>
          <w:u w:val="single"/>
          <w:lang w:val="es-ES"/>
        </w:rPr>
      </w:pPr>
      <w:r>
        <w:rPr>
          <w:rFonts w:ascii="Arial" w:eastAsia="Arial" w:hAnsi="Arial" w:cs="Arial"/>
          <w:noProof w:val="0"/>
          <w:spacing w:val="0"/>
          <w:sz w:val="22"/>
          <w:szCs w:val="22"/>
          <w:u w:val="single"/>
          <w:lang w:val="es-ES"/>
        </w:rPr>
        <w:t>Asegurar disponibilidad oportuna de recursos</w:t>
      </w:r>
      <w:r w:rsidR="00D81F25">
        <w:rPr>
          <w:rFonts w:ascii="Arial" w:eastAsia="Arial" w:hAnsi="Arial" w:cs="Arial"/>
          <w:noProof w:val="0"/>
          <w:spacing w:val="0"/>
          <w:sz w:val="22"/>
          <w:szCs w:val="22"/>
          <w:u w:val="single"/>
          <w:lang w:val="es-ES"/>
        </w:rPr>
        <w:t xml:space="preserve"> para atender la crisis sanitaria COVID-19</w:t>
      </w:r>
    </w:p>
    <w:p w14:paraId="67938362" w14:textId="77777777" w:rsidR="00D95999" w:rsidRPr="00D95999" w:rsidRDefault="00D95999" w:rsidP="00D95999">
      <w:pPr>
        <w:pStyle w:val="Paragraph"/>
        <w:tabs>
          <w:tab w:val="num" w:pos="1440"/>
          <w:tab w:val="num" w:pos="1746"/>
        </w:tabs>
        <w:ind w:left="720" w:hanging="720"/>
        <w:rPr>
          <w:rFonts w:ascii="Arial" w:hAnsi="Arial" w:cs="Arial"/>
          <w:sz w:val="22"/>
          <w:szCs w:val="22"/>
        </w:rPr>
      </w:pPr>
      <w:r w:rsidRPr="00D95999">
        <w:rPr>
          <w:rFonts w:ascii="Arial" w:hAnsi="Arial" w:cs="Arial"/>
          <w:sz w:val="22"/>
          <w:szCs w:val="22"/>
        </w:rPr>
        <w:t>A medida que COVID-19 continúa extendiéndose rápidamente por todo el mundo, la mayoría de los países enfrentarán una gran presión en sus centros de salud, y muchos alcanzarán su capacidad máxima. América Latina tiene una pequeña ventana de oportunidad para prepararse y aprender de países que están más avanzados en la progresión de COVID-19, como China e Italia. Actualmente, estos países enfrentan una gran escasez de suministros y recursos médicos que son esenciales para reducir el riesgo de mortalidad entre los pacientes críticos y proteger al personal de salud (</w:t>
      </w:r>
      <w:proofErr w:type="spellStart"/>
      <w:r w:rsidRPr="00D95999">
        <w:rPr>
          <w:rFonts w:ascii="Arial" w:hAnsi="Arial" w:cs="Arial"/>
          <w:sz w:val="22"/>
          <w:szCs w:val="22"/>
        </w:rPr>
        <w:t>Remuzzi</w:t>
      </w:r>
      <w:proofErr w:type="spellEnd"/>
      <w:r w:rsidRPr="00D95999">
        <w:rPr>
          <w:rFonts w:ascii="Arial" w:hAnsi="Arial" w:cs="Arial"/>
          <w:sz w:val="22"/>
          <w:szCs w:val="22"/>
        </w:rPr>
        <w:t xml:space="preserve"> et al, 2020; </w:t>
      </w:r>
      <w:proofErr w:type="spellStart"/>
      <w:r w:rsidRPr="00D95999">
        <w:rPr>
          <w:rFonts w:ascii="Arial" w:hAnsi="Arial" w:cs="Arial"/>
          <w:sz w:val="22"/>
          <w:szCs w:val="22"/>
        </w:rPr>
        <w:t>Xie</w:t>
      </w:r>
      <w:proofErr w:type="spellEnd"/>
      <w:r w:rsidRPr="00D95999">
        <w:rPr>
          <w:rFonts w:ascii="Arial" w:hAnsi="Arial" w:cs="Arial"/>
          <w:sz w:val="22"/>
          <w:szCs w:val="22"/>
        </w:rPr>
        <w:t xml:space="preserve"> et al, 2020).</w:t>
      </w:r>
    </w:p>
    <w:p w14:paraId="212439EB" w14:textId="1695A2F3" w:rsidR="00D95999" w:rsidRPr="00D95999" w:rsidRDefault="00D95999" w:rsidP="00D95999">
      <w:pPr>
        <w:pStyle w:val="Paragraph"/>
        <w:tabs>
          <w:tab w:val="num" w:pos="1440"/>
          <w:tab w:val="num" w:pos="1746"/>
        </w:tabs>
        <w:ind w:left="720" w:hanging="720"/>
        <w:rPr>
          <w:rFonts w:ascii="Arial" w:hAnsi="Arial" w:cs="Arial"/>
          <w:sz w:val="22"/>
          <w:szCs w:val="22"/>
        </w:rPr>
      </w:pPr>
      <w:r w:rsidRPr="00D95999">
        <w:rPr>
          <w:rFonts w:ascii="Arial" w:hAnsi="Arial" w:cs="Arial"/>
          <w:sz w:val="22"/>
          <w:szCs w:val="22"/>
        </w:rPr>
        <w:t>En Italia, el porcentaje de pacientes ingresados ​​diariamente en unidades de cuidados intensivos (UCI) es de alrededor del 10%; suponiendo que esta tasa continúe, se pronostica que, dentro de un par de semanas, habrá escasez de camas, ventiladores, y otros equipamientos necesarios. A</w:t>
      </w:r>
      <w:r w:rsidR="000C662C">
        <w:rPr>
          <w:rFonts w:ascii="Arial" w:hAnsi="Arial" w:cs="Arial"/>
          <w:sz w:val="22"/>
          <w:szCs w:val="22"/>
        </w:rPr>
        <w:t xml:space="preserve"> la fecha, a</w:t>
      </w:r>
      <w:r w:rsidRPr="00D95999">
        <w:rPr>
          <w:rFonts w:ascii="Arial" w:hAnsi="Arial" w:cs="Arial"/>
          <w:sz w:val="22"/>
          <w:szCs w:val="22"/>
        </w:rPr>
        <w:t>lrededor del 20% de los trabajadores de la salud se han infectado y algunos se han muerto, en gran parte debido a la escasez de equipamiento de protección personal. Los modelos de predicción sugieren que las medidas relacionadas con la adquisición de personal, equipamiento técnico, y materiales deben tomarse en un par de días para evitar un número sustancial de muertes innecesarias. Algunas medidas tomadas en Italia han incluido la contratación de 20,000 doctores y enfermeras</w:t>
      </w:r>
      <w:r w:rsidR="00432E1A">
        <w:rPr>
          <w:rFonts w:ascii="Arial" w:hAnsi="Arial" w:cs="Arial"/>
          <w:sz w:val="22"/>
          <w:szCs w:val="22"/>
        </w:rPr>
        <w:t xml:space="preserve"> adicionales</w:t>
      </w:r>
      <w:r w:rsidRPr="00D95999">
        <w:rPr>
          <w:rFonts w:ascii="Arial" w:hAnsi="Arial" w:cs="Arial"/>
          <w:sz w:val="22"/>
          <w:szCs w:val="22"/>
        </w:rPr>
        <w:t>, el suministro de más de 5,000 ventiladores a hospitales, y la transferencia de pacientes de UCI no infectados con COVID-19 a hospitales en otras regiones con tasas más bajas de infección (</w:t>
      </w:r>
      <w:proofErr w:type="spellStart"/>
      <w:r w:rsidRPr="00D95999">
        <w:rPr>
          <w:rFonts w:ascii="Arial" w:hAnsi="Arial" w:cs="Arial"/>
          <w:sz w:val="22"/>
          <w:szCs w:val="22"/>
        </w:rPr>
        <w:t>Remuzzi</w:t>
      </w:r>
      <w:proofErr w:type="spellEnd"/>
      <w:r w:rsidRPr="00D95999">
        <w:rPr>
          <w:rFonts w:ascii="Arial" w:hAnsi="Arial" w:cs="Arial"/>
          <w:sz w:val="22"/>
          <w:szCs w:val="22"/>
        </w:rPr>
        <w:t xml:space="preserve"> et al, 2020 ) China, especialmente Wuhan, se enfrentó a una falta similar de recursos críticos, incluyendo camas de </w:t>
      </w:r>
      <w:r w:rsidR="0056559D">
        <w:rPr>
          <w:rFonts w:ascii="Arial" w:hAnsi="Arial" w:cs="Arial"/>
          <w:sz w:val="22"/>
          <w:szCs w:val="22"/>
        </w:rPr>
        <w:t>unidades de cuidado intensivo (</w:t>
      </w:r>
      <w:r w:rsidRPr="00D95999">
        <w:rPr>
          <w:rFonts w:ascii="Arial" w:hAnsi="Arial" w:cs="Arial"/>
          <w:sz w:val="22"/>
          <w:szCs w:val="22"/>
        </w:rPr>
        <w:t>UCI</w:t>
      </w:r>
      <w:r w:rsidR="0056559D">
        <w:rPr>
          <w:rFonts w:ascii="Arial" w:hAnsi="Arial" w:cs="Arial"/>
          <w:sz w:val="22"/>
          <w:szCs w:val="22"/>
        </w:rPr>
        <w:t>)</w:t>
      </w:r>
      <w:r w:rsidRPr="00D95999">
        <w:rPr>
          <w:rFonts w:ascii="Arial" w:hAnsi="Arial" w:cs="Arial"/>
          <w:sz w:val="22"/>
          <w:szCs w:val="22"/>
        </w:rPr>
        <w:t>, ventiladores, equipamiento de protección personal, y personal capacitado. El gobierno transformó rápidamente tres hospitales generales en hospitales de cuidados críticos con un total de aproximadamente 2,500 camas equipadas con monitores y ventiladores. Los doctores y las enfermeras de UCI también fueron transferidos de otras áreas del país a Wuhan para ayudar a resolver la escasez de personal capacitado (</w:t>
      </w:r>
      <w:proofErr w:type="spellStart"/>
      <w:r w:rsidRPr="00D95999">
        <w:rPr>
          <w:rFonts w:ascii="Arial" w:hAnsi="Arial" w:cs="Arial"/>
          <w:sz w:val="22"/>
          <w:szCs w:val="22"/>
        </w:rPr>
        <w:t>Xie</w:t>
      </w:r>
      <w:proofErr w:type="spellEnd"/>
      <w:r w:rsidRPr="00D95999">
        <w:rPr>
          <w:rFonts w:ascii="Arial" w:hAnsi="Arial" w:cs="Arial"/>
          <w:sz w:val="22"/>
          <w:szCs w:val="22"/>
        </w:rPr>
        <w:t xml:space="preserve"> et al, 2020).</w:t>
      </w:r>
    </w:p>
    <w:p w14:paraId="05CEB4C1" w14:textId="77777777" w:rsidR="00D95999" w:rsidRPr="00D95999" w:rsidRDefault="00D95999" w:rsidP="00D95999">
      <w:pPr>
        <w:pStyle w:val="Paragraph"/>
        <w:tabs>
          <w:tab w:val="num" w:pos="1440"/>
          <w:tab w:val="num" w:pos="1746"/>
        </w:tabs>
        <w:ind w:left="720" w:hanging="720"/>
        <w:rPr>
          <w:rFonts w:ascii="Arial" w:hAnsi="Arial" w:cs="Arial"/>
          <w:sz w:val="22"/>
          <w:szCs w:val="22"/>
        </w:rPr>
      </w:pPr>
      <w:r w:rsidRPr="00D95999">
        <w:rPr>
          <w:rFonts w:ascii="Arial" w:hAnsi="Arial" w:cs="Arial"/>
          <w:sz w:val="22"/>
          <w:szCs w:val="22"/>
        </w:rPr>
        <w:t>Es probable que América Latina enfrente un aumento en los casos de COVID-19 en las próximas semanas y desafíos similares en el manejo de la capacidad de los sistemas de salud y la disponibilidad de recursos esenciales. Una preparación activa que incluya planes locales y regionales para la asignación de recursos será necesaria para reducir la mortalidad y la morbilidad (</w:t>
      </w:r>
      <w:proofErr w:type="spellStart"/>
      <w:r w:rsidRPr="00D95999">
        <w:rPr>
          <w:rFonts w:ascii="Arial" w:hAnsi="Arial" w:cs="Arial"/>
          <w:sz w:val="22"/>
          <w:szCs w:val="22"/>
        </w:rPr>
        <w:t>Murthy</w:t>
      </w:r>
      <w:proofErr w:type="spellEnd"/>
      <w:r w:rsidRPr="00D95999">
        <w:rPr>
          <w:rFonts w:ascii="Arial" w:hAnsi="Arial" w:cs="Arial"/>
          <w:sz w:val="22"/>
          <w:szCs w:val="22"/>
        </w:rPr>
        <w:t xml:space="preserve"> et al, 2020; </w:t>
      </w:r>
      <w:proofErr w:type="spellStart"/>
      <w:r w:rsidRPr="00D95999">
        <w:rPr>
          <w:rFonts w:ascii="Arial" w:hAnsi="Arial" w:cs="Arial"/>
          <w:sz w:val="22"/>
          <w:szCs w:val="22"/>
        </w:rPr>
        <w:t>Madhav</w:t>
      </w:r>
      <w:proofErr w:type="spellEnd"/>
      <w:r w:rsidRPr="00D95999">
        <w:rPr>
          <w:rFonts w:ascii="Arial" w:hAnsi="Arial" w:cs="Arial"/>
          <w:sz w:val="22"/>
          <w:szCs w:val="22"/>
        </w:rPr>
        <w:t xml:space="preserve"> et al, 2017). Se requerirá un aumento en el presupuesto del sector de salud para adquirir y distribuir los recursos necesarios, como camas de la UCI, ventiladores, y equipamiento de protección personal, para manejar el aumento en los casos.</w:t>
      </w:r>
    </w:p>
    <w:p w14:paraId="65F9156C" w14:textId="77777777" w:rsidR="00D95999" w:rsidRPr="00D95999" w:rsidRDefault="00D95999" w:rsidP="00D95999">
      <w:pPr>
        <w:pStyle w:val="Paragraph"/>
        <w:tabs>
          <w:tab w:val="num" w:pos="1440"/>
          <w:tab w:val="num" w:pos="1746"/>
        </w:tabs>
        <w:ind w:left="720" w:hanging="720"/>
        <w:rPr>
          <w:rFonts w:ascii="Arial" w:hAnsi="Arial" w:cs="Arial"/>
          <w:sz w:val="22"/>
          <w:szCs w:val="22"/>
        </w:rPr>
      </w:pPr>
      <w:r w:rsidRPr="00D95999">
        <w:rPr>
          <w:rFonts w:ascii="Arial" w:hAnsi="Arial" w:cs="Arial"/>
          <w:sz w:val="22"/>
          <w:szCs w:val="22"/>
        </w:rPr>
        <w:t xml:space="preserve">La razón más documentada para requerir cuidados intensivos después de desarrollar COVID-19 es el soporte respiratorio. De los pacientes que se enferman gravemente por COVID-19, aproximadamente dos tercios obtienen SDRA (síndrome de dificultad respiratoria aguda). Las guías basadas en la evidencia para tratar el SDRA incluyen estrategias conservadoras de fluidos para pacientes sin shock después de la reanimación inicial, antibióticos empíricos tempranos por </w:t>
      </w:r>
      <w:r w:rsidRPr="00D95999">
        <w:rPr>
          <w:rFonts w:ascii="Arial" w:hAnsi="Arial" w:cs="Arial"/>
          <w:sz w:val="22"/>
          <w:szCs w:val="22"/>
        </w:rPr>
        <w:lastRenderedPageBreak/>
        <w:t>sospecha de coinfección bacteriana hasta que se realice un diagnóstico específico, ventilación con protección pulmonar, posicionamiento prono, y consideración de oxigenación de membrana extracorpórea para hipoxemia refractaria. Estos tratamientos requieren el uso de diversos recursos y equipamientos, incluyendo camas de hospital, ventiladores, oxigenación con membrana extracorpórea, y terapia de reemplazo renal (</w:t>
      </w:r>
      <w:proofErr w:type="spellStart"/>
      <w:r w:rsidRPr="00D95999">
        <w:rPr>
          <w:rFonts w:ascii="Arial" w:hAnsi="Arial" w:cs="Arial"/>
          <w:sz w:val="22"/>
          <w:szCs w:val="22"/>
        </w:rPr>
        <w:t>Murty</w:t>
      </w:r>
      <w:proofErr w:type="spellEnd"/>
      <w:r w:rsidRPr="00D95999">
        <w:rPr>
          <w:rFonts w:ascii="Arial" w:hAnsi="Arial" w:cs="Arial"/>
          <w:sz w:val="22"/>
          <w:szCs w:val="22"/>
        </w:rPr>
        <w:t xml:space="preserve"> et al, 2020).</w:t>
      </w:r>
    </w:p>
    <w:p w14:paraId="1FB7AAC0" w14:textId="36839DC2" w:rsidR="00D95999" w:rsidRPr="00D95999" w:rsidRDefault="00D95999" w:rsidP="00D95999">
      <w:pPr>
        <w:pStyle w:val="Paragraph"/>
        <w:tabs>
          <w:tab w:val="num" w:pos="1440"/>
          <w:tab w:val="num" w:pos="1746"/>
        </w:tabs>
        <w:ind w:left="720" w:hanging="720"/>
        <w:rPr>
          <w:rFonts w:ascii="Arial" w:hAnsi="Arial" w:cs="Arial"/>
          <w:sz w:val="22"/>
          <w:szCs w:val="22"/>
        </w:rPr>
      </w:pPr>
      <w:r w:rsidRPr="00D95999">
        <w:rPr>
          <w:rFonts w:ascii="Arial" w:hAnsi="Arial" w:cs="Arial"/>
          <w:sz w:val="22"/>
          <w:szCs w:val="22"/>
        </w:rPr>
        <w:t>Existe una gran cantidad de literatura sobre la efectividad del equipamiento de protección personal para reducir el riesgo de infección para el personal de salud (</w:t>
      </w:r>
      <w:proofErr w:type="spellStart"/>
      <w:r w:rsidRPr="00D95999">
        <w:rPr>
          <w:rFonts w:ascii="Arial" w:hAnsi="Arial" w:cs="Arial"/>
          <w:sz w:val="22"/>
          <w:szCs w:val="22"/>
        </w:rPr>
        <w:t>Nishiyama</w:t>
      </w:r>
      <w:proofErr w:type="spellEnd"/>
      <w:r w:rsidRPr="00D95999">
        <w:rPr>
          <w:rFonts w:ascii="Arial" w:hAnsi="Arial" w:cs="Arial"/>
          <w:sz w:val="22"/>
          <w:szCs w:val="22"/>
        </w:rPr>
        <w:t xml:space="preserve"> et al, 2008; Seto et al, 2003; Yen et al, 2011). Para evitar la escasez de equipamiento de protección personal esencial durante la respuesta de COVID-19, los gobiernos deben brindar una guía clara sobre el uso de equipamiento de protección personal y actuar ahora para asegurar suministros adecuados en preparación para posibles brotes en la región. La producción regional de suministros médicos también debe considerarse para reducir los riesgos de escasez de equipamiento de protección personal en momentos </w:t>
      </w:r>
      <w:r w:rsidR="00B70F11">
        <w:rPr>
          <w:rFonts w:ascii="Arial" w:hAnsi="Arial" w:cs="Arial"/>
          <w:sz w:val="22"/>
          <w:szCs w:val="22"/>
        </w:rPr>
        <w:t xml:space="preserve">críticos </w:t>
      </w:r>
      <w:r w:rsidRPr="00D95999">
        <w:rPr>
          <w:rFonts w:ascii="Arial" w:hAnsi="Arial" w:cs="Arial"/>
          <w:sz w:val="22"/>
          <w:szCs w:val="22"/>
        </w:rPr>
        <w:t>(Hopman et al, 2020).</w:t>
      </w:r>
    </w:p>
    <w:p w14:paraId="3DF7D42C" w14:textId="14F0642F" w:rsidR="00D95999" w:rsidRPr="00821780" w:rsidRDefault="00AE1C79" w:rsidP="00821780">
      <w:pPr>
        <w:pStyle w:val="AutoNumpara"/>
        <w:tabs>
          <w:tab w:val="clear" w:pos="360"/>
        </w:tabs>
        <w:spacing w:line="276" w:lineRule="auto"/>
        <w:ind w:left="0"/>
        <w:rPr>
          <w:rFonts w:ascii="Arial" w:eastAsia="Arial" w:hAnsi="Arial" w:cs="Arial"/>
          <w:noProof w:val="0"/>
          <w:spacing w:val="0"/>
          <w:sz w:val="22"/>
          <w:szCs w:val="22"/>
          <w:u w:val="single"/>
          <w:lang w:val="es-ES"/>
        </w:rPr>
      </w:pPr>
      <w:r>
        <w:rPr>
          <w:rFonts w:ascii="Arial" w:eastAsia="Arial" w:hAnsi="Arial" w:cs="Arial"/>
          <w:noProof w:val="0"/>
          <w:spacing w:val="0"/>
          <w:sz w:val="22"/>
          <w:szCs w:val="22"/>
          <w:u w:val="single"/>
          <w:lang w:val="es-ES"/>
        </w:rPr>
        <w:t>Protección de ingresos</w:t>
      </w:r>
      <w:r w:rsidR="00F87D8A">
        <w:rPr>
          <w:rFonts w:ascii="Arial" w:eastAsia="Arial" w:hAnsi="Arial" w:cs="Arial"/>
          <w:noProof w:val="0"/>
          <w:spacing w:val="0"/>
          <w:sz w:val="22"/>
          <w:szCs w:val="22"/>
          <w:u w:val="single"/>
          <w:lang w:val="es-ES"/>
        </w:rPr>
        <w:t xml:space="preserve"> de los hogares</w:t>
      </w:r>
      <w:r>
        <w:rPr>
          <w:rFonts w:ascii="Arial" w:eastAsia="Arial" w:hAnsi="Arial" w:cs="Arial"/>
          <w:noProof w:val="0"/>
          <w:spacing w:val="0"/>
          <w:sz w:val="22"/>
          <w:szCs w:val="22"/>
          <w:u w:val="single"/>
          <w:lang w:val="es-ES"/>
        </w:rPr>
        <w:t xml:space="preserve"> y liquidez</w:t>
      </w:r>
      <w:r w:rsidR="000533D7">
        <w:rPr>
          <w:rFonts w:ascii="Arial" w:eastAsia="Arial" w:hAnsi="Arial" w:cs="Arial"/>
          <w:noProof w:val="0"/>
          <w:spacing w:val="0"/>
          <w:sz w:val="22"/>
          <w:szCs w:val="22"/>
          <w:u w:val="single"/>
          <w:lang w:val="es-ES"/>
        </w:rPr>
        <w:t xml:space="preserve"> de las empresas</w:t>
      </w:r>
    </w:p>
    <w:p w14:paraId="47A0C8D6" w14:textId="35C26EAD" w:rsidR="00821780" w:rsidRPr="004267F1" w:rsidRDefault="00821780" w:rsidP="004267F1">
      <w:pPr>
        <w:pStyle w:val="Paragraph"/>
        <w:tabs>
          <w:tab w:val="num" w:pos="1440"/>
          <w:tab w:val="num" w:pos="1746"/>
        </w:tabs>
        <w:ind w:left="720" w:hanging="720"/>
        <w:rPr>
          <w:rFonts w:ascii="Arial" w:hAnsi="Arial" w:cs="Arial"/>
          <w:sz w:val="22"/>
          <w:szCs w:val="22"/>
        </w:rPr>
      </w:pPr>
      <w:r w:rsidRPr="004267F1">
        <w:rPr>
          <w:rFonts w:ascii="Arial" w:hAnsi="Arial" w:cs="Arial"/>
          <w:sz w:val="22"/>
          <w:szCs w:val="22"/>
        </w:rPr>
        <w:t xml:space="preserve">Dado el brote de COVID-19, las medidas de protección social son más necesarias que nunca. Entre éstas, las transferencias condicionadas y no condicionadas, ya sea en efectivo o en especie, son una herramienta de política ampliamente utilizada en los sistemas de protección social de la región.  Existe extensa evidencia de la literatura sobre el efecto de las transferencias monetarias en reducir la pobreza y en proteger a los hogares más vulnerables de caer en la pobreza debido shocks negativos en sus ingresos. Una revisión de varias evaluaciones de programas de transferencias monetarias condicionadas (CCT, por sus siglas en inglés) en la región muestra que, en general, estos programas han tenido impactos positivos en el nivel de consumo de los hogares, especialmente cuando el monto de la transferencia es significativo. Más aún, ya que las transferencias en la mayoría de los casos están focalizadas en los hogares pobres, los efectos en consumo se han traducido en impactos en reducción de pobreza </w:t>
      </w:r>
      <w:r w:rsidRPr="004267F1">
        <w:rPr>
          <w:rFonts w:ascii="Arial" w:hAnsi="Arial" w:cs="Arial"/>
          <w:sz w:val="22"/>
          <w:szCs w:val="22"/>
        </w:rPr>
        <w:fldChar w:fldCharType="begin" w:fldLock="1"/>
      </w:r>
      <w:r w:rsidRPr="004267F1">
        <w:rPr>
          <w:rFonts w:ascii="Arial" w:hAnsi="Arial" w:cs="Arial"/>
          <w:sz w:val="22"/>
          <w:szCs w:val="22"/>
        </w:rPr>
        <w:instrText>ADDIN CSL_CITATION {"citationItems":[{"id":"ITEM-1","itemData":{"ISBN":"9780821373521","author":[{"dropping-particle":"","family":"Fiszbein","given":"Ariel","non-dropping-particle":"","parse-names":false,"suffix":""},{"dropping-particle":"","family":"Schady","given":"Norbert","non-dropping-particle":"","parse-names":false,"suffix":""}],"id":"ITEM-1","issued":{"date-parts":[["2009"]]},"publisher-place":"Washington, DC","title":"Conditional Cash Transfers: Reducing Present and Future Poverty","type":"report"},"uris":["http://www.mendeley.com/documents/?uuid=0e9c7e72-ae21-424d-b726-b7c73d0ecc0d"]}],"mendeley":{"formattedCitation":"(Fiszbein &amp; Schady, 2009)","plainTextFormattedCitation":"(Fiszbein &amp; Schady, 2009)","previouslyFormattedCitation":"(Fiszbein &amp; Schady, 2009)"},"properties":{"noteIndex":0},"schema":"https://github.com/citation-style-language/schema/raw/master/csl-citation.json"}</w:instrText>
      </w:r>
      <w:r w:rsidRPr="004267F1">
        <w:rPr>
          <w:rFonts w:ascii="Arial" w:hAnsi="Arial" w:cs="Arial"/>
          <w:sz w:val="22"/>
          <w:szCs w:val="22"/>
        </w:rPr>
        <w:fldChar w:fldCharType="separate"/>
      </w:r>
      <w:r w:rsidRPr="004267F1">
        <w:rPr>
          <w:rFonts w:ascii="Arial" w:hAnsi="Arial" w:cs="Arial"/>
          <w:sz w:val="22"/>
          <w:szCs w:val="22"/>
        </w:rPr>
        <w:t>(Fiszbein &amp; Schady, 2009)</w:t>
      </w:r>
      <w:r w:rsidRPr="004267F1">
        <w:rPr>
          <w:rFonts w:ascii="Arial" w:hAnsi="Arial" w:cs="Arial"/>
          <w:sz w:val="22"/>
          <w:szCs w:val="22"/>
        </w:rPr>
        <w:fldChar w:fldCharType="end"/>
      </w:r>
      <w:r w:rsidRPr="004267F1">
        <w:rPr>
          <w:rFonts w:ascii="Arial" w:hAnsi="Arial" w:cs="Arial"/>
          <w:sz w:val="22"/>
          <w:szCs w:val="22"/>
        </w:rPr>
        <w:t>. Evidencia más reciente de 44 estudios que evalúan el impacto de las transferencias monetarias (condicionadas y no condicionadas) encuentra: efectos positivos en el  nivel de gasto total de los hogares que varían de 2</w:t>
      </w:r>
      <w:r w:rsidR="00B21F5B">
        <w:rPr>
          <w:rFonts w:ascii="Arial" w:hAnsi="Arial" w:cs="Arial"/>
          <w:sz w:val="22"/>
          <w:szCs w:val="22"/>
        </w:rPr>
        <w:t>,</w:t>
      </w:r>
      <w:r w:rsidRPr="004267F1">
        <w:rPr>
          <w:rFonts w:ascii="Arial" w:hAnsi="Arial" w:cs="Arial"/>
          <w:sz w:val="22"/>
          <w:szCs w:val="22"/>
        </w:rPr>
        <w:t xml:space="preserve">8 puntos porcentuales (en Colombia) a 33 puntos porcentuales (en Perú); efectos positivos en el nivel de gasto alimentario; y reducciones en la prevalencia de pobreza del orden de 4 puntos porcentuales (en Zambia) hasta casi 9 puntos porcentuales (en México) </w:t>
      </w:r>
      <w:r w:rsidRPr="004267F1">
        <w:rPr>
          <w:rFonts w:ascii="Arial" w:hAnsi="Arial" w:cs="Arial"/>
          <w:sz w:val="22"/>
          <w:szCs w:val="22"/>
        </w:rPr>
        <w:fldChar w:fldCharType="begin" w:fldLock="1"/>
      </w:r>
      <w:r w:rsidRPr="004267F1">
        <w:rPr>
          <w:rFonts w:ascii="Arial" w:hAnsi="Arial" w:cs="Arial"/>
          <w:sz w:val="22"/>
          <w:szCs w:val="22"/>
        </w:rPr>
        <w:instrText>ADDIN CSL_CITATION {"citationItems":[{"id":"ITEM-1","itemData":{"DOI":"DOI: 10.13140/RG.2.2.29336.39687","author":[{"dropping-particle":"","family":"Bastagli","given":"Francesca","non-dropping-particle":"","parse-names":false,"suffix":""},{"dropping-particle":"","family":"Hagen-Zanker","given":"Jessica","non-dropping-particle":"","parse-names":false,"suffix":""},{"dropping-particle":"","family":"Harman","given":"Luke","non-dropping-particle":"","parse-names":false,"suffix":""},{"dropping-particle":"","family":"Barca","given":"Valentina","non-dropping-particle":"","parse-names":false,"suffix":""},{"dropping-particle":"","family":"Sturge","given":"Georgina","non-dropping-particle":"","parse-names":false,"suffix":""},{"dropping-particle":"","family":"Schmidt","given":"Tanja","non-dropping-particle":"","parse-names":false,"suffix":""}],"container-title":"Cash transfers: what does the evidence say?","id":"ITEM-1","issue":"July","issued":{"date-parts":[["2016"]]},"title":"Cash transfers: What does the evidence... (PDF Download Available)","type":"article-journal"},"uris":["http://www.mendeley.com/documents/?uuid=e518c714-d91c-4e5a-9328-8dadb19cc184"]}],"mendeley":{"formattedCitation":"(Bastagli et al., 2016)","plainTextFormattedCitation":"(Bastagli et al., 2016)","previouslyFormattedCitation":"(Bastagli et al., 2016)"},"properties":{"noteIndex":0},"schema":"https://github.com/citation-style-language/schema/raw/master/csl-citation.json"}</w:instrText>
      </w:r>
      <w:r w:rsidRPr="004267F1">
        <w:rPr>
          <w:rFonts w:ascii="Arial" w:hAnsi="Arial" w:cs="Arial"/>
          <w:sz w:val="22"/>
          <w:szCs w:val="22"/>
        </w:rPr>
        <w:fldChar w:fldCharType="separate"/>
      </w:r>
      <w:r w:rsidRPr="004267F1">
        <w:rPr>
          <w:rFonts w:ascii="Arial" w:hAnsi="Arial" w:cs="Arial"/>
          <w:sz w:val="22"/>
          <w:szCs w:val="22"/>
        </w:rPr>
        <w:t>(Bastagli et al., 2016)</w:t>
      </w:r>
      <w:r w:rsidRPr="004267F1">
        <w:rPr>
          <w:rFonts w:ascii="Arial" w:hAnsi="Arial" w:cs="Arial"/>
          <w:sz w:val="22"/>
          <w:szCs w:val="22"/>
        </w:rPr>
        <w:fldChar w:fldCharType="end"/>
      </w:r>
      <w:r w:rsidRPr="004267F1">
        <w:rPr>
          <w:rFonts w:ascii="Arial" w:hAnsi="Arial" w:cs="Arial"/>
          <w:sz w:val="22"/>
          <w:szCs w:val="22"/>
        </w:rPr>
        <w:t xml:space="preserve">. </w:t>
      </w:r>
    </w:p>
    <w:p w14:paraId="7E45923B" w14:textId="27BFB52A" w:rsidR="00821780" w:rsidRPr="004267F1" w:rsidRDefault="00821780" w:rsidP="004267F1">
      <w:pPr>
        <w:pStyle w:val="Paragraph"/>
        <w:tabs>
          <w:tab w:val="num" w:pos="1440"/>
          <w:tab w:val="num" w:pos="1746"/>
        </w:tabs>
        <w:ind w:left="720" w:hanging="720"/>
        <w:rPr>
          <w:rFonts w:ascii="Arial" w:hAnsi="Arial" w:cs="Arial"/>
          <w:sz w:val="22"/>
          <w:szCs w:val="22"/>
        </w:rPr>
      </w:pPr>
      <w:r w:rsidRPr="004267F1">
        <w:rPr>
          <w:rFonts w:ascii="Arial" w:hAnsi="Arial" w:cs="Arial"/>
          <w:sz w:val="22"/>
          <w:szCs w:val="22"/>
        </w:rPr>
        <w:t xml:space="preserve">Además de los efectos sobre la pobreza, las transferencias monetarias pueden tener impacto en indicadores de inversión en capital humano (salud, educación), ya sea a través del efecto directo sobre los ingresos, o a través de los efectos en cambios de comportamiento asociados a las condicionalidades de las transferencias, en el caso de CCT. Una revisión sistemática de evaluaciones de impacto muestra que incluso las transferencias monetarias no condicionadas pueden mejorar algunos indicadores sanitarios y nutricionales como la probabilidad de enfermar y la seguridad alimentaria </w:t>
      </w:r>
      <w:r w:rsidRPr="004267F1">
        <w:rPr>
          <w:rFonts w:ascii="Arial" w:hAnsi="Arial" w:cs="Arial"/>
          <w:sz w:val="22"/>
          <w:szCs w:val="22"/>
        </w:rPr>
        <w:fldChar w:fldCharType="begin" w:fldLock="1"/>
      </w:r>
      <w:r w:rsidRPr="004267F1">
        <w:rPr>
          <w:rFonts w:ascii="Arial" w:hAnsi="Arial" w:cs="Arial"/>
          <w:sz w:val="22"/>
          <w:szCs w:val="22"/>
        </w:rPr>
        <w:instrText>ADDIN CSL_CITATION {"citationItems":[{"id":"ITEM-1","itemData":{"DOI":"10.1002/14651858.CD011135.pub2","ISSN":"1469493X","abstract":"Background: Unconditional cash transfers (UCTs; provided without obligation) for reducing poverty and vulnerabilities (e.g. orphanhood, old age or HIV infection) are a type of social protection intervention that addresses a key social determinant of health (income) in low- and middle-income countries (LMICs). The relative effectiveness of UCTs compared with conditional cash transfers (CCTs; provided so long as the recipient engages in prescribed behaviours such as using a health service or attending school) is unknown. Objectives: To assess the effects of UCTs for improving health services use and health outcomes in vulnerable children and adults in LMICs. Secondary objectives are to assess the effects of UCTs on social determinants of health and healthcare expenditure and to compare to effects of UCTs versus CCTs. Search methods: We searched 17 electronic academic databases, including the Cochrane Public Health Group Specialised Register, the Cochrane Database of Systematic Reviews (the Cochrane Library 2017, Issue 5), MEDLINE and Embase, in May 2017. We also searched six electronic grey literature databases and websites of key organisations, handsearched key journals and included records, and sought expert advice. Selection criteria: We included both parallel group and cluster-randomised controlled trials (RCTs), quasi-RCTs, cohort and controlled before-and-after (CBAs) studies, and interrupted time series studies of UCT interventions in children (0 to 17 years) and adults (18 years or older) in LMICs. Comparison groups received either no UCT or a smaller UCT. Our primary outcomes were any health services use or health outcome. Data collection and analysis: Two reviewers independently screened potentially relevant records for inclusion criteria, extracted data and assessed the risk of bias. We tried to obtain missing data from study authors if feasible. For cluster-RCTs, we generally calculated risk ratios for dichotomous outcomes from crude frequency measures in approximately correct analyses. Meta-analyses applied the inverse variance or Mantel-Haenszel method with random effects. We assessed the quality of evidence using the GRADE approach. Main results: We included 21 studies (16 cluster-RCTs, 4 CBAs and 1 cohort study) involving 1,092,877 participants (36,068 children and 1,056,809 adults) and 31,865 households in Africa, the Americas and South-East Asia in our meta-analyses and narrative synthesis. The 17 types of UCTs we identified, including o…","author":[{"dropping-particle":"","family":"Pega","given":"Frank","non-dropping-particle":"","parse-names":false,"suffix":""},{"dropping-particle":"","family":"Liu","given":"Sze Yan","non-dropping-particle":"","parse-names":false,"suffix":""},{"dropping-particle":"","family":"Walter","given":"Stefan","non-dropping-particle":"","parse-names":false,"suffix":""},{"dropping-particle":"","family":"Pabayo","given":"Roman","non-dropping-particle":"","parse-names":false,"suffix":""},{"dropping-particle":"","family":"Saith","given":"Ruhi","non-dropping-particle":"","parse-names":false,"suffix":""},{"dropping-particle":"","family":"Lhachimi","given":"Stefan K.","non-dropping-particle":"","parse-names":false,"suffix":""}],"container-title":"Cochrane Database of Systematic Reviews","id":"ITEM-1","issue":"11","issued":{"date-parts":[["2017"]]},"title":"Unconditional cash transfers for reducing poverty and vulnerabilities: Effect on use of health services and health outcomes in low- and middle-income countries","type":"article-journal","volume":"2017"},"uris":["http://www.mendeley.com/documents/?uuid=33830c56-fc0a-46f2-9e65-900ed944194b"]}],"mendeley":{"formattedCitation":"(Pega et al., 2017)","plainTextFormattedCitation":"(Pega et al., 2017)","previouslyFormattedCitation":"(Pega et al., 2017)"},"properties":{"noteIndex":0},"schema":"https://github.com/citation-style-language/schema/raw/master/csl-citation.json"}</w:instrText>
      </w:r>
      <w:r w:rsidRPr="004267F1">
        <w:rPr>
          <w:rFonts w:ascii="Arial" w:hAnsi="Arial" w:cs="Arial"/>
          <w:sz w:val="22"/>
          <w:szCs w:val="22"/>
        </w:rPr>
        <w:fldChar w:fldCharType="separate"/>
      </w:r>
      <w:r w:rsidRPr="004267F1">
        <w:rPr>
          <w:rFonts w:ascii="Arial" w:hAnsi="Arial" w:cs="Arial"/>
          <w:sz w:val="22"/>
          <w:szCs w:val="22"/>
        </w:rPr>
        <w:t>(Pega et al., 2017)</w:t>
      </w:r>
      <w:r w:rsidRPr="004267F1">
        <w:rPr>
          <w:rFonts w:ascii="Arial" w:hAnsi="Arial" w:cs="Arial"/>
          <w:sz w:val="22"/>
          <w:szCs w:val="22"/>
        </w:rPr>
        <w:fldChar w:fldCharType="end"/>
      </w:r>
      <w:r w:rsidRPr="004267F1">
        <w:rPr>
          <w:rFonts w:ascii="Arial" w:hAnsi="Arial" w:cs="Arial"/>
          <w:sz w:val="22"/>
          <w:szCs w:val="22"/>
        </w:rPr>
        <w:t xml:space="preserve">.     </w:t>
      </w:r>
    </w:p>
    <w:p w14:paraId="4E07CF21" w14:textId="77777777" w:rsidR="00821780" w:rsidRPr="004267F1" w:rsidRDefault="00821780" w:rsidP="004267F1">
      <w:pPr>
        <w:pStyle w:val="Paragraph"/>
        <w:tabs>
          <w:tab w:val="num" w:pos="1440"/>
          <w:tab w:val="num" w:pos="1746"/>
        </w:tabs>
        <w:ind w:left="720" w:hanging="720"/>
        <w:rPr>
          <w:rFonts w:ascii="Arial" w:hAnsi="Arial" w:cs="Arial"/>
          <w:sz w:val="22"/>
          <w:szCs w:val="22"/>
        </w:rPr>
      </w:pPr>
      <w:r w:rsidRPr="004267F1">
        <w:rPr>
          <w:rFonts w:ascii="Arial" w:hAnsi="Arial" w:cs="Arial"/>
          <w:sz w:val="22"/>
          <w:szCs w:val="22"/>
        </w:rPr>
        <w:lastRenderedPageBreak/>
        <w:t xml:space="preserve">Estos resultados demuestran la efectividad de las transferencias como medidas de protección del ingreso, en especial para los hogares en mayor riesgo (hogares pobres, con adultos mayores, niños pequeños o personas con discapacidad) y sugieren que estas medidas pueden ser usadas de manera exitosa para aminorar el impacto de la crisis, siempre y cuando estén integradas en una política más amplia de protección social.   </w:t>
      </w:r>
    </w:p>
    <w:p w14:paraId="265A2E43" w14:textId="77777777" w:rsidR="00821780" w:rsidRPr="004267F1" w:rsidRDefault="00821780" w:rsidP="004267F1">
      <w:pPr>
        <w:pStyle w:val="Paragraph"/>
        <w:tabs>
          <w:tab w:val="num" w:pos="1440"/>
          <w:tab w:val="num" w:pos="1746"/>
        </w:tabs>
        <w:ind w:left="720" w:hanging="720"/>
        <w:rPr>
          <w:rFonts w:ascii="Arial" w:hAnsi="Arial" w:cs="Arial"/>
          <w:sz w:val="22"/>
          <w:szCs w:val="22"/>
        </w:rPr>
      </w:pPr>
      <w:r w:rsidRPr="004267F1">
        <w:rPr>
          <w:rFonts w:ascii="Arial" w:hAnsi="Arial" w:cs="Arial"/>
          <w:sz w:val="22"/>
          <w:szCs w:val="22"/>
        </w:rPr>
        <w:t xml:space="preserve">Los subsidios a los salarios para proteger el empleo son una medida frecuente de seguridad social en el contexto de una crisis económica. En efecto, al 20 de marzo del 2020, 11 programas de subsidio al empleo ya habían sido implementados en respuesta a la crisis del COVID-19, siendo la medida más utilizada después de las transferencias monetarias. Estudios fuera del contexto de una crisis encuentran que los subsidios salariales pueden fomentar el empleo </w:t>
      </w:r>
      <w:r w:rsidRPr="004267F1">
        <w:rPr>
          <w:rFonts w:ascii="Arial" w:hAnsi="Arial" w:cs="Arial"/>
          <w:sz w:val="22"/>
          <w:szCs w:val="22"/>
        </w:rPr>
        <w:fldChar w:fldCharType="begin" w:fldLock="1"/>
      </w:r>
      <w:r w:rsidRPr="004267F1">
        <w:rPr>
          <w:rFonts w:ascii="Arial" w:hAnsi="Arial" w:cs="Arial"/>
          <w:sz w:val="22"/>
          <w:szCs w:val="22"/>
        </w:rPr>
        <w:instrText>ADDIN CSL_CITATION {"citationItems":[{"id":"ITEM-1","itemData":{"DOI":"10.1016/j.labeco.2009.12.002","ISSN":"09275371","abstract":"This paper studies the effects on registered employment and number of registered establishments of two employment subsidy schemes in Turkey. We implement a difference-in-differences methodology to construct appropriate counterfactuals for the covered provinces. Our findings suggest that both subsidy programs did lead to significant net increases in registered jobs in eligible provinces (5%-13% for the first program and 11%-15% for the second). However, the cost of the actual job creation was high because of substantial deadweight losses, particularly for the first program (47% and 78%). Because of better design features, the second subsidy program had lower, though still significant, deadweight losses (27%-46%). Although constrained by data availability, the evidence suggests that the dominant effect of subsidies was to increase social security registration of firms and workers rather than boosting total employment and economic activity. This supports the theory that in countries with weak enforcement institutions, high labor taxes on low-wage workers may lead to substantial incentives for firms and workers to operate informally. © 2009.","author":[{"dropping-particle":"","family":"Betcherman","given":"Gordon","non-dropping-particle":"","parse-names":false,"suffix":""},{"dropping-particle":"","family":"Daysal","given":"N. Meltem","non-dropping-particle":"","parse-names":false,"suffix":""},{"dropping-particle":"","family":"Pagés","given":"Carmen","non-dropping-particle":"","parse-names":false,"suffix":""}],"container-title":"Labour Economics","id":"ITEM-1","issue":"4","issued":{"date-parts":[["2010","8","1"]]},"page":"710-722","publisher":"North-Holland","title":"Do employment subsidies work? Evidence from regionally targeted subsidies in Turkey","type":"article-journal","volume":"17"},"uris":["http://www.mendeley.com/documents/?uuid=a51edf12-ca8a-3547-9d45-b4a6be3e5173"]},{"id":"ITEM-2","itemData":{"DOI":"10.1162/REST_a_00584","ISSN":"15309142","abstract":"This study examines the impact of a randomized experiment in Jordan in which female community college graduates were assigned to receive a wage subsidy voucher. The wage voucher led to a 38 percentage point increase in employment in the short run, but the average effect is much smaller and no longer statistically significant after the voucher period has expired. The extra job experience gained as a result of the wage subsidy does not provide a stepping-stone to new jobs for these recent graduates, which appears to be due to productivity levels not rising above a binding minimum wage.","author":[{"dropping-particle":"","family":"Groh","given":"Matthew","non-dropping-particle":"","parse-names":false,"suffix":""},{"dropping-particle":"","family":"Krishnan","given":"Nandini","non-dropping-particle":"","parse-names":false,"suffix":""},{"dropping-particle":"","family":"McKenzie","given":"David","non-dropping-particle":"","parse-names":false,"suffix":""},{"dropping-particle":"","family":"Vishwanath","given":"Tara","non-dropping-particle":"","parse-names":false,"suffix":""}],"container-title":"Review of Economics and Statistics","id":"ITEM-2","issue":"3","issued":{"date-parts":[["2016","7","1"]]},"page":"488-502","publisher":"MIT Press Journals","title":"Do wage subsidies provide a stepping-stone to employment for recent college graduates? Evidence from a randomized experiment in Jordan","type":"article-journal","volume":"98"},"uris":["http://www.mendeley.com/documents/?uuid=3b443a5f-d71d-3cf8-86a3-b46c1e328c7f"]}],"mendeley":{"formattedCitation":"(Betcherman, Daysal, &amp; Pagés, 2010; Groh, Krishnan, McKenzie, &amp; Vishwanath, 2016)","plainTextFormattedCitation":"(Betcherman, Daysal, &amp; Pagés, 2010; Groh, Krishnan, McKenzie, &amp; Vishwanath, 2016)","previouslyFormattedCitation":"(Betcherman, Daysal, &amp; Pagés, 2010)"},"properties":{"noteIndex":0},"schema":"https://github.com/citation-style-language/schema/raw/master/csl-citation.json"}</w:instrText>
      </w:r>
      <w:r w:rsidRPr="004267F1">
        <w:rPr>
          <w:rFonts w:ascii="Arial" w:hAnsi="Arial" w:cs="Arial"/>
          <w:sz w:val="22"/>
          <w:szCs w:val="22"/>
        </w:rPr>
        <w:fldChar w:fldCharType="separate"/>
      </w:r>
      <w:r w:rsidRPr="004267F1">
        <w:rPr>
          <w:rFonts w:ascii="Arial" w:hAnsi="Arial" w:cs="Arial"/>
          <w:sz w:val="22"/>
          <w:szCs w:val="22"/>
        </w:rPr>
        <w:t>(Betcherman, Daysal, &amp; Pagés, 2010; Groh, Krishnan, McKenzie, &amp; Vishwanath, 2016)</w:t>
      </w:r>
      <w:r w:rsidRPr="004267F1">
        <w:rPr>
          <w:rFonts w:ascii="Arial" w:hAnsi="Arial" w:cs="Arial"/>
          <w:sz w:val="22"/>
          <w:szCs w:val="22"/>
        </w:rPr>
        <w:fldChar w:fldCharType="end"/>
      </w:r>
      <w:r w:rsidRPr="004267F1">
        <w:rPr>
          <w:rFonts w:ascii="Arial" w:hAnsi="Arial" w:cs="Arial"/>
          <w:sz w:val="22"/>
          <w:szCs w:val="22"/>
        </w:rPr>
        <w:t xml:space="preserve">. Si bien la evidencia sobre la efectividad de estos subsidios en contexto de crisis es todavía escasa, existen algunos estudios que demuestran su efectividad. Entre ellos, una evaluación muy reciente en México encuentra que la otorgación de subsidios al empleo a empresas en ciertas industrias, bajo la condición de que mantengan a sus trabajadores durante la crisis financiera y económica global de 2008, tiene un efecto positivo, pero no significativo, en el empleo de una magnitud de 5.7 a 13.2%, dependiendo el modelo de estimación. Este efecto aumenta a 24% después del cierre del programa. Los resultados también muestran que el empleo después del programa tuvo una recuperación más rápida en las industrias elegibles que en las no elegibles de este beneficio </w:t>
      </w:r>
      <w:r w:rsidRPr="004267F1">
        <w:rPr>
          <w:rFonts w:ascii="Arial" w:hAnsi="Arial" w:cs="Arial"/>
          <w:sz w:val="22"/>
          <w:szCs w:val="22"/>
        </w:rPr>
        <w:fldChar w:fldCharType="begin" w:fldLock="1"/>
      </w:r>
      <w:r w:rsidRPr="004267F1">
        <w:rPr>
          <w:rFonts w:ascii="Arial" w:hAnsi="Arial" w:cs="Arial"/>
          <w:sz w:val="22"/>
          <w:szCs w:val="22"/>
        </w:rPr>
        <w:instrText>ADDIN CSL_CITATION {"citationItems":[{"id":"ITEM-1","itemData":{"DOI":"10.1080/00220388.2020.1715941","ISSN":"17439140","abstract":"This paper measures the employment effect of a programme in Mexico that granted firms wage subsidies during the recent economic crisis. I use monthly administrative data at the industry level, along with Euclidean distance matching to construct groups of eligible and ineligible durable goods manufacturing industries that display statistically identical preprogramme trends in employment. Difference-in-difference results show a positive but not statistically significant effect of the wage subsidies on employment during the programme’s eight-month duration. The size of the effect increases to 18 per cent after the programme ended and the results indicate that employment after the programme recovered faster in eligible industries than in ineligible industries. Additional analysis suggests that the programme did not incentivise firms to retain workers with job-specific skills as originally intended. Instead, the payment of subsidy funds, which only happened towards the end of the programme, seems to have provided liquidity for hiring back workers.","author":[{"dropping-particle":"","family":"Bruhn","given":"Miriam","non-dropping-particle":"","parse-names":false,"suffix":""}],"container-title":"Journal of Development Studies","id":"ITEM-1","issue":"March","issued":{"date-parts":[["2020"]]},"title":"Can Wage Subsidies Boost Employment in the Wake of an Economic Crisis? Evidence from Mexico","type":"article-journal"},"uris":["http://www.mendeley.com/documents/?uuid=527b1502-8deb-4421-b5d3-aaca5aa49271"]}],"mendeley":{"formattedCitation":"(Bruhn, 2020)","plainTextFormattedCitation":"(Bruhn, 2020)","previouslyFormattedCitation":"(Bruhn, 2020)"},"properties":{"noteIndex":0},"schema":"https://github.com/citation-style-language/schema/raw/master/csl-citation.json"}</w:instrText>
      </w:r>
      <w:r w:rsidRPr="004267F1">
        <w:rPr>
          <w:rFonts w:ascii="Arial" w:hAnsi="Arial" w:cs="Arial"/>
          <w:sz w:val="22"/>
          <w:szCs w:val="22"/>
        </w:rPr>
        <w:fldChar w:fldCharType="separate"/>
      </w:r>
      <w:r w:rsidRPr="004267F1">
        <w:rPr>
          <w:rFonts w:ascii="Arial" w:hAnsi="Arial" w:cs="Arial"/>
          <w:sz w:val="22"/>
          <w:szCs w:val="22"/>
        </w:rPr>
        <w:t>(Bruhn, 2020)</w:t>
      </w:r>
      <w:r w:rsidRPr="004267F1">
        <w:rPr>
          <w:rFonts w:ascii="Arial" w:hAnsi="Arial" w:cs="Arial"/>
          <w:sz w:val="22"/>
          <w:szCs w:val="22"/>
        </w:rPr>
        <w:fldChar w:fldCharType="end"/>
      </w:r>
      <w:r w:rsidRPr="004267F1">
        <w:rPr>
          <w:rFonts w:ascii="Arial" w:hAnsi="Arial" w:cs="Arial"/>
          <w:sz w:val="22"/>
          <w:szCs w:val="22"/>
        </w:rPr>
        <w:t xml:space="preserve">. </w:t>
      </w:r>
    </w:p>
    <w:p w14:paraId="735399B3" w14:textId="20FFE23D" w:rsidR="00821780" w:rsidRPr="004267F1" w:rsidRDefault="00821780" w:rsidP="004267F1">
      <w:pPr>
        <w:pStyle w:val="Paragraph"/>
        <w:tabs>
          <w:tab w:val="num" w:pos="1440"/>
          <w:tab w:val="num" w:pos="1746"/>
        </w:tabs>
        <w:ind w:left="720" w:hanging="720"/>
        <w:rPr>
          <w:rFonts w:ascii="Arial" w:hAnsi="Arial" w:cs="Arial"/>
          <w:sz w:val="22"/>
          <w:szCs w:val="22"/>
        </w:rPr>
      </w:pPr>
      <w:r w:rsidRPr="004267F1">
        <w:rPr>
          <w:rFonts w:ascii="Arial" w:hAnsi="Arial" w:cs="Arial"/>
          <w:sz w:val="22"/>
          <w:szCs w:val="22"/>
        </w:rPr>
        <w:t>En conjunto, estos resultados sugieren que el uso de subsidios salariales puede ser</w:t>
      </w:r>
      <w:r w:rsidR="00A10A3B" w:rsidRPr="004267F1">
        <w:rPr>
          <w:rFonts w:ascii="Arial" w:hAnsi="Arial" w:cs="Arial"/>
          <w:sz w:val="22"/>
          <w:szCs w:val="22"/>
        </w:rPr>
        <w:t xml:space="preserve"> una medida </w:t>
      </w:r>
      <w:r w:rsidRPr="004267F1">
        <w:rPr>
          <w:rFonts w:ascii="Arial" w:hAnsi="Arial" w:cs="Arial"/>
          <w:sz w:val="22"/>
          <w:szCs w:val="22"/>
        </w:rPr>
        <w:t>particularmente efectiv</w:t>
      </w:r>
      <w:r w:rsidR="00A10A3B" w:rsidRPr="004267F1">
        <w:rPr>
          <w:rFonts w:ascii="Arial" w:hAnsi="Arial" w:cs="Arial"/>
          <w:sz w:val="22"/>
          <w:szCs w:val="22"/>
        </w:rPr>
        <w:t>a</w:t>
      </w:r>
      <w:r w:rsidRPr="004267F1">
        <w:rPr>
          <w:rFonts w:ascii="Arial" w:hAnsi="Arial" w:cs="Arial"/>
          <w:sz w:val="22"/>
          <w:szCs w:val="22"/>
        </w:rPr>
        <w:t xml:space="preserve"> durante una crisis</w:t>
      </w:r>
      <w:r w:rsidR="00A10A3B" w:rsidRPr="004267F1">
        <w:rPr>
          <w:rFonts w:ascii="Arial" w:hAnsi="Arial" w:cs="Arial"/>
          <w:sz w:val="22"/>
          <w:szCs w:val="22"/>
        </w:rPr>
        <w:t xml:space="preserve"> económica</w:t>
      </w:r>
      <w:r w:rsidRPr="004267F1">
        <w:rPr>
          <w:rFonts w:ascii="Arial" w:hAnsi="Arial" w:cs="Arial"/>
          <w:sz w:val="22"/>
          <w:szCs w:val="22"/>
        </w:rPr>
        <w:t xml:space="preserve">, </w:t>
      </w:r>
      <w:r w:rsidR="00A10A3B" w:rsidRPr="004267F1">
        <w:rPr>
          <w:rFonts w:ascii="Arial" w:hAnsi="Arial" w:cs="Arial"/>
          <w:sz w:val="22"/>
          <w:szCs w:val="22"/>
        </w:rPr>
        <w:t xml:space="preserve">ya que </w:t>
      </w:r>
      <w:r w:rsidRPr="004267F1">
        <w:rPr>
          <w:rFonts w:ascii="Arial" w:hAnsi="Arial" w:cs="Arial"/>
          <w:sz w:val="22"/>
          <w:szCs w:val="22"/>
        </w:rPr>
        <w:t xml:space="preserve">pueden entregarse de manera temporal y </w:t>
      </w:r>
      <w:r w:rsidR="00A10A3B" w:rsidRPr="004267F1">
        <w:rPr>
          <w:rFonts w:ascii="Arial" w:hAnsi="Arial" w:cs="Arial"/>
          <w:sz w:val="22"/>
          <w:szCs w:val="22"/>
        </w:rPr>
        <w:t>aun</w:t>
      </w:r>
      <w:r w:rsidRPr="004267F1">
        <w:rPr>
          <w:rFonts w:ascii="Arial" w:hAnsi="Arial" w:cs="Arial"/>
          <w:sz w:val="22"/>
          <w:szCs w:val="22"/>
        </w:rPr>
        <w:t xml:space="preserve"> así tener efectos </w:t>
      </w:r>
      <w:r w:rsidR="00A10A3B" w:rsidRPr="004267F1">
        <w:rPr>
          <w:rFonts w:ascii="Arial" w:hAnsi="Arial" w:cs="Arial"/>
          <w:sz w:val="22"/>
          <w:szCs w:val="22"/>
        </w:rPr>
        <w:t xml:space="preserve">sostenibles en el empleo más allá del periodo de implementación de la intervención. </w:t>
      </w:r>
      <w:r w:rsidRPr="004267F1">
        <w:rPr>
          <w:rFonts w:ascii="Arial" w:hAnsi="Arial" w:cs="Arial"/>
          <w:sz w:val="22"/>
          <w:szCs w:val="22"/>
        </w:rPr>
        <w:t xml:space="preserve"> </w:t>
      </w:r>
    </w:p>
    <w:p w14:paraId="2027C62E" w14:textId="0A2F21CE" w:rsidR="00D67812" w:rsidRDefault="00D67812" w:rsidP="00D67812">
      <w:pPr>
        <w:pStyle w:val="Paragraph"/>
        <w:numPr>
          <w:ilvl w:val="0"/>
          <w:numId w:val="0"/>
        </w:numPr>
        <w:tabs>
          <w:tab w:val="num" w:pos="1800"/>
          <w:tab w:val="num" w:pos="2448"/>
        </w:tabs>
        <w:rPr>
          <w:rFonts w:ascii="Arial" w:hAnsi="Arial" w:cs="Arial"/>
          <w:sz w:val="22"/>
          <w:szCs w:val="22"/>
        </w:rPr>
      </w:pPr>
      <w:r w:rsidRPr="00D67812">
        <w:rPr>
          <w:rFonts w:ascii="Arial" w:hAnsi="Arial" w:cs="Arial"/>
          <w:bCs/>
          <w:sz w:val="22"/>
          <w:szCs w:val="22"/>
          <w:u w:val="single"/>
        </w:rPr>
        <w:t>Fortalecimiento económico y fiscal para el periodo post pandemia</w:t>
      </w:r>
    </w:p>
    <w:p w14:paraId="63BBE63F" w14:textId="5C2FF795" w:rsidR="00C5486C" w:rsidRPr="00D50752" w:rsidRDefault="00C5486C" w:rsidP="004523EE">
      <w:pPr>
        <w:pStyle w:val="Paragraph"/>
        <w:tabs>
          <w:tab w:val="num" w:pos="1440"/>
          <w:tab w:val="num" w:pos="1746"/>
        </w:tabs>
        <w:ind w:left="720" w:hanging="720"/>
        <w:rPr>
          <w:rFonts w:ascii="Arial" w:hAnsi="Arial" w:cs="Arial"/>
          <w:sz w:val="22"/>
          <w:szCs w:val="22"/>
        </w:rPr>
      </w:pPr>
      <w:r w:rsidRPr="00D50752">
        <w:rPr>
          <w:rFonts w:ascii="Arial" w:hAnsi="Arial" w:cs="Arial"/>
          <w:sz w:val="22"/>
          <w:szCs w:val="22"/>
        </w:rPr>
        <w:t>Existe una amplia y vasta literatura empírica sobre las diversas vías mediante las cuales la política y la gestión fiscal pueden impactar el crecimiento.</w:t>
      </w:r>
      <w:r w:rsidR="00556AC1" w:rsidRPr="00D50752">
        <w:rPr>
          <w:rStyle w:val="FootnoteReference"/>
          <w:rFonts w:ascii="Arial" w:hAnsi="Arial" w:cs="Arial"/>
          <w:sz w:val="22"/>
          <w:szCs w:val="22"/>
        </w:rPr>
        <w:footnoteReference w:id="4"/>
      </w:r>
      <w:r w:rsidRPr="00D50752">
        <w:rPr>
          <w:rFonts w:ascii="Arial" w:hAnsi="Arial" w:cs="Arial"/>
          <w:sz w:val="22"/>
          <w:szCs w:val="22"/>
        </w:rPr>
        <w:t xml:space="preserve"> Muchas de ellas se han ampliado significativamente a raíz de las teorías del crecimiento endógeno (</w:t>
      </w:r>
      <w:proofErr w:type="spellStart"/>
      <w:r w:rsidRPr="00D50752">
        <w:rPr>
          <w:rFonts w:ascii="Arial" w:hAnsi="Arial" w:cs="Arial"/>
          <w:sz w:val="22"/>
          <w:szCs w:val="22"/>
        </w:rPr>
        <w:t>Romer</w:t>
      </w:r>
      <w:proofErr w:type="spellEnd"/>
      <w:r w:rsidRPr="00D50752">
        <w:rPr>
          <w:rFonts w:ascii="Arial" w:hAnsi="Arial" w:cs="Arial"/>
          <w:sz w:val="22"/>
          <w:szCs w:val="22"/>
        </w:rPr>
        <w:t xml:space="preserve">, 1986 y 1990; Lucas, 1990; Aghion y </w:t>
      </w:r>
      <w:proofErr w:type="spellStart"/>
      <w:r w:rsidRPr="00D50752">
        <w:rPr>
          <w:rFonts w:ascii="Arial" w:hAnsi="Arial" w:cs="Arial"/>
          <w:sz w:val="22"/>
          <w:szCs w:val="22"/>
        </w:rPr>
        <w:t>Howitt</w:t>
      </w:r>
      <w:proofErr w:type="spellEnd"/>
      <w:r w:rsidRPr="00D50752">
        <w:rPr>
          <w:rFonts w:ascii="Arial" w:hAnsi="Arial" w:cs="Arial"/>
          <w:sz w:val="22"/>
          <w:szCs w:val="22"/>
        </w:rPr>
        <w:t>, 1998; entre otros)1, las cuales, a diferencia de las teorías neoclásicas del crecimiento, internalizan los cambios en el capital humano, el gasto en Investigación y Desarrollo (I&amp;D), el cambio tecnológico, el incremento del ahorro y la inversión, como factores determinantes del crecimiento.</w:t>
      </w:r>
    </w:p>
    <w:p w14:paraId="5493E550" w14:textId="7767E4CE" w:rsidR="00331257" w:rsidRPr="00D50752" w:rsidRDefault="00926F75" w:rsidP="00C5486C">
      <w:pPr>
        <w:pStyle w:val="Paragraph"/>
        <w:tabs>
          <w:tab w:val="num" w:pos="1440"/>
          <w:tab w:val="num" w:pos="1746"/>
        </w:tabs>
        <w:ind w:left="720" w:hanging="720"/>
        <w:rPr>
          <w:rFonts w:ascii="Arial" w:hAnsi="Arial" w:cs="Arial"/>
          <w:sz w:val="22"/>
          <w:szCs w:val="22"/>
        </w:rPr>
      </w:pPr>
      <w:r w:rsidRPr="00D50752">
        <w:rPr>
          <w:rFonts w:ascii="Arial" w:hAnsi="Arial" w:cs="Arial"/>
          <w:sz w:val="22"/>
          <w:szCs w:val="22"/>
        </w:rPr>
        <w:t>En el contexto actual, u</w:t>
      </w:r>
      <w:r w:rsidR="00C5486C" w:rsidRPr="00D50752">
        <w:rPr>
          <w:rFonts w:ascii="Arial" w:hAnsi="Arial" w:cs="Arial"/>
          <w:sz w:val="22"/>
          <w:szCs w:val="22"/>
        </w:rPr>
        <w:t xml:space="preserve">n rol importante que le corresponde jugar a la política fiscal es la de estabilizar la demanda agregada interna, para moderar la volatilidad macroeconómica, y como consecuencia, contribuir al crecimiento en el mediano plazo (Fatas y </w:t>
      </w:r>
      <w:proofErr w:type="spellStart"/>
      <w:r w:rsidR="00C5486C" w:rsidRPr="00D50752">
        <w:rPr>
          <w:rFonts w:ascii="Arial" w:hAnsi="Arial" w:cs="Arial"/>
          <w:sz w:val="22"/>
          <w:szCs w:val="22"/>
        </w:rPr>
        <w:t>Mihov</w:t>
      </w:r>
      <w:proofErr w:type="spellEnd"/>
      <w:r w:rsidR="00C5486C" w:rsidRPr="00D50752">
        <w:rPr>
          <w:rFonts w:ascii="Arial" w:hAnsi="Arial" w:cs="Arial"/>
          <w:sz w:val="22"/>
          <w:szCs w:val="22"/>
        </w:rPr>
        <w:t>, 2011). Por ejemplo, aumentos en la capacidad estabilizadora de la política fiscal están asociados con reducciones de hasta 20% en la volatilidad del producto, e incrementos de 0,3 puntos porcentuales en la tasa anual de crecimiento (FMI, 2015). La evidencia internacional señala que los estabilizadores automáticos</w:t>
      </w:r>
      <w:r w:rsidR="009819FE" w:rsidRPr="00D50752">
        <w:rPr>
          <w:rFonts w:ascii="Arial" w:hAnsi="Arial" w:cs="Arial"/>
          <w:sz w:val="22"/>
          <w:szCs w:val="22"/>
        </w:rPr>
        <w:t xml:space="preserve"> </w:t>
      </w:r>
      <w:r w:rsidR="00C5486C" w:rsidRPr="00D50752">
        <w:rPr>
          <w:rFonts w:ascii="Arial" w:hAnsi="Arial" w:cs="Arial"/>
          <w:sz w:val="22"/>
          <w:szCs w:val="22"/>
        </w:rPr>
        <w:t xml:space="preserve">son la principal herramienta para lograr que la política </w:t>
      </w:r>
      <w:r w:rsidR="00C5486C" w:rsidRPr="00D50752">
        <w:rPr>
          <w:rFonts w:ascii="Arial" w:hAnsi="Arial" w:cs="Arial"/>
          <w:sz w:val="22"/>
          <w:szCs w:val="22"/>
        </w:rPr>
        <w:lastRenderedPageBreak/>
        <w:t>fiscal cumpla su función de estabilización (</w:t>
      </w:r>
      <w:proofErr w:type="spellStart"/>
      <w:r w:rsidR="00C5486C" w:rsidRPr="00D50752">
        <w:rPr>
          <w:rFonts w:ascii="Arial" w:hAnsi="Arial" w:cs="Arial"/>
          <w:sz w:val="22"/>
          <w:szCs w:val="22"/>
        </w:rPr>
        <w:t>Debrun</w:t>
      </w:r>
      <w:proofErr w:type="spellEnd"/>
      <w:r w:rsidR="00C5486C" w:rsidRPr="00D50752">
        <w:rPr>
          <w:rFonts w:ascii="Arial" w:hAnsi="Arial" w:cs="Arial"/>
          <w:sz w:val="22"/>
          <w:szCs w:val="22"/>
        </w:rPr>
        <w:t xml:space="preserve"> y </w:t>
      </w:r>
      <w:proofErr w:type="spellStart"/>
      <w:r w:rsidR="00C5486C" w:rsidRPr="00D50752">
        <w:rPr>
          <w:rFonts w:ascii="Arial" w:hAnsi="Arial" w:cs="Arial"/>
          <w:sz w:val="22"/>
          <w:szCs w:val="22"/>
        </w:rPr>
        <w:t>Kapoor</w:t>
      </w:r>
      <w:proofErr w:type="spellEnd"/>
      <w:r w:rsidR="00C5486C" w:rsidRPr="00D50752">
        <w:rPr>
          <w:rFonts w:ascii="Arial" w:hAnsi="Arial" w:cs="Arial"/>
          <w:sz w:val="22"/>
          <w:szCs w:val="22"/>
        </w:rPr>
        <w:t xml:space="preserve">, 2010; </w:t>
      </w:r>
      <w:proofErr w:type="spellStart"/>
      <w:r w:rsidR="00C5486C" w:rsidRPr="00D50752">
        <w:rPr>
          <w:rFonts w:ascii="Arial" w:hAnsi="Arial" w:cs="Arial"/>
          <w:sz w:val="22"/>
          <w:szCs w:val="22"/>
        </w:rPr>
        <w:t>Baungsard</w:t>
      </w:r>
      <w:proofErr w:type="spellEnd"/>
      <w:r w:rsidR="00C5486C" w:rsidRPr="00D50752">
        <w:rPr>
          <w:rFonts w:ascii="Arial" w:hAnsi="Arial" w:cs="Arial"/>
          <w:sz w:val="22"/>
          <w:szCs w:val="22"/>
        </w:rPr>
        <w:t xml:space="preserve"> y </w:t>
      </w:r>
      <w:proofErr w:type="spellStart"/>
      <w:r w:rsidR="00C5486C" w:rsidRPr="00D50752">
        <w:rPr>
          <w:rFonts w:ascii="Arial" w:hAnsi="Arial" w:cs="Arial"/>
          <w:sz w:val="22"/>
          <w:szCs w:val="22"/>
        </w:rPr>
        <w:t>Symansky</w:t>
      </w:r>
      <w:proofErr w:type="spellEnd"/>
      <w:r w:rsidR="00C5486C" w:rsidRPr="00D50752">
        <w:rPr>
          <w:rFonts w:ascii="Arial" w:hAnsi="Arial" w:cs="Arial"/>
          <w:sz w:val="22"/>
          <w:szCs w:val="22"/>
        </w:rPr>
        <w:t xml:space="preserve">, 2009). </w:t>
      </w:r>
      <w:r w:rsidR="00C5486C" w:rsidRPr="00D50752">
        <w:rPr>
          <w:rFonts w:ascii="Arial" w:eastAsiaTheme="minorHAnsi" w:hAnsi="Arial" w:cs="Arial"/>
          <w:sz w:val="22"/>
          <w:szCs w:val="22"/>
        </w:rPr>
        <w:t xml:space="preserve">A diferencia de las intervenciones discrecionales de política económica, los estabilizadores automáticos no sufren de rezagos en su implementación y se revierten rápida y fácilmente antes del cambio en el ciclo, asegurando una respuesta oportuna y simétrica de la política fiscal ante choques (Blanchard et al., 2010). </w:t>
      </w:r>
    </w:p>
    <w:p w14:paraId="74D31E4A" w14:textId="3B2DEE34" w:rsidR="00C5486C" w:rsidRPr="00D50752" w:rsidRDefault="00C5486C" w:rsidP="00C5486C">
      <w:pPr>
        <w:pStyle w:val="Paragraph"/>
        <w:tabs>
          <w:tab w:val="num" w:pos="1440"/>
          <w:tab w:val="num" w:pos="1746"/>
        </w:tabs>
        <w:ind w:left="720" w:hanging="720"/>
        <w:rPr>
          <w:rFonts w:ascii="Arial" w:hAnsi="Arial" w:cs="Arial"/>
          <w:sz w:val="22"/>
          <w:szCs w:val="22"/>
        </w:rPr>
      </w:pPr>
      <w:r w:rsidRPr="00D50752">
        <w:rPr>
          <w:rFonts w:ascii="Arial" w:eastAsiaTheme="minorHAnsi" w:hAnsi="Arial" w:cs="Arial"/>
          <w:sz w:val="22"/>
          <w:szCs w:val="22"/>
        </w:rPr>
        <w:t xml:space="preserve">Si bien la política fiscal discrecional puede ser necesaria bajo ciertas condiciones, el uso indebido de la misma socava el impacto de los estabilizadores automáticos y puede contribuir a la generación de problemas de sostenibilidad (FMI, 2015). Por ejemplo, la política discrecional asimétrica suele combinar aumentos en los niveles de déficit en recesiones que no son revertidos durante los periodos de expansión, limitando la recuperación del espacio fiscal y dando como resultado la acumulación de deuda a través del tiempo. Más allá del problema de la sostenibilidad, existe amplia evidencia que documenta los efectos negativos que los cambios bruscos de política fiscal de carácter discrecional y procíclico generan sobre diversos resultados, tales como los niveles de crecimiento (Fatas y </w:t>
      </w:r>
      <w:proofErr w:type="spellStart"/>
      <w:r w:rsidRPr="00D50752">
        <w:rPr>
          <w:rFonts w:ascii="Arial" w:eastAsiaTheme="minorHAnsi" w:hAnsi="Arial" w:cs="Arial"/>
          <w:sz w:val="22"/>
          <w:szCs w:val="22"/>
        </w:rPr>
        <w:t>Mihov</w:t>
      </w:r>
      <w:proofErr w:type="spellEnd"/>
      <w:r w:rsidRPr="00D50752">
        <w:rPr>
          <w:rFonts w:ascii="Arial" w:eastAsiaTheme="minorHAnsi" w:hAnsi="Arial" w:cs="Arial"/>
          <w:sz w:val="22"/>
          <w:szCs w:val="22"/>
        </w:rPr>
        <w:t xml:space="preserve">, 2013; Woo, 2011), la estabilidad macroeconómica (Fatas y </w:t>
      </w:r>
      <w:proofErr w:type="spellStart"/>
      <w:r w:rsidRPr="00D50752">
        <w:rPr>
          <w:rFonts w:ascii="Arial" w:eastAsiaTheme="minorHAnsi" w:hAnsi="Arial" w:cs="Arial"/>
          <w:sz w:val="22"/>
          <w:szCs w:val="22"/>
        </w:rPr>
        <w:t>Mihov</w:t>
      </w:r>
      <w:proofErr w:type="spellEnd"/>
      <w:r w:rsidRPr="00D50752">
        <w:rPr>
          <w:rFonts w:ascii="Arial" w:eastAsiaTheme="minorHAnsi" w:hAnsi="Arial" w:cs="Arial"/>
          <w:sz w:val="22"/>
          <w:szCs w:val="22"/>
        </w:rPr>
        <w:t>, 2003; Ramey y Ramey, 1995), y los esfuerzos por proteger a los hogares vulnerables durante las recesiones (</w:t>
      </w:r>
      <w:proofErr w:type="spellStart"/>
      <w:r w:rsidRPr="00D50752">
        <w:rPr>
          <w:rFonts w:ascii="Arial" w:eastAsiaTheme="minorHAnsi" w:hAnsi="Arial" w:cs="Arial"/>
          <w:sz w:val="22"/>
          <w:szCs w:val="22"/>
        </w:rPr>
        <w:t>Ravallion</w:t>
      </w:r>
      <w:proofErr w:type="spellEnd"/>
      <w:r w:rsidRPr="00D50752">
        <w:rPr>
          <w:rFonts w:ascii="Arial" w:eastAsiaTheme="minorHAnsi" w:hAnsi="Arial" w:cs="Arial"/>
          <w:sz w:val="22"/>
          <w:szCs w:val="22"/>
        </w:rPr>
        <w:t xml:space="preserve">, 2002; Hicks y </w:t>
      </w:r>
      <w:proofErr w:type="spellStart"/>
      <w:r w:rsidRPr="00D50752">
        <w:rPr>
          <w:rFonts w:ascii="Arial" w:eastAsiaTheme="minorHAnsi" w:hAnsi="Arial" w:cs="Arial"/>
          <w:sz w:val="22"/>
          <w:szCs w:val="22"/>
        </w:rPr>
        <w:t>Woodon</w:t>
      </w:r>
      <w:proofErr w:type="spellEnd"/>
      <w:r w:rsidRPr="00D50752">
        <w:rPr>
          <w:rFonts w:ascii="Arial" w:eastAsiaTheme="minorHAnsi" w:hAnsi="Arial" w:cs="Arial"/>
          <w:sz w:val="22"/>
          <w:szCs w:val="22"/>
        </w:rPr>
        <w:t xml:space="preserve">, 2001; </w:t>
      </w:r>
      <w:proofErr w:type="spellStart"/>
      <w:r w:rsidRPr="00D50752">
        <w:rPr>
          <w:rFonts w:ascii="Arial" w:eastAsiaTheme="minorHAnsi" w:hAnsi="Arial" w:cs="Arial"/>
          <w:sz w:val="22"/>
          <w:szCs w:val="22"/>
        </w:rPr>
        <w:t>Lustig</w:t>
      </w:r>
      <w:proofErr w:type="spellEnd"/>
      <w:r w:rsidRPr="00D50752">
        <w:rPr>
          <w:rFonts w:ascii="Arial" w:eastAsiaTheme="minorHAnsi" w:hAnsi="Arial" w:cs="Arial"/>
          <w:sz w:val="22"/>
          <w:szCs w:val="22"/>
        </w:rPr>
        <w:t>, 2000).</w:t>
      </w:r>
    </w:p>
    <w:p w14:paraId="366F2DD2" w14:textId="77777777" w:rsidR="00926F75" w:rsidRPr="00D50752" w:rsidRDefault="00926F75" w:rsidP="00926F75">
      <w:pPr>
        <w:pStyle w:val="Paragraph"/>
        <w:tabs>
          <w:tab w:val="clear" w:pos="2448"/>
          <w:tab w:val="num" w:pos="720"/>
        </w:tabs>
        <w:ind w:left="720" w:hanging="720"/>
        <w:rPr>
          <w:rFonts w:ascii="Arial" w:hAnsi="Arial" w:cs="Arial"/>
          <w:b/>
          <w:spacing w:val="-4"/>
          <w:sz w:val="22"/>
          <w:szCs w:val="22"/>
          <w:lang w:val="es-MX"/>
        </w:rPr>
      </w:pPr>
      <w:r w:rsidRPr="00D50752">
        <w:rPr>
          <w:rFonts w:ascii="Arial" w:hAnsi="Arial" w:cs="Arial"/>
          <w:bCs/>
          <w:spacing w:val="-4"/>
          <w:sz w:val="22"/>
          <w:szCs w:val="22"/>
          <w:lang w:val="es-MX"/>
        </w:rPr>
        <w:t xml:space="preserve">Dados los fuertes impactos de la crisis sanitaria del COVID-19 sobre la actividad económica y las finanzas públicas, el periodo post pandemia requerirá de políticas de apoyo tanto a la reconstrucción de la actividad económica, como a la recomposición de la situación fiscal. </w:t>
      </w:r>
      <w:r w:rsidRPr="00D50752">
        <w:rPr>
          <w:rFonts w:ascii="Arial" w:hAnsi="Arial" w:cs="Arial"/>
          <w:sz w:val="22"/>
          <w:szCs w:val="22"/>
        </w:rPr>
        <w:t xml:space="preserve">Para alentar el retorno al </w:t>
      </w:r>
      <w:r w:rsidRPr="00D50752">
        <w:rPr>
          <w:rFonts w:ascii="Arial" w:hAnsi="Arial" w:cs="Arial"/>
          <w:sz w:val="22"/>
          <w:szCs w:val="22"/>
          <w:lang w:val="es-MX"/>
        </w:rPr>
        <w:t xml:space="preserve">crecimiento con equidad, se requerirá diseñar e implementar planes integrales que </w:t>
      </w:r>
      <w:r w:rsidRPr="00D50752">
        <w:rPr>
          <w:rFonts w:ascii="Arial" w:hAnsi="Arial" w:cs="Arial"/>
          <w:spacing w:val="-4"/>
          <w:sz w:val="22"/>
          <w:szCs w:val="22"/>
        </w:rPr>
        <w:t xml:space="preserve">sirvan de estímulo económico y que apoyen a los hogares y las firmas más vulnerables durante el periodo de retorno a la normalidad. Estos planes deberán tomar en consideración las restricciones presupuestarias, para no </w:t>
      </w:r>
      <w:r w:rsidRPr="00D50752">
        <w:rPr>
          <w:rFonts w:ascii="Arial" w:hAnsi="Arial" w:cs="Arial"/>
          <w:sz w:val="22"/>
          <w:szCs w:val="22"/>
          <w:lang w:val="es-MX"/>
        </w:rPr>
        <w:t>comprometer la sostenibilidad fiscal</w:t>
      </w:r>
      <w:r w:rsidRPr="00D50752">
        <w:rPr>
          <w:rFonts w:ascii="Arial" w:hAnsi="Arial" w:cs="Arial"/>
          <w:spacing w:val="-4"/>
          <w:sz w:val="22"/>
          <w:szCs w:val="22"/>
        </w:rPr>
        <w:t xml:space="preserve">. En muchos casos, estos planes deberán incluir reformas estructurales que dinamicen la economía desde sus fundamentos, y colaboren en mejorar la situación fiscal de mediano plazo de los países. </w:t>
      </w:r>
    </w:p>
    <w:p w14:paraId="6CC90D25" w14:textId="5BF7E321" w:rsidR="007C1307" w:rsidRPr="00D50752" w:rsidRDefault="0064566B" w:rsidP="0064566B">
      <w:pPr>
        <w:pStyle w:val="FirstHeading"/>
        <w:spacing w:before="360"/>
        <w:ind w:left="720"/>
        <w:rPr>
          <w:rFonts w:ascii="Arial" w:hAnsi="Arial" w:cs="Arial"/>
          <w:sz w:val="22"/>
          <w:szCs w:val="22"/>
        </w:rPr>
      </w:pPr>
      <w:bookmarkStart w:id="15" w:name="_Toc36166567"/>
      <w:r w:rsidRPr="00D50752">
        <w:rPr>
          <w:rFonts w:ascii="Arial" w:hAnsi="Arial" w:cs="Arial"/>
          <w:sz w:val="22"/>
          <w:szCs w:val="22"/>
        </w:rPr>
        <w:t>D</w:t>
      </w:r>
      <w:r w:rsidR="007C1307" w:rsidRPr="00D50752">
        <w:rPr>
          <w:rFonts w:ascii="Arial" w:hAnsi="Arial" w:cs="Arial"/>
          <w:sz w:val="22"/>
          <w:szCs w:val="22"/>
        </w:rPr>
        <w:t>.</w:t>
      </w:r>
      <w:r w:rsidR="007C1307" w:rsidRPr="00D50752">
        <w:rPr>
          <w:rFonts w:ascii="Arial" w:hAnsi="Arial" w:cs="Arial"/>
          <w:sz w:val="22"/>
          <w:szCs w:val="22"/>
        </w:rPr>
        <w:tab/>
      </w:r>
      <w:r w:rsidR="00022BE3" w:rsidRPr="00D50752">
        <w:rPr>
          <w:rFonts w:ascii="Arial" w:hAnsi="Arial" w:cs="Arial"/>
          <w:sz w:val="22"/>
          <w:szCs w:val="22"/>
        </w:rPr>
        <w:t xml:space="preserve">Metodología </w:t>
      </w:r>
      <w:r w:rsidR="00AC730B" w:rsidRPr="00D50752">
        <w:rPr>
          <w:rFonts w:ascii="Arial" w:hAnsi="Arial" w:cs="Arial"/>
          <w:sz w:val="22"/>
          <w:szCs w:val="22"/>
        </w:rPr>
        <w:t xml:space="preserve">de la </w:t>
      </w:r>
      <w:r w:rsidR="00483743" w:rsidRPr="00D50752">
        <w:rPr>
          <w:rFonts w:ascii="Arial" w:hAnsi="Arial" w:cs="Arial"/>
          <w:sz w:val="22"/>
          <w:szCs w:val="22"/>
        </w:rPr>
        <w:t>e</w:t>
      </w:r>
      <w:r w:rsidR="00AC730B" w:rsidRPr="00D50752">
        <w:rPr>
          <w:rFonts w:ascii="Arial" w:hAnsi="Arial" w:cs="Arial"/>
          <w:sz w:val="22"/>
          <w:szCs w:val="22"/>
        </w:rPr>
        <w:t>valuación</w:t>
      </w:r>
      <w:bookmarkEnd w:id="15"/>
    </w:p>
    <w:p w14:paraId="223FA10E" w14:textId="7AE45F6D" w:rsidR="007A0AF0" w:rsidRPr="009C47AD" w:rsidRDefault="003673FC" w:rsidP="007A0AF0">
      <w:pPr>
        <w:pStyle w:val="Paragraph"/>
        <w:numPr>
          <w:ilvl w:val="0"/>
          <w:numId w:val="0"/>
        </w:numPr>
        <w:rPr>
          <w:rFonts w:ascii="Arial" w:eastAsia="Arial" w:hAnsi="Arial" w:cs="Arial"/>
          <w:b/>
          <w:bCs/>
          <w:sz w:val="22"/>
          <w:szCs w:val="22"/>
        </w:rPr>
      </w:pPr>
      <w:r>
        <w:rPr>
          <w:rFonts w:ascii="Arial" w:eastAsia="Arial" w:hAnsi="Arial" w:cs="Arial"/>
          <w:b/>
          <w:bCs/>
          <w:sz w:val="22"/>
          <w:szCs w:val="22"/>
        </w:rPr>
        <w:t>E</w:t>
      </w:r>
      <w:r w:rsidRPr="009C47AD">
        <w:rPr>
          <w:rFonts w:ascii="Arial" w:eastAsia="Arial" w:hAnsi="Arial" w:cs="Arial"/>
          <w:b/>
          <w:bCs/>
          <w:sz w:val="22"/>
          <w:szCs w:val="22"/>
        </w:rPr>
        <w:t>valuación</w:t>
      </w:r>
      <w:r w:rsidR="009A4E06" w:rsidRPr="009C47AD">
        <w:rPr>
          <w:rFonts w:ascii="Arial" w:eastAsia="Arial" w:hAnsi="Arial" w:cs="Arial"/>
          <w:b/>
          <w:bCs/>
          <w:sz w:val="22"/>
          <w:szCs w:val="22"/>
        </w:rPr>
        <w:t xml:space="preserve"> </w:t>
      </w:r>
      <w:r>
        <w:rPr>
          <w:rFonts w:ascii="Arial" w:eastAsia="Arial" w:hAnsi="Arial" w:cs="Arial"/>
          <w:b/>
          <w:bCs/>
          <w:sz w:val="22"/>
          <w:szCs w:val="22"/>
        </w:rPr>
        <w:t>antes y después</w:t>
      </w:r>
      <w:r w:rsidR="009A4E06" w:rsidRPr="009C47AD">
        <w:rPr>
          <w:rFonts w:ascii="Arial" w:eastAsia="Arial" w:hAnsi="Arial" w:cs="Arial"/>
          <w:b/>
          <w:bCs/>
          <w:sz w:val="22"/>
          <w:szCs w:val="22"/>
        </w:rPr>
        <w:t xml:space="preserve"> (sin atribución)</w:t>
      </w:r>
    </w:p>
    <w:p w14:paraId="460C821D" w14:textId="6F3CD7AC" w:rsidR="004267F1" w:rsidRPr="00BC5793" w:rsidRDefault="00CE5B3C" w:rsidP="00352068">
      <w:pPr>
        <w:pStyle w:val="Paragraph"/>
        <w:tabs>
          <w:tab w:val="num" w:pos="1440"/>
          <w:tab w:val="num" w:pos="1746"/>
        </w:tabs>
        <w:ind w:left="720" w:hanging="720"/>
        <w:rPr>
          <w:rFonts w:ascii="Arial" w:hAnsi="Arial" w:cs="Arial"/>
          <w:sz w:val="22"/>
          <w:szCs w:val="22"/>
        </w:rPr>
      </w:pPr>
      <w:r w:rsidRPr="00BC5793">
        <w:rPr>
          <w:rFonts w:ascii="Arial" w:hAnsi="Arial" w:cs="Arial"/>
          <w:sz w:val="22"/>
          <w:szCs w:val="22"/>
        </w:rPr>
        <w:t xml:space="preserve">Para los indicadores de resultado en la matriz de resultados se realizará una </w:t>
      </w:r>
      <w:r w:rsidR="003673FC" w:rsidRPr="00BC5793">
        <w:rPr>
          <w:rFonts w:ascii="Arial" w:hAnsi="Arial" w:cs="Arial"/>
          <w:sz w:val="22"/>
          <w:szCs w:val="22"/>
        </w:rPr>
        <w:t>evaluación</w:t>
      </w:r>
      <w:r w:rsidRPr="00BC5793">
        <w:rPr>
          <w:rFonts w:ascii="Arial" w:hAnsi="Arial" w:cs="Arial"/>
          <w:sz w:val="22"/>
          <w:szCs w:val="22"/>
        </w:rPr>
        <w:t xml:space="preserve"> ex</w:t>
      </w:r>
      <w:r w:rsidR="003673FC" w:rsidRPr="00BC5793">
        <w:rPr>
          <w:rFonts w:ascii="Arial" w:hAnsi="Arial" w:cs="Arial"/>
          <w:sz w:val="22"/>
          <w:szCs w:val="22"/>
        </w:rPr>
        <w:t xml:space="preserve"> </w:t>
      </w:r>
      <w:r w:rsidRPr="00BC5793">
        <w:rPr>
          <w:rFonts w:ascii="Arial" w:hAnsi="Arial" w:cs="Arial"/>
          <w:sz w:val="22"/>
          <w:szCs w:val="22"/>
        </w:rPr>
        <w:t>post</w:t>
      </w:r>
      <w:r w:rsidR="00D755DB" w:rsidRPr="00BC5793">
        <w:rPr>
          <w:rFonts w:ascii="Arial" w:hAnsi="Arial" w:cs="Arial"/>
          <w:sz w:val="22"/>
          <w:szCs w:val="22"/>
        </w:rPr>
        <w:t xml:space="preserve"> a través de una metodología mixta basada en: a) una evaluación antes y después (</w:t>
      </w:r>
      <w:proofErr w:type="spellStart"/>
      <w:r w:rsidR="00D755DB" w:rsidRPr="00690728">
        <w:rPr>
          <w:rFonts w:ascii="Arial" w:hAnsi="Arial" w:cs="Arial"/>
          <w:i/>
          <w:iCs/>
          <w:sz w:val="22"/>
          <w:szCs w:val="22"/>
        </w:rPr>
        <w:t>before</w:t>
      </w:r>
      <w:proofErr w:type="spellEnd"/>
      <w:r w:rsidR="00D755DB" w:rsidRPr="00690728">
        <w:rPr>
          <w:rFonts w:ascii="Arial" w:hAnsi="Arial" w:cs="Arial"/>
          <w:i/>
          <w:iCs/>
          <w:sz w:val="22"/>
          <w:szCs w:val="22"/>
        </w:rPr>
        <w:t xml:space="preserve"> and after</w:t>
      </w:r>
      <w:r w:rsidR="00D755DB" w:rsidRPr="00BC5793">
        <w:rPr>
          <w:rFonts w:ascii="Arial" w:hAnsi="Arial" w:cs="Arial"/>
          <w:sz w:val="22"/>
          <w:szCs w:val="22"/>
        </w:rPr>
        <w:t>, en inglés)</w:t>
      </w:r>
      <w:r w:rsidR="003A5AA9" w:rsidRPr="00BC5793">
        <w:rPr>
          <w:rFonts w:ascii="Arial" w:hAnsi="Arial" w:cs="Arial"/>
          <w:sz w:val="22"/>
          <w:szCs w:val="22"/>
        </w:rPr>
        <w:t xml:space="preserve"> de los indicadores de resultado</w:t>
      </w:r>
      <w:r w:rsidR="004267F1" w:rsidRPr="00BC5793">
        <w:rPr>
          <w:rFonts w:ascii="Arial" w:hAnsi="Arial" w:cs="Arial"/>
          <w:sz w:val="22"/>
          <w:szCs w:val="22"/>
        </w:rPr>
        <w:t>;</w:t>
      </w:r>
      <w:r w:rsidR="00195B93" w:rsidRPr="00BC5793">
        <w:rPr>
          <w:rFonts w:ascii="Arial" w:hAnsi="Arial" w:cs="Arial"/>
          <w:sz w:val="22"/>
          <w:szCs w:val="22"/>
        </w:rPr>
        <w:t xml:space="preserve"> b) una revisión crítica de la lógica vertical y teoría del cambio del proyecto en preparación, implementación y cierre</w:t>
      </w:r>
      <w:r w:rsidR="003673FC" w:rsidRPr="00BC5793">
        <w:rPr>
          <w:rFonts w:ascii="Arial" w:hAnsi="Arial" w:cs="Arial"/>
          <w:sz w:val="22"/>
          <w:szCs w:val="22"/>
        </w:rPr>
        <w:t xml:space="preserve">; </w:t>
      </w:r>
      <w:r w:rsidR="0088452F" w:rsidRPr="00BC5793">
        <w:rPr>
          <w:rFonts w:ascii="Arial" w:hAnsi="Arial" w:cs="Arial"/>
          <w:sz w:val="22"/>
          <w:szCs w:val="22"/>
        </w:rPr>
        <w:t xml:space="preserve">c) </w:t>
      </w:r>
      <w:r w:rsidR="003673FC" w:rsidRPr="00BC5793">
        <w:rPr>
          <w:rFonts w:ascii="Arial" w:hAnsi="Arial" w:cs="Arial"/>
          <w:sz w:val="22"/>
          <w:szCs w:val="22"/>
        </w:rPr>
        <w:t>un análisis</w:t>
      </w:r>
      <w:r w:rsidR="009C47AD" w:rsidRPr="00BC5793">
        <w:rPr>
          <w:rFonts w:ascii="Arial" w:hAnsi="Arial" w:cs="Arial"/>
          <w:sz w:val="22"/>
          <w:szCs w:val="22"/>
        </w:rPr>
        <w:t xml:space="preserve"> de</w:t>
      </w:r>
      <w:r w:rsidR="003673FC" w:rsidRPr="00BC5793">
        <w:rPr>
          <w:rFonts w:ascii="Arial" w:hAnsi="Arial" w:cs="Arial"/>
          <w:sz w:val="22"/>
          <w:szCs w:val="22"/>
        </w:rPr>
        <w:t>l</w:t>
      </w:r>
      <w:r w:rsidR="009C47AD" w:rsidRPr="00BC5793">
        <w:rPr>
          <w:rFonts w:ascii="Arial" w:hAnsi="Arial" w:cs="Arial"/>
          <w:sz w:val="22"/>
          <w:szCs w:val="22"/>
        </w:rPr>
        <w:t xml:space="preserve"> logro de</w:t>
      </w:r>
      <w:r w:rsidR="0088452F" w:rsidRPr="00BC5793">
        <w:rPr>
          <w:rFonts w:ascii="Arial" w:hAnsi="Arial" w:cs="Arial"/>
          <w:sz w:val="22"/>
          <w:szCs w:val="22"/>
        </w:rPr>
        <w:t xml:space="preserve"> </w:t>
      </w:r>
      <w:r w:rsidR="003673FC" w:rsidRPr="00BC5793">
        <w:rPr>
          <w:rFonts w:ascii="Arial" w:hAnsi="Arial" w:cs="Arial"/>
          <w:sz w:val="22"/>
          <w:szCs w:val="22"/>
        </w:rPr>
        <w:t xml:space="preserve">los </w:t>
      </w:r>
      <w:r w:rsidR="0088452F" w:rsidRPr="00BC5793">
        <w:rPr>
          <w:rFonts w:ascii="Arial" w:hAnsi="Arial" w:cs="Arial"/>
          <w:sz w:val="22"/>
          <w:szCs w:val="22"/>
        </w:rPr>
        <w:t xml:space="preserve">resultados </w:t>
      </w:r>
      <w:r w:rsidR="009C47AD" w:rsidRPr="00BC5793">
        <w:rPr>
          <w:rFonts w:ascii="Arial" w:hAnsi="Arial" w:cs="Arial"/>
          <w:sz w:val="22"/>
          <w:szCs w:val="22"/>
        </w:rPr>
        <w:t>en el contexto de</w:t>
      </w:r>
      <w:r w:rsidR="003673FC" w:rsidRPr="00BC5793">
        <w:rPr>
          <w:rFonts w:ascii="Arial" w:hAnsi="Arial" w:cs="Arial"/>
          <w:sz w:val="22"/>
          <w:szCs w:val="22"/>
        </w:rPr>
        <w:t xml:space="preserve"> la</w:t>
      </w:r>
      <w:r w:rsidR="009C47AD" w:rsidRPr="00BC5793">
        <w:rPr>
          <w:rFonts w:ascii="Arial" w:hAnsi="Arial" w:cs="Arial"/>
          <w:sz w:val="22"/>
          <w:szCs w:val="22"/>
        </w:rPr>
        <w:t xml:space="preserve"> evidencia sobre intervenciones similares disponibles en la literatura</w:t>
      </w:r>
      <w:r w:rsidR="003673FC" w:rsidRPr="00BC5793">
        <w:rPr>
          <w:rFonts w:ascii="Arial" w:hAnsi="Arial" w:cs="Arial"/>
          <w:sz w:val="22"/>
          <w:szCs w:val="22"/>
        </w:rPr>
        <w:t xml:space="preserve">; </w:t>
      </w:r>
      <w:r w:rsidR="00D755DB" w:rsidRPr="00BC5793">
        <w:rPr>
          <w:rFonts w:ascii="Arial" w:hAnsi="Arial" w:cs="Arial"/>
          <w:sz w:val="22"/>
          <w:szCs w:val="22"/>
        </w:rPr>
        <w:t xml:space="preserve">y </w:t>
      </w:r>
      <w:r w:rsidR="009C47AD" w:rsidRPr="00BC5793">
        <w:rPr>
          <w:rFonts w:ascii="Arial" w:hAnsi="Arial" w:cs="Arial"/>
          <w:sz w:val="22"/>
          <w:szCs w:val="22"/>
        </w:rPr>
        <w:t>d</w:t>
      </w:r>
      <w:r w:rsidR="00D755DB" w:rsidRPr="00BC5793">
        <w:rPr>
          <w:rFonts w:ascii="Arial" w:hAnsi="Arial" w:cs="Arial"/>
          <w:sz w:val="22"/>
          <w:szCs w:val="22"/>
        </w:rPr>
        <w:t xml:space="preserve">) un análisis cualitativo </w:t>
      </w:r>
      <w:r w:rsidR="00697945" w:rsidRPr="00BC5793">
        <w:rPr>
          <w:rFonts w:ascii="Arial" w:hAnsi="Arial" w:cs="Arial"/>
          <w:sz w:val="22"/>
          <w:szCs w:val="22"/>
        </w:rPr>
        <w:t>sobre la contribución de la reforma de política hacia el logro del resultado</w:t>
      </w:r>
      <w:r w:rsidR="004267F1" w:rsidRPr="00BC5793">
        <w:rPr>
          <w:rFonts w:ascii="Arial" w:hAnsi="Arial" w:cs="Arial"/>
          <w:sz w:val="22"/>
          <w:szCs w:val="22"/>
        </w:rPr>
        <w:t>.</w:t>
      </w:r>
      <w:r w:rsidR="00651A97">
        <w:rPr>
          <w:rFonts w:ascii="Arial" w:hAnsi="Arial" w:cs="Arial"/>
          <w:sz w:val="22"/>
          <w:szCs w:val="22"/>
        </w:rPr>
        <w:t xml:space="preserve"> </w:t>
      </w:r>
      <w:r w:rsidR="00651A97" w:rsidRPr="00BC5793">
        <w:rPr>
          <w:rFonts w:ascii="Arial" w:hAnsi="Arial" w:cs="Arial"/>
          <w:sz w:val="22"/>
          <w:szCs w:val="22"/>
        </w:rPr>
        <w:t>En la ausencia de evidencia</w:t>
      </w:r>
      <w:r w:rsidR="00352068">
        <w:rPr>
          <w:rFonts w:ascii="Arial" w:hAnsi="Arial" w:cs="Arial"/>
          <w:sz w:val="22"/>
          <w:szCs w:val="22"/>
        </w:rPr>
        <w:t xml:space="preserve"> </w:t>
      </w:r>
      <w:r w:rsidR="00991A9D">
        <w:rPr>
          <w:rFonts w:ascii="Arial" w:hAnsi="Arial" w:cs="Arial"/>
          <w:sz w:val="22"/>
          <w:szCs w:val="22"/>
        </w:rPr>
        <w:t>cuantitativa</w:t>
      </w:r>
      <w:r w:rsidR="00651A97" w:rsidRPr="00BC5793">
        <w:rPr>
          <w:rFonts w:ascii="Arial" w:hAnsi="Arial" w:cs="Arial"/>
          <w:sz w:val="22"/>
          <w:szCs w:val="22"/>
        </w:rPr>
        <w:t>, se buscará establecer la contribución plausible de la reforma de política hacia cada indicador de resultado asoci</w:t>
      </w:r>
      <w:r w:rsidR="00651A97">
        <w:rPr>
          <w:rFonts w:ascii="Arial" w:hAnsi="Arial" w:cs="Arial"/>
          <w:sz w:val="22"/>
          <w:szCs w:val="22"/>
        </w:rPr>
        <w:t>ado.</w:t>
      </w:r>
    </w:p>
    <w:p w14:paraId="1D874D08" w14:textId="206F674D" w:rsidR="00352068" w:rsidRPr="00352068" w:rsidRDefault="00352068" w:rsidP="00352068">
      <w:pPr>
        <w:pStyle w:val="Paragraph"/>
        <w:tabs>
          <w:tab w:val="clear" w:pos="2448"/>
          <w:tab w:val="num" w:pos="1440"/>
          <w:tab w:val="num" w:pos="1746"/>
        </w:tabs>
        <w:ind w:left="720" w:hanging="720"/>
        <w:rPr>
          <w:rFonts w:ascii="Arial" w:hAnsi="Arial" w:cs="Arial"/>
          <w:sz w:val="22"/>
          <w:szCs w:val="22"/>
        </w:rPr>
      </w:pPr>
      <w:r w:rsidRPr="00352068">
        <w:rPr>
          <w:rFonts w:ascii="Arial" w:hAnsi="Arial" w:cs="Arial"/>
          <w:b/>
          <w:bCs/>
          <w:sz w:val="22"/>
          <w:szCs w:val="22"/>
        </w:rPr>
        <w:t>Metodología</w:t>
      </w:r>
      <w:r>
        <w:rPr>
          <w:rFonts w:ascii="Arial" w:hAnsi="Arial" w:cs="Arial"/>
          <w:sz w:val="22"/>
          <w:szCs w:val="22"/>
        </w:rPr>
        <w:t xml:space="preserve">. La evaluación antes y después es un diseño de evaluación que se utiliza para medir el efecto de una intervención basado en la comparación de </w:t>
      </w:r>
      <w:r>
        <w:rPr>
          <w:rFonts w:ascii="Arial" w:hAnsi="Arial" w:cs="Arial"/>
          <w:sz w:val="22"/>
          <w:szCs w:val="22"/>
        </w:rPr>
        <w:lastRenderedPageBreak/>
        <w:t>resultados antes y después de su implementación. E</w:t>
      </w:r>
      <w:r w:rsidRPr="00352068">
        <w:rPr>
          <w:rFonts w:ascii="Arial" w:hAnsi="Arial" w:cs="Arial"/>
          <w:sz w:val="22"/>
          <w:szCs w:val="22"/>
        </w:rPr>
        <w:t>sta metodología es relativamente simple de implementar</w:t>
      </w:r>
      <w:r>
        <w:rPr>
          <w:rFonts w:ascii="Arial" w:hAnsi="Arial" w:cs="Arial"/>
          <w:sz w:val="22"/>
          <w:szCs w:val="22"/>
        </w:rPr>
        <w:t>; s</w:t>
      </w:r>
      <w:r w:rsidRPr="00352068">
        <w:rPr>
          <w:rFonts w:ascii="Arial" w:hAnsi="Arial" w:cs="Arial"/>
          <w:sz w:val="22"/>
          <w:szCs w:val="22"/>
        </w:rPr>
        <w:t xml:space="preserve">in embargo, </w:t>
      </w:r>
      <w:r>
        <w:rPr>
          <w:rFonts w:ascii="Arial" w:hAnsi="Arial" w:cs="Arial"/>
          <w:sz w:val="22"/>
          <w:szCs w:val="22"/>
        </w:rPr>
        <w:t xml:space="preserve">es </w:t>
      </w:r>
      <w:r w:rsidRPr="00352068">
        <w:rPr>
          <w:rFonts w:ascii="Arial" w:hAnsi="Arial" w:cs="Arial"/>
          <w:sz w:val="22"/>
          <w:szCs w:val="22"/>
        </w:rPr>
        <w:t xml:space="preserve">un diseño de evaluación intrínsecamente débil debido a que pueden existir tendencias seculares o shocks repentinos en las tendencias que hacen difícil atribuir los cambios observados a los efectos del programa.     </w:t>
      </w:r>
    </w:p>
    <w:p w14:paraId="524ED305" w14:textId="61C1ABF1" w:rsidR="002B4219" w:rsidRPr="00D50752" w:rsidRDefault="00651A97" w:rsidP="00242C19">
      <w:pPr>
        <w:pStyle w:val="Paragraph"/>
        <w:tabs>
          <w:tab w:val="num" w:pos="1440"/>
          <w:tab w:val="num" w:pos="1746"/>
        </w:tabs>
        <w:ind w:left="720" w:hanging="720"/>
        <w:rPr>
          <w:rFonts w:ascii="Arial" w:hAnsi="Arial" w:cs="Arial"/>
          <w:sz w:val="22"/>
          <w:szCs w:val="22"/>
        </w:rPr>
      </w:pPr>
      <w:r w:rsidRPr="002C6DC7">
        <w:rPr>
          <w:rFonts w:ascii="Arial" w:hAnsi="Arial" w:cs="Arial"/>
          <w:b/>
          <w:bCs/>
          <w:sz w:val="22"/>
          <w:szCs w:val="22"/>
        </w:rPr>
        <w:t>Fuentes de datos</w:t>
      </w:r>
      <w:r w:rsidRPr="00651A97">
        <w:rPr>
          <w:rFonts w:ascii="Arial" w:hAnsi="Arial" w:cs="Arial"/>
          <w:sz w:val="22"/>
          <w:szCs w:val="22"/>
        </w:rPr>
        <w:t xml:space="preserve">. Los datos para el análisis antes y después provendrán principalmente de la información registrada en la matriz de resultados sobre el cambio en los indicadores a ser evaluados. Estos datos a su vez serán obtenidos de registros administrativos existentes, reportes de monitoreo del programa u otros. El análisis cualitativo recogerá información a través de </w:t>
      </w:r>
      <w:r w:rsidR="00697945" w:rsidRPr="00651A97">
        <w:rPr>
          <w:rFonts w:ascii="Arial" w:hAnsi="Arial" w:cs="Arial"/>
          <w:sz w:val="22"/>
          <w:szCs w:val="22"/>
        </w:rPr>
        <w:t xml:space="preserve">entrevistas </w:t>
      </w:r>
      <w:r w:rsidR="00990909" w:rsidRPr="00651A97">
        <w:rPr>
          <w:rFonts w:ascii="Arial" w:hAnsi="Arial" w:cs="Arial"/>
          <w:sz w:val="22"/>
          <w:szCs w:val="22"/>
        </w:rPr>
        <w:t>en profundidad, entrevista semiestructuradas</w:t>
      </w:r>
      <w:r w:rsidR="00697945" w:rsidRPr="00651A97">
        <w:rPr>
          <w:rFonts w:ascii="Arial" w:hAnsi="Arial" w:cs="Arial"/>
          <w:sz w:val="22"/>
          <w:szCs w:val="22"/>
        </w:rPr>
        <w:t>,</w:t>
      </w:r>
      <w:r w:rsidR="00990909" w:rsidRPr="00651A97">
        <w:rPr>
          <w:rFonts w:ascii="Arial" w:hAnsi="Arial" w:cs="Arial"/>
          <w:sz w:val="22"/>
          <w:szCs w:val="22"/>
        </w:rPr>
        <w:t xml:space="preserve"> grupos focales u otros.</w:t>
      </w:r>
      <w:r w:rsidRPr="00651A97">
        <w:rPr>
          <w:rFonts w:ascii="Arial" w:hAnsi="Arial" w:cs="Arial"/>
          <w:sz w:val="22"/>
          <w:szCs w:val="22"/>
        </w:rPr>
        <w:t xml:space="preserve"> </w:t>
      </w:r>
      <w:r w:rsidR="009A4E06" w:rsidRPr="00651A97">
        <w:rPr>
          <w:rFonts w:ascii="Arial" w:hAnsi="Arial" w:cs="Arial"/>
          <w:sz w:val="22"/>
          <w:szCs w:val="22"/>
        </w:rPr>
        <w:t>E</w:t>
      </w:r>
      <w:r w:rsidR="00CD1BB0" w:rsidRPr="00651A97">
        <w:rPr>
          <w:rFonts w:ascii="Arial" w:hAnsi="Arial" w:cs="Arial"/>
          <w:sz w:val="22"/>
          <w:szCs w:val="22"/>
        </w:rPr>
        <w:t xml:space="preserve">l </w:t>
      </w:r>
      <w:r w:rsidR="009A4E06" w:rsidRPr="00651A97">
        <w:rPr>
          <w:rFonts w:ascii="Arial" w:hAnsi="Arial" w:cs="Arial"/>
          <w:sz w:val="22"/>
          <w:szCs w:val="22"/>
        </w:rPr>
        <w:t>análisis cualitativo se realizará en</w:t>
      </w:r>
      <w:r w:rsidR="00CE5253" w:rsidRPr="00651A97">
        <w:rPr>
          <w:rFonts w:ascii="Arial" w:hAnsi="Arial" w:cs="Arial"/>
          <w:sz w:val="22"/>
          <w:szCs w:val="22"/>
        </w:rPr>
        <w:t xml:space="preserve"> las instancias de gobierno responsables por la implementación de la reforma de política respectiva.</w:t>
      </w:r>
      <w:r w:rsidR="009A4E06" w:rsidRPr="00651A97">
        <w:rPr>
          <w:rFonts w:ascii="Arial" w:hAnsi="Arial" w:cs="Arial"/>
          <w:sz w:val="22"/>
          <w:szCs w:val="22"/>
        </w:rPr>
        <w:t xml:space="preserve"> </w:t>
      </w:r>
    </w:p>
    <w:p w14:paraId="6625D245" w14:textId="08C2AE59" w:rsidR="00212E44" w:rsidRPr="00F401A0" w:rsidRDefault="00212E44" w:rsidP="00212E44">
      <w:pPr>
        <w:pStyle w:val="FirstHeading"/>
        <w:ind w:left="720"/>
        <w:rPr>
          <w:rFonts w:ascii="Arial" w:hAnsi="Arial" w:cs="Arial"/>
          <w:sz w:val="22"/>
          <w:szCs w:val="22"/>
        </w:rPr>
      </w:pPr>
      <w:bookmarkStart w:id="16" w:name="_Toc36166568"/>
      <w:r w:rsidRPr="00BB737E">
        <w:rPr>
          <w:rFonts w:ascii="Arial" w:hAnsi="Arial" w:cs="Arial"/>
          <w:sz w:val="22"/>
          <w:szCs w:val="22"/>
        </w:rPr>
        <w:t>E.</w:t>
      </w:r>
      <w:r w:rsidRPr="00BB737E">
        <w:rPr>
          <w:rFonts w:ascii="Arial" w:hAnsi="Arial" w:cs="Arial"/>
          <w:sz w:val="22"/>
          <w:szCs w:val="22"/>
        </w:rPr>
        <w:tab/>
      </w:r>
      <w:r w:rsidR="008B28BE" w:rsidRPr="00BB737E">
        <w:rPr>
          <w:rFonts w:ascii="Arial" w:hAnsi="Arial" w:cs="Arial"/>
          <w:sz w:val="22"/>
          <w:szCs w:val="22"/>
        </w:rPr>
        <w:t>Presentación</w:t>
      </w:r>
      <w:r w:rsidR="008B28BE">
        <w:rPr>
          <w:rFonts w:ascii="Arial" w:hAnsi="Arial" w:cs="Arial"/>
          <w:sz w:val="22"/>
          <w:szCs w:val="22"/>
        </w:rPr>
        <w:t xml:space="preserve"> de </w:t>
      </w:r>
      <w:r>
        <w:rPr>
          <w:rFonts w:ascii="Arial" w:hAnsi="Arial" w:cs="Arial"/>
          <w:sz w:val="22"/>
          <w:szCs w:val="22"/>
        </w:rPr>
        <w:t>Informe</w:t>
      </w:r>
      <w:r w:rsidR="008B28BE">
        <w:rPr>
          <w:rFonts w:ascii="Arial" w:hAnsi="Arial" w:cs="Arial"/>
          <w:sz w:val="22"/>
          <w:szCs w:val="22"/>
        </w:rPr>
        <w:t>s</w:t>
      </w:r>
      <w:bookmarkEnd w:id="16"/>
    </w:p>
    <w:p w14:paraId="32C3303F" w14:textId="4201E5C7" w:rsidR="008B28BE" w:rsidRDefault="008B28BE" w:rsidP="008B28BE">
      <w:pPr>
        <w:pStyle w:val="Paragraph"/>
        <w:tabs>
          <w:tab w:val="num" w:pos="1440"/>
          <w:tab w:val="num" w:pos="1746"/>
        </w:tabs>
        <w:ind w:left="720" w:hanging="720"/>
        <w:rPr>
          <w:rFonts w:ascii="Arial" w:hAnsi="Arial" w:cs="Arial"/>
          <w:sz w:val="22"/>
          <w:szCs w:val="22"/>
        </w:rPr>
      </w:pPr>
      <w:r w:rsidRPr="008B28BE">
        <w:rPr>
          <w:rFonts w:ascii="Arial" w:hAnsi="Arial" w:cs="Arial"/>
          <w:b/>
          <w:bCs/>
          <w:sz w:val="22"/>
          <w:szCs w:val="22"/>
        </w:rPr>
        <w:t>Informes de evaluación</w:t>
      </w:r>
      <w:r>
        <w:rPr>
          <w:rFonts w:ascii="Arial" w:hAnsi="Arial" w:cs="Arial"/>
          <w:sz w:val="22"/>
          <w:szCs w:val="22"/>
        </w:rPr>
        <w:t xml:space="preserve">. </w:t>
      </w:r>
      <w:r w:rsidRPr="008B28BE">
        <w:rPr>
          <w:rFonts w:ascii="Arial" w:hAnsi="Arial" w:cs="Arial"/>
          <w:sz w:val="22"/>
          <w:szCs w:val="22"/>
        </w:rPr>
        <w:t>Los resultados de la</w:t>
      </w:r>
      <w:r>
        <w:rPr>
          <w:rFonts w:ascii="Arial" w:hAnsi="Arial" w:cs="Arial"/>
          <w:sz w:val="22"/>
          <w:szCs w:val="22"/>
        </w:rPr>
        <w:t>s</w:t>
      </w:r>
      <w:r w:rsidRPr="008B28BE">
        <w:rPr>
          <w:rFonts w:ascii="Arial" w:hAnsi="Arial" w:cs="Arial"/>
          <w:sz w:val="22"/>
          <w:szCs w:val="22"/>
        </w:rPr>
        <w:t xml:space="preserve"> evaluaci</w:t>
      </w:r>
      <w:r>
        <w:rPr>
          <w:rFonts w:ascii="Arial" w:hAnsi="Arial" w:cs="Arial"/>
          <w:sz w:val="22"/>
          <w:szCs w:val="22"/>
        </w:rPr>
        <w:t xml:space="preserve">ones </w:t>
      </w:r>
      <w:r w:rsidRPr="008B28BE">
        <w:rPr>
          <w:rFonts w:ascii="Arial" w:hAnsi="Arial" w:cs="Arial"/>
          <w:sz w:val="22"/>
          <w:szCs w:val="22"/>
        </w:rPr>
        <w:t>se</w:t>
      </w:r>
      <w:r>
        <w:rPr>
          <w:rFonts w:ascii="Arial" w:hAnsi="Arial" w:cs="Arial"/>
          <w:sz w:val="22"/>
          <w:szCs w:val="22"/>
        </w:rPr>
        <w:t>rán</w:t>
      </w:r>
      <w:r w:rsidRPr="008B28BE">
        <w:rPr>
          <w:rFonts w:ascii="Arial" w:hAnsi="Arial" w:cs="Arial"/>
          <w:sz w:val="22"/>
          <w:szCs w:val="22"/>
        </w:rPr>
        <w:t xml:space="preserve"> presenta</w:t>
      </w:r>
      <w:r>
        <w:rPr>
          <w:rFonts w:ascii="Arial" w:hAnsi="Arial" w:cs="Arial"/>
          <w:sz w:val="22"/>
          <w:szCs w:val="22"/>
        </w:rPr>
        <w:t>dos</w:t>
      </w:r>
      <w:r w:rsidRPr="008B28BE">
        <w:rPr>
          <w:rFonts w:ascii="Arial" w:hAnsi="Arial" w:cs="Arial"/>
          <w:sz w:val="22"/>
          <w:szCs w:val="22"/>
        </w:rPr>
        <w:t xml:space="preserve"> en</w:t>
      </w:r>
      <w:r>
        <w:rPr>
          <w:rFonts w:ascii="Arial" w:hAnsi="Arial" w:cs="Arial"/>
          <w:sz w:val="22"/>
          <w:szCs w:val="22"/>
        </w:rPr>
        <w:t xml:space="preserve"> informes de resultados. Estos informes serán preparados </w:t>
      </w:r>
      <w:r w:rsidRPr="008B28BE">
        <w:rPr>
          <w:rFonts w:ascii="Arial" w:hAnsi="Arial" w:cs="Arial"/>
          <w:sz w:val="22"/>
          <w:szCs w:val="22"/>
        </w:rPr>
        <w:t>después de cerrada la ejecución</w:t>
      </w:r>
      <w:r>
        <w:rPr>
          <w:rFonts w:ascii="Arial" w:hAnsi="Arial" w:cs="Arial"/>
          <w:sz w:val="22"/>
          <w:szCs w:val="22"/>
        </w:rPr>
        <w:t xml:space="preserve"> del programa y se presentarán como parte integral del Informe de Terminación del Proyecto (PCR, por sus siglas en inglés). </w:t>
      </w:r>
      <w:r w:rsidRPr="008B28BE">
        <w:rPr>
          <w:rFonts w:ascii="Arial" w:hAnsi="Arial" w:cs="Arial"/>
          <w:sz w:val="22"/>
          <w:szCs w:val="22"/>
        </w:rPr>
        <w:t xml:space="preserve"> </w:t>
      </w:r>
    </w:p>
    <w:p w14:paraId="7D768B5C" w14:textId="4DCFBDDD" w:rsidR="008B28BE" w:rsidRPr="003643A4" w:rsidRDefault="008B28BE" w:rsidP="000B35E0">
      <w:pPr>
        <w:pStyle w:val="Paragraph"/>
        <w:tabs>
          <w:tab w:val="num" w:pos="1440"/>
          <w:tab w:val="num" w:pos="1746"/>
        </w:tabs>
        <w:ind w:left="720" w:hanging="720"/>
        <w:rPr>
          <w:rFonts w:ascii="Arial" w:hAnsi="Arial" w:cs="Arial"/>
          <w:sz w:val="22"/>
          <w:szCs w:val="22"/>
        </w:rPr>
      </w:pPr>
      <w:r w:rsidRPr="00C14420">
        <w:rPr>
          <w:rFonts w:ascii="Arial" w:hAnsi="Arial" w:cs="Arial"/>
          <w:b/>
          <w:bCs/>
          <w:sz w:val="22"/>
          <w:szCs w:val="22"/>
        </w:rPr>
        <w:t>Informe de Terminación de Proyecto</w:t>
      </w:r>
      <w:r w:rsidRPr="00C14420">
        <w:rPr>
          <w:rFonts w:ascii="Arial" w:hAnsi="Arial" w:cs="Arial"/>
          <w:sz w:val="22"/>
          <w:szCs w:val="22"/>
        </w:rPr>
        <w:t xml:space="preserve">. Una vez cerrada la operación, el equipo de proyecto del BID preparará un Informe de Terminación de Proyecto en los plazos establecidos para tal fin. El </w:t>
      </w:r>
      <w:r w:rsidR="00C14420" w:rsidRPr="00C14420">
        <w:rPr>
          <w:rFonts w:ascii="Arial" w:hAnsi="Arial" w:cs="Arial"/>
          <w:sz w:val="22"/>
          <w:szCs w:val="22"/>
        </w:rPr>
        <w:t xml:space="preserve">PCR incluirá una evaluación integral del desempeño del programa con base en los </w:t>
      </w:r>
      <w:r w:rsidRPr="00C14420">
        <w:rPr>
          <w:rFonts w:ascii="Arial" w:hAnsi="Arial" w:cs="Arial"/>
          <w:sz w:val="22"/>
        </w:rPr>
        <w:t>criterios</w:t>
      </w:r>
      <w:r w:rsidR="00C14420">
        <w:rPr>
          <w:rFonts w:ascii="Arial" w:hAnsi="Arial" w:cs="Arial"/>
          <w:sz w:val="22"/>
        </w:rPr>
        <w:t xml:space="preserve"> centrales (</w:t>
      </w:r>
      <w:r w:rsidRPr="00C14420">
        <w:rPr>
          <w:rFonts w:ascii="Arial" w:hAnsi="Arial" w:cs="Arial"/>
          <w:sz w:val="22"/>
        </w:rPr>
        <w:t>relevancia, efectividad, eficiencia y sostenibilidad</w:t>
      </w:r>
      <w:r w:rsidR="00C14420">
        <w:rPr>
          <w:rFonts w:ascii="Arial" w:hAnsi="Arial" w:cs="Arial"/>
          <w:sz w:val="22"/>
        </w:rPr>
        <w:t>)</w:t>
      </w:r>
      <w:r w:rsidRPr="00C14420">
        <w:rPr>
          <w:rFonts w:ascii="Arial" w:hAnsi="Arial" w:cs="Arial"/>
          <w:sz w:val="22"/>
        </w:rPr>
        <w:t>, de los dos criterios no centrales (desempeño del prestatario, desempeño del banco), así como hallazgos y recomendaciones</w:t>
      </w:r>
      <w:r w:rsidR="00C14420">
        <w:rPr>
          <w:rFonts w:ascii="Arial" w:hAnsi="Arial" w:cs="Arial"/>
          <w:sz w:val="22"/>
        </w:rPr>
        <w:t>.</w:t>
      </w:r>
    </w:p>
    <w:p w14:paraId="0013DCFE" w14:textId="2DF02AA8" w:rsidR="00FE7761" w:rsidRPr="00FA0B14" w:rsidRDefault="00A12ADC" w:rsidP="00FA0B14">
      <w:pPr>
        <w:pStyle w:val="FirstHeading"/>
        <w:ind w:left="720"/>
        <w:rPr>
          <w:rFonts w:ascii="Arial" w:hAnsi="Arial" w:cs="Arial"/>
          <w:sz w:val="22"/>
          <w:szCs w:val="22"/>
        </w:rPr>
      </w:pPr>
      <w:r>
        <w:br w:type="page"/>
      </w:r>
      <w:bookmarkStart w:id="17" w:name="_Toc36166569"/>
      <w:r w:rsidR="00212E44">
        <w:rPr>
          <w:rFonts w:ascii="Arial" w:hAnsi="Arial" w:cs="Arial"/>
          <w:sz w:val="22"/>
          <w:szCs w:val="22"/>
        </w:rPr>
        <w:lastRenderedPageBreak/>
        <w:t>F</w:t>
      </w:r>
      <w:r w:rsidR="00FE7761" w:rsidRPr="00F401A0">
        <w:rPr>
          <w:rFonts w:ascii="Arial" w:hAnsi="Arial" w:cs="Arial"/>
          <w:sz w:val="22"/>
          <w:szCs w:val="22"/>
        </w:rPr>
        <w:t>.</w:t>
      </w:r>
      <w:r w:rsidR="00FE7761" w:rsidRPr="00F401A0">
        <w:rPr>
          <w:rFonts w:ascii="Arial" w:hAnsi="Arial" w:cs="Arial"/>
          <w:sz w:val="22"/>
          <w:szCs w:val="22"/>
        </w:rPr>
        <w:tab/>
      </w:r>
      <w:r w:rsidR="00FE7761" w:rsidRPr="00FA0B14">
        <w:rPr>
          <w:rFonts w:ascii="Arial" w:hAnsi="Arial" w:cs="Arial"/>
          <w:sz w:val="22"/>
          <w:szCs w:val="22"/>
        </w:rPr>
        <w:t xml:space="preserve">Coordinación, </w:t>
      </w:r>
      <w:r w:rsidR="00293D3B" w:rsidRPr="00FA0B14">
        <w:rPr>
          <w:rFonts w:ascii="Arial" w:hAnsi="Arial" w:cs="Arial"/>
          <w:sz w:val="22"/>
          <w:szCs w:val="22"/>
        </w:rPr>
        <w:t>p</w:t>
      </w:r>
      <w:r w:rsidR="00FE7761" w:rsidRPr="00FA0B14">
        <w:rPr>
          <w:rFonts w:ascii="Arial" w:hAnsi="Arial" w:cs="Arial"/>
          <w:sz w:val="22"/>
          <w:szCs w:val="22"/>
        </w:rPr>
        <w:t xml:space="preserve">lan de </w:t>
      </w:r>
      <w:r w:rsidR="00293D3B" w:rsidRPr="00FA0B14">
        <w:rPr>
          <w:rFonts w:ascii="Arial" w:hAnsi="Arial" w:cs="Arial"/>
          <w:sz w:val="22"/>
          <w:szCs w:val="22"/>
        </w:rPr>
        <w:t>t</w:t>
      </w:r>
      <w:r w:rsidR="00FE7761" w:rsidRPr="00FA0B14">
        <w:rPr>
          <w:rFonts w:ascii="Arial" w:hAnsi="Arial" w:cs="Arial"/>
          <w:sz w:val="22"/>
          <w:szCs w:val="22"/>
        </w:rPr>
        <w:t xml:space="preserve">rabajo y </w:t>
      </w:r>
      <w:r w:rsidR="00293D3B" w:rsidRPr="00FA0B14">
        <w:rPr>
          <w:rFonts w:ascii="Arial" w:hAnsi="Arial" w:cs="Arial"/>
          <w:sz w:val="22"/>
          <w:szCs w:val="22"/>
        </w:rPr>
        <w:t>p</w:t>
      </w:r>
      <w:r w:rsidR="00FE7761" w:rsidRPr="00FA0B14">
        <w:rPr>
          <w:rFonts w:ascii="Arial" w:hAnsi="Arial" w:cs="Arial"/>
          <w:sz w:val="22"/>
          <w:szCs w:val="22"/>
        </w:rPr>
        <w:t xml:space="preserve">resupuesto de la </w:t>
      </w:r>
      <w:r w:rsidR="00293D3B" w:rsidRPr="00FA0B14">
        <w:rPr>
          <w:rFonts w:ascii="Arial" w:hAnsi="Arial" w:cs="Arial"/>
          <w:sz w:val="22"/>
          <w:szCs w:val="22"/>
        </w:rPr>
        <w:t>e</w:t>
      </w:r>
      <w:r w:rsidR="00FE7761" w:rsidRPr="00FA0B14">
        <w:rPr>
          <w:rFonts w:ascii="Arial" w:hAnsi="Arial" w:cs="Arial"/>
          <w:sz w:val="22"/>
          <w:szCs w:val="22"/>
        </w:rPr>
        <w:t>valuación</w:t>
      </w:r>
      <w:bookmarkEnd w:id="17"/>
    </w:p>
    <w:p w14:paraId="1511B991" w14:textId="35D68C6E" w:rsidR="00FE7761" w:rsidRDefault="003173DB" w:rsidP="003173DB">
      <w:pPr>
        <w:pStyle w:val="Paragraph"/>
        <w:tabs>
          <w:tab w:val="clear" w:pos="2448"/>
          <w:tab w:val="num" w:pos="720"/>
        </w:tabs>
        <w:ind w:left="720" w:hanging="720"/>
        <w:rPr>
          <w:rFonts w:ascii="Arial" w:hAnsi="Arial" w:cs="Arial"/>
          <w:sz w:val="22"/>
          <w:szCs w:val="22"/>
        </w:rPr>
      </w:pPr>
      <w:r>
        <w:rPr>
          <w:rFonts w:ascii="Arial" w:hAnsi="Arial" w:cs="Arial"/>
          <w:b/>
          <w:sz w:val="22"/>
          <w:szCs w:val="22"/>
        </w:rPr>
        <w:t>Coordinación y Responsables</w:t>
      </w:r>
      <w:r w:rsidR="00FE7761" w:rsidRPr="00F401A0">
        <w:rPr>
          <w:rFonts w:ascii="Arial" w:hAnsi="Arial" w:cs="Arial"/>
          <w:sz w:val="22"/>
          <w:szCs w:val="22"/>
        </w:rPr>
        <w:t>. El plan de evaluación será ejecutado por el BID en estrecha coordinación con el equipo de</w:t>
      </w:r>
      <w:r w:rsidR="00B170ED">
        <w:rPr>
          <w:rFonts w:ascii="Arial" w:hAnsi="Arial" w:cs="Arial"/>
          <w:sz w:val="22"/>
          <w:szCs w:val="22"/>
        </w:rPr>
        <w:t>l organismo ejecutor</w:t>
      </w:r>
      <w:r w:rsidR="00FE7761" w:rsidRPr="00F401A0">
        <w:rPr>
          <w:rFonts w:ascii="Arial" w:hAnsi="Arial" w:cs="Arial"/>
          <w:sz w:val="22"/>
          <w:szCs w:val="22"/>
        </w:rPr>
        <w:t xml:space="preserve">. </w:t>
      </w:r>
      <w:r>
        <w:rPr>
          <w:rFonts w:ascii="Arial" w:hAnsi="Arial" w:cs="Arial"/>
          <w:sz w:val="22"/>
          <w:szCs w:val="22"/>
        </w:rPr>
        <w:t>El organismo ejecutor será responsable de suministrar en forma oportuna y completa toda la información requerida por el Banco para la implementación del plan de evaluación.</w:t>
      </w:r>
      <w:r w:rsidR="00A76ECB">
        <w:rPr>
          <w:rFonts w:ascii="Arial" w:hAnsi="Arial" w:cs="Arial"/>
          <w:sz w:val="22"/>
          <w:szCs w:val="22"/>
        </w:rPr>
        <w:t xml:space="preserve"> </w:t>
      </w:r>
      <w:r w:rsidR="00FE7761" w:rsidRPr="005301D3">
        <w:rPr>
          <w:rFonts w:ascii="Arial" w:hAnsi="Arial" w:cs="Arial"/>
          <w:sz w:val="22"/>
          <w:szCs w:val="22"/>
        </w:rPr>
        <w:t xml:space="preserve">Los plazos y el presupuesto asignado a cada una de las </w:t>
      </w:r>
      <w:r>
        <w:rPr>
          <w:rFonts w:ascii="Arial" w:hAnsi="Arial" w:cs="Arial"/>
          <w:sz w:val="22"/>
          <w:szCs w:val="22"/>
        </w:rPr>
        <w:t xml:space="preserve">actividades de </w:t>
      </w:r>
      <w:r w:rsidR="00FE7761" w:rsidRPr="005301D3">
        <w:rPr>
          <w:rFonts w:ascii="Arial" w:hAnsi="Arial" w:cs="Arial"/>
          <w:sz w:val="22"/>
          <w:szCs w:val="22"/>
        </w:rPr>
        <w:t>evaluaci</w:t>
      </w:r>
      <w:r>
        <w:rPr>
          <w:rFonts w:ascii="Arial" w:hAnsi="Arial" w:cs="Arial"/>
          <w:sz w:val="22"/>
          <w:szCs w:val="22"/>
        </w:rPr>
        <w:t xml:space="preserve">ón y su </w:t>
      </w:r>
      <w:r w:rsidR="00FE7761" w:rsidRPr="005301D3">
        <w:rPr>
          <w:rFonts w:ascii="Arial" w:hAnsi="Arial" w:cs="Arial"/>
          <w:sz w:val="22"/>
          <w:szCs w:val="22"/>
        </w:rPr>
        <w:t xml:space="preserve">fuente de financiamiento se detallan en el Cuadro </w:t>
      </w:r>
      <w:r w:rsidR="00A12ADC">
        <w:rPr>
          <w:rFonts w:ascii="Arial" w:hAnsi="Arial" w:cs="Arial"/>
          <w:sz w:val="22"/>
          <w:szCs w:val="22"/>
        </w:rPr>
        <w:t>6</w:t>
      </w:r>
      <w:r w:rsidR="00FE7761" w:rsidRPr="005301D3">
        <w:rPr>
          <w:rFonts w:ascii="Arial" w:hAnsi="Arial" w:cs="Arial"/>
          <w:sz w:val="22"/>
          <w:szCs w:val="22"/>
        </w:rPr>
        <w:t>.</w:t>
      </w:r>
    </w:p>
    <w:p w14:paraId="72BA2F02" w14:textId="77777777" w:rsidR="00D50752" w:rsidRDefault="00D50752" w:rsidP="004130A1">
      <w:pPr>
        <w:keepNext/>
        <w:spacing w:after="120"/>
        <w:jc w:val="center"/>
        <w:rPr>
          <w:rFonts w:ascii="Arial" w:hAnsi="Arial" w:cs="Arial"/>
          <w:b/>
          <w:sz w:val="20"/>
          <w:lang w:val="es-ES"/>
        </w:rPr>
      </w:pPr>
    </w:p>
    <w:p w14:paraId="17163631" w14:textId="7E2011F3" w:rsidR="004130A1" w:rsidRPr="00D50752" w:rsidRDefault="00FE7761" w:rsidP="004130A1">
      <w:pPr>
        <w:keepNext/>
        <w:spacing w:after="120"/>
        <w:jc w:val="center"/>
        <w:rPr>
          <w:rFonts w:ascii="Arial" w:hAnsi="Arial" w:cs="Arial"/>
          <w:b/>
          <w:sz w:val="22"/>
          <w:szCs w:val="22"/>
          <w:lang w:val="es-ES"/>
        </w:rPr>
      </w:pPr>
      <w:r w:rsidRPr="00D50752">
        <w:rPr>
          <w:rFonts w:ascii="Arial" w:hAnsi="Arial" w:cs="Arial"/>
          <w:b/>
          <w:sz w:val="22"/>
          <w:szCs w:val="22"/>
          <w:lang w:val="es-ES"/>
        </w:rPr>
        <w:t xml:space="preserve">Cuadro </w:t>
      </w:r>
      <w:r w:rsidR="00A12ADC">
        <w:rPr>
          <w:rFonts w:ascii="Arial" w:hAnsi="Arial" w:cs="Arial"/>
          <w:b/>
          <w:sz w:val="22"/>
          <w:szCs w:val="22"/>
          <w:lang w:val="es-ES"/>
        </w:rPr>
        <w:t>6</w:t>
      </w:r>
    </w:p>
    <w:p w14:paraId="6408B97B" w14:textId="1D45BAA6" w:rsidR="00FE7761" w:rsidRPr="00D50752" w:rsidRDefault="00FE7761" w:rsidP="004130A1">
      <w:pPr>
        <w:keepNext/>
        <w:spacing w:after="120"/>
        <w:jc w:val="center"/>
        <w:rPr>
          <w:rFonts w:ascii="Arial" w:hAnsi="Arial" w:cs="Arial"/>
          <w:b/>
          <w:sz w:val="22"/>
          <w:szCs w:val="22"/>
          <w:lang w:val="es-ES"/>
        </w:rPr>
      </w:pPr>
      <w:r w:rsidRPr="00D50752">
        <w:rPr>
          <w:rFonts w:ascii="Arial" w:hAnsi="Arial" w:cs="Arial"/>
          <w:b/>
          <w:bCs/>
          <w:color w:val="000000"/>
          <w:sz w:val="22"/>
          <w:szCs w:val="22"/>
          <w:lang w:val="es-ES"/>
        </w:rPr>
        <w:t>Principales actividades de evaluación</w:t>
      </w:r>
    </w:p>
    <w:tbl>
      <w:tblPr>
        <w:tblW w:w="8550" w:type="dxa"/>
        <w:tblInd w:w="170" w:type="dxa"/>
        <w:tblLayout w:type="fixed"/>
        <w:tblLook w:val="04A0" w:firstRow="1" w:lastRow="0" w:firstColumn="1" w:lastColumn="0" w:noHBand="0" w:noVBand="1"/>
      </w:tblPr>
      <w:tblGrid>
        <w:gridCol w:w="2879"/>
        <w:gridCol w:w="811"/>
        <w:gridCol w:w="720"/>
        <w:gridCol w:w="1530"/>
        <w:gridCol w:w="900"/>
        <w:gridCol w:w="1710"/>
      </w:tblGrid>
      <w:tr w:rsidR="009D3F3B" w:rsidRPr="00544627" w14:paraId="1CA92A05" w14:textId="77777777" w:rsidTr="004130A1">
        <w:trPr>
          <w:trHeight w:val="772"/>
          <w:tblHeader/>
        </w:trPr>
        <w:tc>
          <w:tcPr>
            <w:tcW w:w="2879"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1E2C9554" w14:textId="435A9BD9" w:rsidR="009D3F3B" w:rsidRPr="001A53E3" w:rsidRDefault="009D3F3B" w:rsidP="00633121">
            <w:pPr>
              <w:jc w:val="center"/>
              <w:rPr>
                <w:rFonts w:ascii="Arial" w:hAnsi="Arial" w:cs="Arial"/>
                <w:b/>
                <w:bCs/>
                <w:color w:val="000000"/>
                <w:sz w:val="20"/>
                <w:lang w:val="en-US"/>
              </w:rPr>
            </w:pPr>
            <w:r w:rsidRPr="001A53E3">
              <w:rPr>
                <w:rFonts w:ascii="Arial" w:hAnsi="Arial" w:cs="Arial"/>
                <w:b/>
                <w:bCs/>
                <w:color w:val="000000"/>
                <w:sz w:val="20"/>
                <w:lang w:val="es-ES"/>
              </w:rPr>
              <w:t>Actividades y Productos</w:t>
            </w:r>
          </w:p>
        </w:tc>
        <w:tc>
          <w:tcPr>
            <w:tcW w:w="811" w:type="dxa"/>
            <w:tcBorders>
              <w:top w:val="single" w:sz="8" w:space="0" w:color="000000"/>
              <w:left w:val="single" w:sz="8" w:space="0" w:color="000000"/>
              <w:bottom w:val="single" w:sz="8" w:space="0" w:color="000000"/>
              <w:right w:val="single" w:sz="8" w:space="0" w:color="000000"/>
            </w:tcBorders>
            <w:shd w:val="clear" w:color="000000" w:fill="8DB3E2"/>
            <w:vAlign w:val="center"/>
          </w:tcPr>
          <w:p w14:paraId="2F696A65" w14:textId="754518D7" w:rsidR="009D3F3B" w:rsidRPr="001A53E3" w:rsidRDefault="003173DB" w:rsidP="00633121">
            <w:pPr>
              <w:jc w:val="center"/>
              <w:rPr>
                <w:rFonts w:ascii="Arial" w:hAnsi="Arial" w:cs="Arial"/>
                <w:b/>
                <w:bCs/>
                <w:color w:val="000000"/>
                <w:sz w:val="20"/>
                <w:lang w:val="es-ES"/>
              </w:rPr>
            </w:pPr>
            <w:r>
              <w:rPr>
                <w:rFonts w:ascii="Arial" w:hAnsi="Arial" w:cs="Arial"/>
                <w:b/>
                <w:bCs/>
                <w:color w:val="000000"/>
                <w:sz w:val="20"/>
                <w:lang w:val="es-ES"/>
              </w:rPr>
              <w:t>Año 1</w:t>
            </w:r>
          </w:p>
        </w:tc>
        <w:tc>
          <w:tcPr>
            <w:tcW w:w="720" w:type="dxa"/>
            <w:tcBorders>
              <w:top w:val="single" w:sz="8" w:space="0" w:color="000000"/>
              <w:left w:val="single" w:sz="8" w:space="0" w:color="000000"/>
              <w:bottom w:val="single" w:sz="8" w:space="0" w:color="000000"/>
              <w:right w:val="single" w:sz="8" w:space="0" w:color="000000"/>
            </w:tcBorders>
            <w:shd w:val="clear" w:color="000000" w:fill="8DB3E2"/>
            <w:vAlign w:val="center"/>
          </w:tcPr>
          <w:p w14:paraId="7A2364FA" w14:textId="241D857C" w:rsidR="009D3F3B" w:rsidRPr="001A53E3" w:rsidRDefault="003173DB" w:rsidP="00633121">
            <w:pPr>
              <w:jc w:val="center"/>
              <w:rPr>
                <w:rFonts w:ascii="Arial" w:hAnsi="Arial" w:cs="Arial"/>
                <w:b/>
                <w:bCs/>
                <w:color w:val="000000"/>
                <w:sz w:val="20"/>
                <w:lang w:val="es-ES"/>
              </w:rPr>
            </w:pPr>
            <w:r>
              <w:rPr>
                <w:rFonts w:ascii="Arial" w:hAnsi="Arial" w:cs="Arial"/>
                <w:b/>
                <w:bCs/>
                <w:color w:val="000000"/>
                <w:sz w:val="20"/>
                <w:lang w:val="es-ES"/>
              </w:rPr>
              <w:t>Año2</w:t>
            </w:r>
          </w:p>
        </w:tc>
        <w:tc>
          <w:tcPr>
            <w:tcW w:w="1530"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3AE5C52E" w14:textId="77777777" w:rsidR="009D3F3B" w:rsidRPr="001A53E3" w:rsidRDefault="009D3F3B" w:rsidP="00633121">
            <w:pPr>
              <w:jc w:val="center"/>
              <w:rPr>
                <w:rFonts w:ascii="Arial" w:hAnsi="Arial" w:cs="Arial"/>
                <w:b/>
                <w:bCs/>
                <w:color w:val="000000"/>
                <w:sz w:val="20"/>
                <w:lang w:val="en-US"/>
              </w:rPr>
            </w:pPr>
            <w:r w:rsidRPr="001A53E3">
              <w:rPr>
                <w:rFonts w:ascii="Arial" w:hAnsi="Arial" w:cs="Arial"/>
                <w:b/>
                <w:bCs/>
                <w:color w:val="000000"/>
                <w:sz w:val="20"/>
                <w:lang w:val="es-ES"/>
              </w:rPr>
              <w:t>Responsable</w:t>
            </w:r>
          </w:p>
        </w:tc>
        <w:tc>
          <w:tcPr>
            <w:tcW w:w="900" w:type="dxa"/>
            <w:tcBorders>
              <w:top w:val="single" w:sz="8" w:space="0" w:color="000000"/>
              <w:left w:val="nil"/>
              <w:bottom w:val="single" w:sz="8" w:space="0" w:color="000000"/>
              <w:right w:val="single" w:sz="8" w:space="0" w:color="000000"/>
            </w:tcBorders>
            <w:shd w:val="clear" w:color="000000" w:fill="8DB3E2"/>
            <w:vAlign w:val="center"/>
            <w:hideMark/>
          </w:tcPr>
          <w:p w14:paraId="1BCA4104" w14:textId="77777777" w:rsidR="009D3F3B" w:rsidRPr="001A53E3" w:rsidRDefault="009D3F3B" w:rsidP="00633121">
            <w:pPr>
              <w:jc w:val="center"/>
              <w:rPr>
                <w:rFonts w:ascii="Arial" w:hAnsi="Arial" w:cs="Arial"/>
                <w:b/>
                <w:bCs/>
                <w:color w:val="000000"/>
                <w:sz w:val="20"/>
                <w:lang w:val="en-US"/>
              </w:rPr>
            </w:pPr>
            <w:r w:rsidRPr="001A53E3">
              <w:rPr>
                <w:rFonts w:ascii="Arial" w:hAnsi="Arial" w:cs="Arial"/>
                <w:b/>
                <w:bCs/>
                <w:color w:val="000000"/>
                <w:sz w:val="20"/>
                <w:lang w:val="es-ES"/>
              </w:rPr>
              <w:t>Costo</w:t>
            </w:r>
          </w:p>
          <w:p w14:paraId="392CFEFC" w14:textId="77777777" w:rsidR="009D3F3B" w:rsidRPr="001A53E3" w:rsidRDefault="009D3F3B" w:rsidP="00633121">
            <w:pPr>
              <w:jc w:val="center"/>
              <w:rPr>
                <w:rFonts w:ascii="Arial" w:hAnsi="Arial" w:cs="Arial"/>
                <w:b/>
                <w:bCs/>
                <w:color w:val="000000"/>
                <w:sz w:val="20"/>
                <w:lang w:val="en-US"/>
              </w:rPr>
            </w:pPr>
            <w:r w:rsidRPr="001A53E3">
              <w:rPr>
                <w:rFonts w:ascii="Arial" w:hAnsi="Arial" w:cs="Arial"/>
                <w:b/>
                <w:bCs/>
                <w:color w:val="000000"/>
                <w:sz w:val="20"/>
                <w:lang w:val="es-ES"/>
              </w:rPr>
              <w:t>US$</w:t>
            </w:r>
          </w:p>
        </w:tc>
        <w:tc>
          <w:tcPr>
            <w:tcW w:w="1710"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0E3EDCCC" w14:textId="77777777" w:rsidR="009D3F3B" w:rsidRPr="001A53E3" w:rsidRDefault="009D3F3B" w:rsidP="00633121">
            <w:pPr>
              <w:jc w:val="center"/>
              <w:rPr>
                <w:rFonts w:ascii="Arial" w:hAnsi="Arial" w:cs="Arial"/>
                <w:b/>
                <w:bCs/>
                <w:color w:val="000000"/>
                <w:sz w:val="20"/>
                <w:lang w:val="en-US"/>
              </w:rPr>
            </w:pPr>
            <w:r w:rsidRPr="001A53E3">
              <w:rPr>
                <w:rFonts w:ascii="Arial" w:hAnsi="Arial" w:cs="Arial"/>
                <w:b/>
                <w:bCs/>
                <w:color w:val="000000"/>
                <w:sz w:val="20"/>
                <w:lang w:val="es-ES"/>
              </w:rPr>
              <w:t>Financiamiento</w:t>
            </w:r>
          </w:p>
        </w:tc>
      </w:tr>
      <w:tr w:rsidR="009D3F3B" w:rsidRPr="00544627" w14:paraId="00C8DA2F" w14:textId="77777777" w:rsidTr="004130A1">
        <w:trPr>
          <w:trHeight w:val="525"/>
        </w:trPr>
        <w:tc>
          <w:tcPr>
            <w:tcW w:w="28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6A72B1" w14:textId="50950551" w:rsidR="009D3F3B" w:rsidRPr="00FF45D0" w:rsidRDefault="009D3F3B" w:rsidP="00A5252C">
            <w:pPr>
              <w:rPr>
                <w:rFonts w:ascii="Arial" w:hAnsi="Arial" w:cs="Arial"/>
                <w:color w:val="000000"/>
                <w:sz w:val="20"/>
                <w:lang w:val="es-ES"/>
              </w:rPr>
            </w:pPr>
            <w:r w:rsidRPr="00FF45D0">
              <w:rPr>
                <w:rFonts w:ascii="Arial" w:hAnsi="Arial" w:cs="Arial"/>
                <w:color w:val="000000"/>
                <w:sz w:val="20"/>
                <w:lang w:val="es-ES"/>
              </w:rPr>
              <w:t>Ev</w:t>
            </w:r>
            <w:r w:rsidR="00A5252C" w:rsidRPr="00FF45D0">
              <w:rPr>
                <w:rFonts w:ascii="Arial" w:hAnsi="Arial" w:cs="Arial"/>
                <w:color w:val="000000"/>
                <w:sz w:val="20"/>
                <w:lang w:val="es-ES"/>
              </w:rPr>
              <w:t>aluación antes y después</w:t>
            </w:r>
          </w:p>
        </w:tc>
        <w:tc>
          <w:tcPr>
            <w:tcW w:w="811" w:type="dxa"/>
            <w:tcBorders>
              <w:top w:val="single" w:sz="8" w:space="0" w:color="000000"/>
              <w:left w:val="single" w:sz="8" w:space="0" w:color="000000"/>
              <w:bottom w:val="single" w:sz="8" w:space="0" w:color="000000"/>
              <w:right w:val="single" w:sz="8" w:space="0" w:color="000000"/>
            </w:tcBorders>
          </w:tcPr>
          <w:p w14:paraId="2DBEBF0D" w14:textId="77777777" w:rsidR="009D3F3B" w:rsidRPr="00FF45D0" w:rsidRDefault="009D3F3B" w:rsidP="00633121">
            <w:pPr>
              <w:jc w:val="center"/>
              <w:rPr>
                <w:rFonts w:ascii="Arial" w:hAnsi="Arial" w:cs="Arial"/>
                <w:color w:val="000000"/>
                <w:sz w:val="20"/>
                <w:lang w:val="es-ES"/>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09B42BE5" w14:textId="79FA6BDA" w:rsidR="009D3F3B" w:rsidRPr="00FF45D0" w:rsidRDefault="004130A1" w:rsidP="00633121">
            <w:pPr>
              <w:ind w:left="-648" w:right="256"/>
              <w:jc w:val="right"/>
              <w:rPr>
                <w:rFonts w:ascii="Arial" w:hAnsi="Arial" w:cs="Arial"/>
                <w:color w:val="000000"/>
                <w:sz w:val="20"/>
                <w:lang w:val="es-ES"/>
              </w:rPr>
            </w:pPr>
            <w:r w:rsidRPr="00FF45D0">
              <w:rPr>
                <w:rFonts w:ascii="Arial" w:hAnsi="Arial" w:cs="Arial"/>
                <w:color w:val="000000"/>
                <w:sz w:val="20"/>
                <w:lang w:val="es-ES"/>
              </w:rPr>
              <w:t>X</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049F52" w14:textId="281D122E" w:rsidR="009D3F3B" w:rsidRPr="00FF45D0" w:rsidRDefault="009D3F3B" w:rsidP="00633121">
            <w:pPr>
              <w:jc w:val="center"/>
              <w:rPr>
                <w:rFonts w:ascii="Arial" w:hAnsi="Arial" w:cs="Arial"/>
                <w:color w:val="000000"/>
                <w:sz w:val="20"/>
                <w:lang w:val="en-US"/>
              </w:rPr>
            </w:pPr>
            <w:r w:rsidRPr="00FF45D0">
              <w:rPr>
                <w:rFonts w:ascii="Arial" w:hAnsi="Arial" w:cs="Arial"/>
                <w:color w:val="000000"/>
                <w:sz w:val="20"/>
                <w:lang w:val="es-ES"/>
              </w:rPr>
              <w:t>BID</w:t>
            </w:r>
            <w:r w:rsidR="004130A1" w:rsidRPr="00FF45D0">
              <w:rPr>
                <w:rFonts w:ascii="Arial" w:hAnsi="Arial" w:cs="Arial"/>
                <w:color w:val="000000"/>
                <w:sz w:val="20"/>
                <w:lang w:val="es-ES"/>
              </w:rPr>
              <w:t>/OE</w:t>
            </w:r>
          </w:p>
        </w:tc>
        <w:tc>
          <w:tcPr>
            <w:tcW w:w="900" w:type="dxa"/>
            <w:tcBorders>
              <w:top w:val="single" w:sz="8" w:space="0" w:color="000000"/>
              <w:left w:val="nil"/>
              <w:bottom w:val="single" w:sz="8" w:space="0" w:color="000000"/>
              <w:right w:val="single" w:sz="8" w:space="0" w:color="000000"/>
            </w:tcBorders>
            <w:shd w:val="clear" w:color="auto" w:fill="auto"/>
            <w:vAlign w:val="center"/>
            <w:hideMark/>
          </w:tcPr>
          <w:p w14:paraId="2C60F04C" w14:textId="207BD21C" w:rsidR="009D3F3B" w:rsidRPr="00FF45D0" w:rsidRDefault="004130A1" w:rsidP="00633121">
            <w:pPr>
              <w:ind w:left="-291" w:right="73"/>
              <w:jc w:val="right"/>
              <w:rPr>
                <w:rFonts w:ascii="Arial" w:hAnsi="Arial" w:cs="Arial"/>
                <w:color w:val="000000"/>
                <w:sz w:val="20"/>
                <w:lang w:val="en-US"/>
              </w:rPr>
            </w:pPr>
            <w:r w:rsidRPr="00FF45D0">
              <w:rPr>
                <w:rFonts w:ascii="Arial" w:hAnsi="Arial" w:cs="Arial"/>
                <w:color w:val="000000"/>
                <w:sz w:val="20"/>
                <w:lang w:val="en-US"/>
              </w:rPr>
              <w:t>0</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1DEF4F7B" w14:textId="77777777" w:rsidR="009D3F3B" w:rsidRPr="00FF45D0" w:rsidRDefault="009D3F3B" w:rsidP="00633121">
            <w:pPr>
              <w:jc w:val="center"/>
              <w:rPr>
                <w:rFonts w:ascii="Arial" w:hAnsi="Arial" w:cs="Arial"/>
                <w:color w:val="000000"/>
                <w:sz w:val="20"/>
                <w:lang w:val="en-US"/>
              </w:rPr>
            </w:pPr>
            <w:r w:rsidRPr="00FF45D0">
              <w:rPr>
                <w:rFonts w:ascii="Arial" w:hAnsi="Arial" w:cs="Arial"/>
                <w:color w:val="000000"/>
                <w:sz w:val="20"/>
                <w:lang w:val="en-US"/>
              </w:rPr>
              <w:t>BID</w:t>
            </w:r>
          </w:p>
        </w:tc>
      </w:tr>
      <w:tr w:rsidR="004130A1" w:rsidRPr="00544627" w14:paraId="316013C6" w14:textId="77777777" w:rsidTr="004130A1">
        <w:trPr>
          <w:trHeight w:val="525"/>
        </w:trPr>
        <w:tc>
          <w:tcPr>
            <w:tcW w:w="28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6E36A" w14:textId="0D8BC720" w:rsidR="004130A1" w:rsidRPr="00FF45D0" w:rsidRDefault="004130A1" w:rsidP="00A5252C">
            <w:pPr>
              <w:rPr>
                <w:rFonts w:ascii="Arial" w:hAnsi="Arial" w:cs="Arial"/>
                <w:color w:val="000000"/>
                <w:sz w:val="20"/>
                <w:lang w:val="es-ES"/>
              </w:rPr>
            </w:pPr>
            <w:r w:rsidRPr="00FF45D0">
              <w:rPr>
                <w:rFonts w:ascii="Arial" w:hAnsi="Arial" w:cs="Arial"/>
                <w:color w:val="000000"/>
                <w:sz w:val="20"/>
                <w:lang w:val="es-ES"/>
              </w:rPr>
              <w:t>Evaluación cualitativa</w:t>
            </w:r>
          </w:p>
        </w:tc>
        <w:tc>
          <w:tcPr>
            <w:tcW w:w="811" w:type="dxa"/>
            <w:tcBorders>
              <w:top w:val="single" w:sz="8" w:space="0" w:color="000000"/>
              <w:left w:val="single" w:sz="8" w:space="0" w:color="000000"/>
              <w:bottom w:val="single" w:sz="8" w:space="0" w:color="000000"/>
              <w:right w:val="single" w:sz="8" w:space="0" w:color="000000"/>
            </w:tcBorders>
          </w:tcPr>
          <w:p w14:paraId="238F4CF9" w14:textId="77777777" w:rsidR="004130A1" w:rsidRPr="00FF45D0" w:rsidRDefault="004130A1" w:rsidP="00633121">
            <w:pPr>
              <w:jc w:val="center"/>
              <w:rPr>
                <w:rFonts w:ascii="Arial" w:hAnsi="Arial" w:cs="Arial"/>
                <w:color w:val="000000"/>
                <w:sz w:val="20"/>
                <w:lang w:val="es-ES"/>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4B88C2D9" w14:textId="17088C6C" w:rsidR="004130A1" w:rsidRPr="00FF45D0" w:rsidRDefault="004130A1" w:rsidP="00633121">
            <w:pPr>
              <w:ind w:left="-648" w:right="256"/>
              <w:jc w:val="right"/>
              <w:rPr>
                <w:rFonts w:ascii="Arial" w:hAnsi="Arial" w:cs="Arial"/>
                <w:color w:val="000000"/>
                <w:sz w:val="20"/>
                <w:lang w:val="es-ES"/>
              </w:rPr>
            </w:pPr>
            <w:r w:rsidRPr="00FF45D0">
              <w:rPr>
                <w:rFonts w:ascii="Arial" w:hAnsi="Arial" w:cs="Arial"/>
                <w:color w:val="000000"/>
                <w:sz w:val="20"/>
                <w:lang w:val="es-ES"/>
              </w:rPr>
              <w:t>X</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A7E93B" w14:textId="765F3AC7" w:rsidR="004130A1" w:rsidRPr="00FF45D0" w:rsidRDefault="004130A1" w:rsidP="00633121">
            <w:pPr>
              <w:jc w:val="center"/>
              <w:rPr>
                <w:rFonts w:ascii="Arial" w:hAnsi="Arial" w:cs="Arial"/>
                <w:color w:val="000000"/>
                <w:sz w:val="20"/>
                <w:lang w:val="es-ES"/>
              </w:rPr>
            </w:pPr>
            <w:r w:rsidRPr="00FF45D0">
              <w:rPr>
                <w:rFonts w:ascii="Arial" w:hAnsi="Arial" w:cs="Arial"/>
                <w:color w:val="000000"/>
                <w:sz w:val="20"/>
                <w:lang w:val="es-ES"/>
              </w:rPr>
              <w:t>BID/OE</w:t>
            </w:r>
          </w:p>
        </w:tc>
        <w:tc>
          <w:tcPr>
            <w:tcW w:w="900" w:type="dxa"/>
            <w:tcBorders>
              <w:top w:val="single" w:sz="8" w:space="0" w:color="000000"/>
              <w:left w:val="nil"/>
              <w:bottom w:val="single" w:sz="8" w:space="0" w:color="000000"/>
              <w:right w:val="single" w:sz="8" w:space="0" w:color="000000"/>
            </w:tcBorders>
            <w:shd w:val="clear" w:color="auto" w:fill="auto"/>
            <w:vAlign w:val="center"/>
          </w:tcPr>
          <w:p w14:paraId="3CAB5393" w14:textId="6C5F3361" w:rsidR="004130A1" w:rsidRPr="00FF45D0" w:rsidRDefault="00FA0B14" w:rsidP="00633121">
            <w:pPr>
              <w:ind w:left="-291" w:right="73"/>
              <w:jc w:val="right"/>
              <w:rPr>
                <w:rFonts w:ascii="Arial" w:hAnsi="Arial" w:cs="Arial"/>
                <w:color w:val="000000"/>
                <w:sz w:val="20"/>
                <w:lang w:val="en-US"/>
              </w:rPr>
            </w:pPr>
            <w:r>
              <w:rPr>
                <w:rFonts w:ascii="Arial" w:hAnsi="Arial" w:cs="Arial"/>
                <w:color w:val="000000"/>
                <w:sz w:val="20"/>
                <w:lang w:val="en-US"/>
              </w:rPr>
              <w:t>10</w:t>
            </w:r>
            <w:r w:rsidR="004130A1" w:rsidRPr="00FF45D0">
              <w:rPr>
                <w:rFonts w:ascii="Arial" w:hAnsi="Arial" w:cs="Arial"/>
                <w:color w:val="000000"/>
                <w:sz w:val="20"/>
                <w:lang w:val="en-US"/>
              </w:rPr>
              <w:t>.</w:t>
            </w:r>
            <w:r>
              <w:rPr>
                <w:rFonts w:ascii="Arial" w:hAnsi="Arial" w:cs="Arial"/>
                <w:color w:val="000000"/>
                <w:sz w:val="20"/>
                <w:lang w:val="en-US"/>
              </w:rPr>
              <w:t>0</w:t>
            </w:r>
            <w:r w:rsidR="004130A1" w:rsidRPr="00FF45D0">
              <w:rPr>
                <w:rFonts w:ascii="Arial" w:hAnsi="Arial" w:cs="Arial"/>
                <w:color w:val="000000"/>
                <w:sz w:val="20"/>
                <w:lang w:val="en-US"/>
              </w:rPr>
              <w:t>00</w:t>
            </w:r>
          </w:p>
        </w:tc>
        <w:tc>
          <w:tcPr>
            <w:tcW w:w="1710" w:type="dxa"/>
            <w:tcBorders>
              <w:top w:val="single" w:sz="8" w:space="0" w:color="000000"/>
              <w:left w:val="nil"/>
              <w:bottom w:val="single" w:sz="8" w:space="0" w:color="000000"/>
              <w:right w:val="single" w:sz="8" w:space="0" w:color="000000"/>
            </w:tcBorders>
            <w:shd w:val="clear" w:color="auto" w:fill="auto"/>
            <w:vAlign w:val="center"/>
          </w:tcPr>
          <w:p w14:paraId="13B211C3" w14:textId="77777777" w:rsidR="004130A1" w:rsidRPr="00FF45D0" w:rsidRDefault="004130A1" w:rsidP="00633121">
            <w:pPr>
              <w:jc w:val="center"/>
              <w:rPr>
                <w:rFonts w:ascii="Arial" w:hAnsi="Arial" w:cs="Arial"/>
                <w:color w:val="000000"/>
                <w:sz w:val="20"/>
                <w:lang w:val="en-US"/>
              </w:rPr>
            </w:pPr>
          </w:p>
        </w:tc>
      </w:tr>
      <w:tr w:rsidR="004130A1" w:rsidRPr="00544627" w14:paraId="512ECCBB" w14:textId="77777777" w:rsidTr="004130A1">
        <w:trPr>
          <w:trHeight w:val="525"/>
        </w:trPr>
        <w:tc>
          <w:tcPr>
            <w:tcW w:w="28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CDC749" w14:textId="6D0A0624" w:rsidR="004130A1" w:rsidRPr="00FF45D0" w:rsidRDefault="004130A1" w:rsidP="00A5252C">
            <w:pPr>
              <w:rPr>
                <w:rFonts w:ascii="Arial" w:hAnsi="Arial" w:cs="Arial"/>
                <w:color w:val="000000"/>
                <w:sz w:val="20"/>
                <w:lang w:val="es-ES"/>
              </w:rPr>
            </w:pPr>
            <w:r w:rsidRPr="00FF45D0">
              <w:rPr>
                <w:rFonts w:ascii="Arial" w:hAnsi="Arial" w:cs="Arial"/>
                <w:color w:val="000000"/>
                <w:sz w:val="20"/>
                <w:lang w:val="es-ES"/>
              </w:rPr>
              <w:t>Informe de Terminación de Proyecto</w:t>
            </w:r>
          </w:p>
        </w:tc>
        <w:tc>
          <w:tcPr>
            <w:tcW w:w="811" w:type="dxa"/>
            <w:tcBorders>
              <w:top w:val="single" w:sz="8" w:space="0" w:color="000000"/>
              <w:left w:val="single" w:sz="8" w:space="0" w:color="000000"/>
              <w:bottom w:val="single" w:sz="8" w:space="0" w:color="000000"/>
              <w:right w:val="single" w:sz="8" w:space="0" w:color="000000"/>
            </w:tcBorders>
          </w:tcPr>
          <w:p w14:paraId="6D631847" w14:textId="77777777" w:rsidR="004130A1" w:rsidRPr="00FF45D0" w:rsidRDefault="004130A1" w:rsidP="00633121">
            <w:pPr>
              <w:jc w:val="center"/>
              <w:rPr>
                <w:rFonts w:ascii="Arial" w:hAnsi="Arial" w:cs="Arial"/>
                <w:color w:val="000000"/>
                <w:sz w:val="20"/>
                <w:lang w:val="es-ES"/>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0DA7570E" w14:textId="1B436FC0" w:rsidR="004130A1" w:rsidRPr="00FF45D0" w:rsidRDefault="004130A1" w:rsidP="00633121">
            <w:pPr>
              <w:ind w:left="-648" w:right="256"/>
              <w:jc w:val="right"/>
              <w:rPr>
                <w:rFonts w:ascii="Arial" w:hAnsi="Arial" w:cs="Arial"/>
                <w:color w:val="000000"/>
                <w:sz w:val="20"/>
                <w:lang w:val="es-ES"/>
              </w:rPr>
            </w:pPr>
            <w:r w:rsidRPr="00FF45D0">
              <w:rPr>
                <w:rFonts w:ascii="Arial" w:hAnsi="Arial" w:cs="Arial"/>
                <w:color w:val="000000"/>
                <w:sz w:val="20"/>
                <w:lang w:val="es-ES"/>
              </w:rPr>
              <w:t>X</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C35FEB" w14:textId="364D851D" w:rsidR="004130A1" w:rsidRPr="00FF45D0" w:rsidRDefault="004130A1" w:rsidP="00633121">
            <w:pPr>
              <w:jc w:val="center"/>
              <w:rPr>
                <w:rFonts w:ascii="Arial" w:hAnsi="Arial" w:cs="Arial"/>
                <w:color w:val="000000"/>
                <w:sz w:val="20"/>
                <w:lang w:val="es-ES"/>
              </w:rPr>
            </w:pPr>
            <w:r w:rsidRPr="00FF45D0">
              <w:rPr>
                <w:rFonts w:ascii="Arial" w:hAnsi="Arial" w:cs="Arial"/>
                <w:color w:val="000000"/>
                <w:sz w:val="20"/>
                <w:lang w:val="es-ES"/>
              </w:rPr>
              <w:t>BID</w:t>
            </w:r>
          </w:p>
        </w:tc>
        <w:tc>
          <w:tcPr>
            <w:tcW w:w="900" w:type="dxa"/>
            <w:tcBorders>
              <w:top w:val="single" w:sz="8" w:space="0" w:color="000000"/>
              <w:left w:val="nil"/>
              <w:bottom w:val="single" w:sz="8" w:space="0" w:color="000000"/>
              <w:right w:val="single" w:sz="8" w:space="0" w:color="000000"/>
            </w:tcBorders>
            <w:shd w:val="clear" w:color="auto" w:fill="auto"/>
            <w:vAlign w:val="center"/>
          </w:tcPr>
          <w:p w14:paraId="4D439E2D" w14:textId="7EFD5557" w:rsidR="004130A1" w:rsidRPr="00FF45D0" w:rsidRDefault="004130A1" w:rsidP="00633121">
            <w:pPr>
              <w:ind w:left="-291" w:right="73"/>
              <w:jc w:val="right"/>
              <w:rPr>
                <w:rFonts w:ascii="Arial" w:hAnsi="Arial" w:cs="Arial"/>
                <w:color w:val="000000"/>
                <w:sz w:val="20"/>
                <w:lang w:val="es-BO"/>
              </w:rPr>
            </w:pPr>
            <w:r w:rsidRPr="00FF45D0">
              <w:rPr>
                <w:rFonts w:ascii="Arial" w:hAnsi="Arial" w:cs="Arial"/>
                <w:color w:val="000000"/>
                <w:sz w:val="20"/>
                <w:lang w:val="es-BO"/>
              </w:rPr>
              <w:t>5.000</w:t>
            </w:r>
          </w:p>
        </w:tc>
        <w:tc>
          <w:tcPr>
            <w:tcW w:w="1710" w:type="dxa"/>
            <w:tcBorders>
              <w:top w:val="single" w:sz="8" w:space="0" w:color="000000"/>
              <w:left w:val="nil"/>
              <w:bottom w:val="single" w:sz="8" w:space="0" w:color="000000"/>
              <w:right w:val="single" w:sz="8" w:space="0" w:color="000000"/>
            </w:tcBorders>
            <w:shd w:val="clear" w:color="auto" w:fill="auto"/>
            <w:vAlign w:val="center"/>
          </w:tcPr>
          <w:p w14:paraId="3617FC17" w14:textId="77777777" w:rsidR="004130A1" w:rsidRPr="00FF45D0" w:rsidRDefault="004130A1" w:rsidP="00633121">
            <w:pPr>
              <w:jc w:val="center"/>
              <w:rPr>
                <w:rFonts w:ascii="Arial" w:hAnsi="Arial" w:cs="Arial"/>
                <w:color w:val="000000"/>
                <w:sz w:val="20"/>
                <w:lang w:val="es-BO"/>
              </w:rPr>
            </w:pPr>
          </w:p>
        </w:tc>
      </w:tr>
      <w:tr w:rsidR="009D3F3B" w14:paraId="3A7BA1D3" w14:textId="77777777" w:rsidTr="004130A1">
        <w:trPr>
          <w:trHeight w:val="525"/>
        </w:trPr>
        <w:tc>
          <w:tcPr>
            <w:tcW w:w="28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3BD8F4" w14:textId="0EA63D9D" w:rsidR="009D3F3B" w:rsidRPr="001A53E3" w:rsidRDefault="009D3F3B" w:rsidP="009D3F3B">
            <w:pPr>
              <w:jc w:val="both"/>
              <w:rPr>
                <w:rFonts w:ascii="Arial" w:hAnsi="Arial" w:cs="Arial"/>
                <w:b/>
                <w:color w:val="000000"/>
                <w:sz w:val="20"/>
                <w:lang w:val="es-ES"/>
              </w:rPr>
            </w:pPr>
            <w:r w:rsidRPr="001A53E3">
              <w:rPr>
                <w:rFonts w:ascii="Arial" w:hAnsi="Arial" w:cs="Arial"/>
                <w:b/>
                <w:color w:val="000000"/>
                <w:sz w:val="20"/>
                <w:lang w:val="es-ES"/>
              </w:rPr>
              <w:t>Total</w:t>
            </w:r>
          </w:p>
        </w:tc>
        <w:tc>
          <w:tcPr>
            <w:tcW w:w="811" w:type="dxa"/>
            <w:tcBorders>
              <w:top w:val="single" w:sz="8" w:space="0" w:color="000000"/>
              <w:left w:val="single" w:sz="8" w:space="0" w:color="000000"/>
              <w:bottom w:val="single" w:sz="8" w:space="0" w:color="000000"/>
              <w:right w:val="single" w:sz="8" w:space="0" w:color="000000"/>
            </w:tcBorders>
          </w:tcPr>
          <w:p w14:paraId="15FF045A" w14:textId="77777777" w:rsidR="009D3F3B" w:rsidRPr="001A53E3" w:rsidRDefault="009D3F3B" w:rsidP="00633121">
            <w:pPr>
              <w:rPr>
                <w:rFonts w:ascii="Arial" w:hAnsi="Arial" w:cs="Arial"/>
                <w:b/>
                <w:color w:val="000000"/>
                <w:sz w:val="20"/>
                <w:lang w:val="es-ES"/>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7356AB5D" w14:textId="77777777" w:rsidR="009D3F3B" w:rsidRPr="001A53E3" w:rsidRDefault="009D3F3B" w:rsidP="00633121">
            <w:pPr>
              <w:rPr>
                <w:rFonts w:ascii="Arial" w:hAnsi="Arial" w:cs="Arial"/>
                <w:b/>
                <w:color w:val="000000"/>
                <w:sz w:val="20"/>
                <w:lang w:val="es-ES"/>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F8F13D" w14:textId="77777777" w:rsidR="009D3F3B" w:rsidRPr="001A53E3" w:rsidRDefault="009D3F3B" w:rsidP="00633121">
            <w:pPr>
              <w:jc w:val="center"/>
              <w:rPr>
                <w:rFonts w:ascii="Arial" w:hAnsi="Arial" w:cs="Arial"/>
                <w:b/>
                <w:color w:val="000000"/>
                <w:sz w:val="20"/>
                <w:lang w:val="es-ES"/>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BA514" w14:textId="14FB79EC" w:rsidR="009D3F3B" w:rsidRPr="001A53E3" w:rsidRDefault="00FA0B14" w:rsidP="00633121">
            <w:pPr>
              <w:ind w:left="-291" w:right="73"/>
              <w:jc w:val="right"/>
              <w:rPr>
                <w:rFonts w:ascii="Arial" w:hAnsi="Arial" w:cs="Arial"/>
                <w:b/>
                <w:color w:val="000000"/>
                <w:sz w:val="20"/>
                <w:lang w:val="en-US"/>
              </w:rPr>
            </w:pPr>
            <w:r>
              <w:rPr>
                <w:rFonts w:ascii="Arial" w:hAnsi="Arial" w:cs="Arial"/>
                <w:b/>
                <w:color w:val="000000"/>
                <w:sz w:val="20"/>
                <w:lang w:val="en-US"/>
              </w:rPr>
              <w:t>15</w:t>
            </w:r>
            <w:r w:rsidR="009D3F3B" w:rsidRPr="001A53E3">
              <w:rPr>
                <w:rFonts w:ascii="Arial" w:hAnsi="Arial" w:cs="Arial"/>
                <w:b/>
                <w:color w:val="000000"/>
                <w:sz w:val="20"/>
                <w:lang w:val="en-US"/>
              </w:rPr>
              <w:t>.000</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08A3AA" w14:textId="77777777" w:rsidR="009D3F3B" w:rsidRPr="001A53E3" w:rsidRDefault="009D3F3B" w:rsidP="00633121">
            <w:pPr>
              <w:jc w:val="center"/>
              <w:rPr>
                <w:rFonts w:ascii="Arial" w:hAnsi="Arial" w:cs="Arial"/>
                <w:color w:val="000000"/>
                <w:sz w:val="20"/>
                <w:lang w:val="en-US"/>
              </w:rPr>
            </w:pPr>
            <w:r w:rsidRPr="001A53E3">
              <w:rPr>
                <w:rFonts w:ascii="Arial" w:hAnsi="Arial" w:cs="Arial"/>
                <w:color w:val="000000"/>
                <w:sz w:val="20"/>
                <w:lang w:val="en-US"/>
              </w:rPr>
              <w:t>BID</w:t>
            </w:r>
          </w:p>
        </w:tc>
      </w:tr>
    </w:tbl>
    <w:p w14:paraId="689EABF1" w14:textId="77777777" w:rsidR="00D50752" w:rsidRDefault="00D50752">
      <w:pPr>
        <w:spacing w:after="200" w:line="276" w:lineRule="auto"/>
        <w:rPr>
          <w:rFonts w:ascii="Arial" w:hAnsi="Arial" w:cs="Arial"/>
          <w:b/>
          <w:sz w:val="22"/>
          <w:szCs w:val="22"/>
          <w:lang w:val="es-ES"/>
        </w:rPr>
      </w:pPr>
    </w:p>
    <w:p w14:paraId="7AE9366A" w14:textId="2A37327D" w:rsidR="00582D9F" w:rsidRPr="00D50752" w:rsidRDefault="00582D9F">
      <w:pPr>
        <w:spacing w:after="200" w:line="276" w:lineRule="auto"/>
        <w:rPr>
          <w:rFonts w:ascii="Arial" w:hAnsi="Arial" w:cs="Arial"/>
          <w:b/>
          <w:sz w:val="22"/>
          <w:szCs w:val="22"/>
          <w:lang w:val="es-ES"/>
        </w:rPr>
      </w:pPr>
      <w:r w:rsidRPr="00D50752">
        <w:rPr>
          <w:rFonts w:ascii="Arial" w:hAnsi="Arial" w:cs="Arial"/>
          <w:b/>
          <w:sz w:val="22"/>
          <w:szCs w:val="22"/>
          <w:lang w:val="es-ES"/>
        </w:rPr>
        <w:t>Referencias</w:t>
      </w:r>
    </w:p>
    <w:p w14:paraId="6B6ECD5B" w14:textId="005F9E56" w:rsidR="00556AC1" w:rsidRPr="00D50752" w:rsidRDefault="00556AC1" w:rsidP="00BC16C3">
      <w:pPr>
        <w:spacing w:after="100" w:line="276" w:lineRule="auto"/>
        <w:rPr>
          <w:rFonts w:ascii="Arial" w:hAnsi="Arial" w:cs="Arial"/>
          <w:b/>
          <w:sz w:val="22"/>
          <w:szCs w:val="22"/>
          <w:lang w:val="en-US"/>
        </w:rPr>
      </w:pPr>
      <w:r w:rsidRPr="00D50752">
        <w:rPr>
          <w:rFonts w:ascii="Arial" w:hAnsi="Arial" w:cs="Arial"/>
          <w:sz w:val="22"/>
          <w:szCs w:val="22"/>
          <w:lang w:val="en-US"/>
        </w:rPr>
        <w:t xml:space="preserve">Aghion, P, y P. Howitt. 1998. </w:t>
      </w:r>
      <w:r w:rsidRPr="00D50752">
        <w:rPr>
          <w:rFonts w:ascii="Arial" w:hAnsi="Arial" w:cs="Arial"/>
          <w:i/>
          <w:iCs/>
          <w:sz w:val="22"/>
          <w:szCs w:val="22"/>
          <w:lang w:val="en-US"/>
        </w:rPr>
        <w:t>Endogenous Growth Theory</w:t>
      </w:r>
      <w:r w:rsidRPr="00D50752">
        <w:rPr>
          <w:rFonts w:ascii="Arial" w:hAnsi="Arial" w:cs="Arial"/>
          <w:sz w:val="22"/>
          <w:szCs w:val="22"/>
          <w:lang w:val="en-US"/>
        </w:rPr>
        <w:t>. Cambridge, MA: MIT Press.</w:t>
      </w:r>
    </w:p>
    <w:p w14:paraId="40DFC32E" w14:textId="77777777" w:rsidR="00BA5F01" w:rsidRPr="00D50752" w:rsidRDefault="00BA5F0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Ahmed, F. &amp; </w:t>
      </w:r>
      <w:proofErr w:type="spellStart"/>
      <w:r w:rsidRPr="00D50752">
        <w:rPr>
          <w:rFonts w:ascii="Arial" w:hAnsi="Arial" w:cs="Arial"/>
          <w:sz w:val="22"/>
          <w:szCs w:val="22"/>
        </w:rPr>
        <w:t>Zviedrite</w:t>
      </w:r>
      <w:proofErr w:type="spellEnd"/>
      <w:r w:rsidRPr="00D50752">
        <w:rPr>
          <w:rFonts w:ascii="Arial" w:hAnsi="Arial" w:cs="Arial"/>
          <w:sz w:val="22"/>
          <w:szCs w:val="22"/>
        </w:rPr>
        <w:t xml:space="preserve">, N., and </w:t>
      </w:r>
      <w:proofErr w:type="spellStart"/>
      <w:r w:rsidRPr="00D50752">
        <w:rPr>
          <w:rFonts w:ascii="Arial" w:hAnsi="Arial" w:cs="Arial"/>
          <w:sz w:val="22"/>
          <w:szCs w:val="22"/>
        </w:rPr>
        <w:t>Uzicanin</w:t>
      </w:r>
      <w:proofErr w:type="spellEnd"/>
      <w:r w:rsidRPr="00D50752">
        <w:rPr>
          <w:rFonts w:ascii="Arial" w:hAnsi="Arial" w:cs="Arial"/>
          <w:sz w:val="22"/>
          <w:szCs w:val="22"/>
        </w:rPr>
        <w:t>, A. 2018. Effectiveness of workplace social distancing measures in reducing influenza transmission: A systematic review. BMC Public Health. 18. 518. 10.1186/s12889-018-5446-1.</w:t>
      </w:r>
    </w:p>
    <w:p w14:paraId="5400E1B5" w14:textId="0A56B327" w:rsidR="00BA5F01" w:rsidRPr="00D50752" w:rsidRDefault="00BA5F0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Bailey, D., and Kurland, N. 2002. A review of the telework research: findings, new directions and lessons for the study of modern work. Journal of Organizational Behavior 23:283 – 400.</w:t>
      </w:r>
    </w:p>
    <w:p w14:paraId="7E77853E" w14:textId="05EAE5F8" w:rsidR="00582D9F" w:rsidRPr="00D50752" w:rsidRDefault="00582D9F"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Biglan</w:t>
      </w:r>
      <w:proofErr w:type="spellEnd"/>
      <w:r w:rsidRPr="00D50752">
        <w:rPr>
          <w:rFonts w:ascii="Arial" w:hAnsi="Arial" w:cs="Arial"/>
          <w:sz w:val="22"/>
          <w:szCs w:val="22"/>
        </w:rPr>
        <w:t xml:space="preserve"> A, </w:t>
      </w:r>
      <w:proofErr w:type="spellStart"/>
      <w:r w:rsidRPr="00D50752">
        <w:rPr>
          <w:rFonts w:ascii="Arial" w:hAnsi="Arial" w:cs="Arial"/>
          <w:sz w:val="22"/>
          <w:szCs w:val="22"/>
        </w:rPr>
        <w:t>Ary</w:t>
      </w:r>
      <w:proofErr w:type="spellEnd"/>
      <w:r w:rsidRPr="00D50752">
        <w:rPr>
          <w:rFonts w:ascii="Arial" w:hAnsi="Arial" w:cs="Arial"/>
          <w:sz w:val="22"/>
          <w:szCs w:val="22"/>
        </w:rPr>
        <w:t xml:space="preserve"> D, </w:t>
      </w:r>
      <w:proofErr w:type="spellStart"/>
      <w:r w:rsidRPr="00D50752">
        <w:rPr>
          <w:rFonts w:ascii="Arial" w:hAnsi="Arial" w:cs="Arial"/>
          <w:sz w:val="22"/>
          <w:szCs w:val="22"/>
        </w:rPr>
        <w:t>Wagenaar</w:t>
      </w:r>
      <w:proofErr w:type="spellEnd"/>
      <w:r w:rsidRPr="00D50752">
        <w:rPr>
          <w:rFonts w:ascii="Arial" w:hAnsi="Arial" w:cs="Arial"/>
          <w:sz w:val="22"/>
          <w:szCs w:val="22"/>
        </w:rPr>
        <w:t xml:space="preserve"> AC. 2000. The value of interrupted time series experiments for community intervention research. </w:t>
      </w:r>
      <w:proofErr w:type="spellStart"/>
      <w:r w:rsidRPr="00D50752">
        <w:rPr>
          <w:rFonts w:ascii="Arial" w:hAnsi="Arial" w:cs="Arial"/>
          <w:sz w:val="22"/>
          <w:szCs w:val="22"/>
        </w:rPr>
        <w:t>Prev</w:t>
      </w:r>
      <w:proofErr w:type="spellEnd"/>
      <w:r w:rsidRPr="00D50752">
        <w:rPr>
          <w:rFonts w:ascii="Arial" w:hAnsi="Arial" w:cs="Arial"/>
          <w:sz w:val="22"/>
          <w:szCs w:val="22"/>
        </w:rPr>
        <w:t xml:space="preserve"> Sci 1:31-49.</w:t>
      </w:r>
    </w:p>
    <w:p w14:paraId="1F850595" w14:textId="2BE0347F" w:rsidR="00BD1401" w:rsidRPr="00D50752" w:rsidRDefault="00BD140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Bloom, N., Liang J., Roberts, J., and Ying Z.J., 2015. "</w:t>
      </w:r>
      <w:hyperlink r:id="rId18" w:history="1">
        <w:r w:rsidRPr="00D50752">
          <w:rPr>
            <w:rFonts w:ascii="Arial" w:hAnsi="Arial" w:cs="Arial"/>
            <w:sz w:val="22"/>
            <w:szCs w:val="22"/>
          </w:rPr>
          <w:t>Does Working from Home Work? Evidence from a Chinese Experiment,</w:t>
        </w:r>
      </w:hyperlink>
      <w:r w:rsidRPr="00D50752">
        <w:rPr>
          <w:rFonts w:ascii="Arial" w:hAnsi="Arial" w:cs="Arial"/>
          <w:sz w:val="22"/>
          <w:szCs w:val="22"/>
        </w:rPr>
        <w:t>" The Quarterly Journal of Economics, Oxford University Press, vol. 130(1), pages 165-218.</w:t>
      </w:r>
    </w:p>
    <w:p w14:paraId="20657AA0" w14:textId="77777777" w:rsidR="006465E8" w:rsidRPr="00D50752" w:rsidRDefault="006465E8"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lang w:val="pt-BR"/>
        </w:rPr>
        <w:t xml:space="preserve">López, J., Cummins, S., </w:t>
      </w:r>
      <w:proofErr w:type="spellStart"/>
      <w:r w:rsidRPr="00D50752">
        <w:rPr>
          <w:rFonts w:ascii="Arial" w:hAnsi="Arial" w:cs="Arial"/>
          <w:sz w:val="22"/>
          <w:szCs w:val="22"/>
          <w:lang w:val="pt-BR"/>
        </w:rPr>
        <w:t>Gasparrini</w:t>
      </w:r>
      <w:proofErr w:type="spellEnd"/>
      <w:r w:rsidRPr="00D50752">
        <w:rPr>
          <w:rFonts w:ascii="Arial" w:hAnsi="Arial" w:cs="Arial"/>
          <w:sz w:val="22"/>
          <w:szCs w:val="22"/>
          <w:lang w:val="pt-BR"/>
        </w:rPr>
        <w:t xml:space="preserve">, A. 2017. </w:t>
      </w:r>
      <w:r w:rsidRPr="00D50752">
        <w:rPr>
          <w:rFonts w:ascii="Arial" w:hAnsi="Arial" w:cs="Arial"/>
          <w:sz w:val="22"/>
          <w:szCs w:val="22"/>
        </w:rPr>
        <w:t>Interrupted time series regression for the evaluation of public health interventions: a tutorial. International Journal of Epidemiology, 348–355.</w:t>
      </w:r>
    </w:p>
    <w:p w14:paraId="7DDEB767" w14:textId="77777777" w:rsidR="001D238B" w:rsidRPr="00D50752" w:rsidRDefault="001D238B"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Soumerai</w:t>
      </w:r>
      <w:proofErr w:type="spellEnd"/>
      <w:r w:rsidRPr="00D50752">
        <w:rPr>
          <w:rFonts w:ascii="Arial" w:hAnsi="Arial" w:cs="Arial"/>
          <w:sz w:val="22"/>
          <w:szCs w:val="22"/>
        </w:rPr>
        <w:t xml:space="preserve"> SB. 2015. How do you know which health care effectiveness research you can trust? A guide to study design for the perplexed. </w:t>
      </w:r>
      <w:proofErr w:type="spellStart"/>
      <w:r w:rsidRPr="00D50752">
        <w:rPr>
          <w:rFonts w:ascii="Arial" w:hAnsi="Arial" w:cs="Arial"/>
          <w:sz w:val="22"/>
          <w:szCs w:val="22"/>
        </w:rPr>
        <w:t>Prev</w:t>
      </w:r>
      <w:proofErr w:type="spellEnd"/>
      <w:r w:rsidRPr="00D50752">
        <w:rPr>
          <w:rFonts w:ascii="Arial" w:hAnsi="Arial" w:cs="Arial"/>
          <w:sz w:val="22"/>
          <w:szCs w:val="22"/>
        </w:rPr>
        <w:t xml:space="preserve"> Chronic Dis 12:E101.</w:t>
      </w:r>
    </w:p>
    <w:p w14:paraId="433F9A62" w14:textId="7D8BD731" w:rsidR="00035BE1" w:rsidRPr="00D50752" w:rsidRDefault="00035BE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lastRenderedPageBreak/>
        <w:t xml:space="preserve">Wagner AK, </w:t>
      </w:r>
      <w:proofErr w:type="spellStart"/>
      <w:r w:rsidRPr="00D50752">
        <w:rPr>
          <w:rFonts w:ascii="Arial" w:hAnsi="Arial" w:cs="Arial"/>
          <w:sz w:val="22"/>
          <w:szCs w:val="22"/>
        </w:rPr>
        <w:t>Soumerai</w:t>
      </w:r>
      <w:proofErr w:type="spellEnd"/>
      <w:r w:rsidRPr="00D50752">
        <w:rPr>
          <w:rFonts w:ascii="Arial" w:hAnsi="Arial" w:cs="Arial"/>
          <w:sz w:val="22"/>
          <w:szCs w:val="22"/>
        </w:rPr>
        <w:t xml:space="preserve"> SB, Zhang F, Ross-Degnan D.  2002. Segmented regression analysis of interrupted time series studies in medication use research. J Clin Pharm </w:t>
      </w:r>
      <w:proofErr w:type="spellStart"/>
      <w:r w:rsidRPr="00D50752">
        <w:rPr>
          <w:rFonts w:ascii="Arial" w:hAnsi="Arial" w:cs="Arial"/>
          <w:sz w:val="22"/>
          <w:szCs w:val="22"/>
        </w:rPr>
        <w:t>Ther</w:t>
      </w:r>
      <w:proofErr w:type="spellEnd"/>
      <w:r w:rsidRPr="00D50752">
        <w:rPr>
          <w:rFonts w:ascii="Arial" w:hAnsi="Arial" w:cs="Arial"/>
          <w:sz w:val="22"/>
          <w:szCs w:val="22"/>
        </w:rPr>
        <w:t xml:space="preserve"> 27:299-309.</w:t>
      </w:r>
    </w:p>
    <w:p w14:paraId="30F37482" w14:textId="77777777" w:rsidR="00DE33B1" w:rsidRPr="00D50752" w:rsidRDefault="00DE33B1"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Bastagli</w:t>
      </w:r>
      <w:proofErr w:type="spellEnd"/>
      <w:r w:rsidRPr="00D50752">
        <w:rPr>
          <w:rFonts w:ascii="Arial" w:hAnsi="Arial" w:cs="Arial"/>
          <w:sz w:val="22"/>
          <w:szCs w:val="22"/>
        </w:rPr>
        <w:t>, F., Hagen-</w:t>
      </w:r>
      <w:proofErr w:type="spellStart"/>
      <w:r w:rsidRPr="00D50752">
        <w:rPr>
          <w:rFonts w:ascii="Arial" w:hAnsi="Arial" w:cs="Arial"/>
          <w:sz w:val="22"/>
          <w:szCs w:val="22"/>
        </w:rPr>
        <w:t>Zanker</w:t>
      </w:r>
      <w:proofErr w:type="spellEnd"/>
      <w:r w:rsidRPr="00D50752">
        <w:rPr>
          <w:rFonts w:ascii="Arial" w:hAnsi="Arial" w:cs="Arial"/>
          <w:sz w:val="22"/>
          <w:szCs w:val="22"/>
        </w:rPr>
        <w:t xml:space="preserve">, J., Harman, L., Barca, V., Sturge, G., &amp; Schmidt, T. (2016). Cash transfers: What does the evidence... (PDF Download Available). </w:t>
      </w:r>
      <w:r w:rsidRPr="00D50752">
        <w:rPr>
          <w:rFonts w:ascii="Arial" w:hAnsi="Arial" w:cs="Arial"/>
          <w:i/>
          <w:iCs/>
          <w:sz w:val="22"/>
          <w:szCs w:val="22"/>
        </w:rPr>
        <w:t xml:space="preserve">Cash Transfers: What Does the Evidence </w:t>
      </w:r>
      <w:proofErr w:type="gramStart"/>
      <w:r w:rsidRPr="00D50752">
        <w:rPr>
          <w:rFonts w:ascii="Arial" w:hAnsi="Arial" w:cs="Arial"/>
          <w:i/>
          <w:iCs/>
          <w:sz w:val="22"/>
          <w:szCs w:val="22"/>
        </w:rPr>
        <w:t>Say?</w:t>
      </w:r>
      <w:r w:rsidRPr="00D50752">
        <w:rPr>
          <w:rFonts w:ascii="Arial" w:hAnsi="Arial" w:cs="Arial"/>
          <w:sz w:val="22"/>
          <w:szCs w:val="22"/>
        </w:rPr>
        <w:t>,</w:t>
      </w:r>
      <w:proofErr w:type="gramEnd"/>
      <w:r w:rsidRPr="00D50752">
        <w:rPr>
          <w:rFonts w:ascii="Arial" w:hAnsi="Arial" w:cs="Arial"/>
          <w:sz w:val="22"/>
          <w:szCs w:val="22"/>
        </w:rPr>
        <w:t xml:space="preserve"> (July). https://doi.org/DOI: 10.13140/RG.2.2.29336.39687</w:t>
      </w:r>
    </w:p>
    <w:p w14:paraId="06C960A5" w14:textId="77777777" w:rsidR="00DE33B1" w:rsidRPr="00D50752" w:rsidRDefault="00DE33B1"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Betcherman</w:t>
      </w:r>
      <w:proofErr w:type="spellEnd"/>
      <w:r w:rsidRPr="00D50752">
        <w:rPr>
          <w:rFonts w:ascii="Arial" w:hAnsi="Arial" w:cs="Arial"/>
          <w:sz w:val="22"/>
          <w:szCs w:val="22"/>
        </w:rPr>
        <w:t xml:space="preserve">, G., </w:t>
      </w:r>
      <w:proofErr w:type="spellStart"/>
      <w:r w:rsidRPr="00D50752">
        <w:rPr>
          <w:rFonts w:ascii="Arial" w:hAnsi="Arial" w:cs="Arial"/>
          <w:sz w:val="22"/>
          <w:szCs w:val="22"/>
        </w:rPr>
        <w:t>Daysal</w:t>
      </w:r>
      <w:proofErr w:type="spellEnd"/>
      <w:r w:rsidRPr="00D50752">
        <w:rPr>
          <w:rFonts w:ascii="Arial" w:hAnsi="Arial" w:cs="Arial"/>
          <w:sz w:val="22"/>
          <w:szCs w:val="22"/>
        </w:rPr>
        <w:t xml:space="preserve">, N. M., &amp; </w:t>
      </w:r>
      <w:proofErr w:type="spellStart"/>
      <w:r w:rsidRPr="00D50752">
        <w:rPr>
          <w:rFonts w:ascii="Arial" w:hAnsi="Arial" w:cs="Arial"/>
          <w:sz w:val="22"/>
          <w:szCs w:val="22"/>
        </w:rPr>
        <w:t>Pagés</w:t>
      </w:r>
      <w:proofErr w:type="spellEnd"/>
      <w:r w:rsidRPr="00D50752">
        <w:rPr>
          <w:rFonts w:ascii="Arial" w:hAnsi="Arial" w:cs="Arial"/>
          <w:sz w:val="22"/>
          <w:szCs w:val="22"/>
        </w:rPr>
        <w:t xml:space="preserve">, C. (2010). Do employment subsidies work? Evidence from regionally targeted subsidies in Turkey. </w:t>
      </w:r>
      <w:proofErr w:type="spellStart"/>
      <w:r w:rsidRPr="00D50752">
        <w:rPr>
          <w:rFonts w:ascii="Arial" w:hAnsi="Arial" w:cs="Arial"/>
          <w:i/>
          <w:iCs/>
          <w:sz w:val="22"/>
          <w:szCs w:val="22"/>
        </w:rPr>
        <w:t>Labour</w:t>
      </w:r>
      <w:proofErr w:type="spellEnd"/>
      <w:r w:rsidRPr="00D50752">
        <w:rPr>
          <w:rFonts w:ascii="Arial" w:hAnsi="Arial" w:cs="Arial"/>
          <w:i/>
          <w:iCs/>
          <w:sz w:val="22"/>
          <w:szCs w:val="22"/>
        </w:rPr>
        <w:t xml:space="preserve"> Economics</w:t>
      </w:r>
      <w:r w:rsidRPr="00D50752">
        <w:rPr>
          <w:rFonts w:ascii="Arial" w:hAnsi="Arial" w:cs="Arial"/>
          <w:sz w:val="22"/>
          <w:szCs w:val="22"/>
        </w:rPr>
        <w:t xml:space="preserve">, </w:t>
      </w:r>
      <w:r w:rsidRPr="00D50752">
        <w:rPr>
          <w:rFonts w:ascii="Arial" w:hAnsi="Arial" w:cs="Arial"/>
          <w:i/>
          <w:iCs/>
          <w:sz w:val="22"/>
          <w:szCs w:val="22"/>
        </w:rPr>
        <w:t>17</w:t>
      </w:r>
      <w:r w:rsidRPr="00D50752">
        <w:rPr>
          <w:rFonts w:ascii="Arial" w:hAnsi="Arial" w:cs="Arial"/>
          <w:sz w:val="22"/>
          <w:szCs w:val="22"/>
        </w:rPr>
        <w:t>(4), 710–722. https://doi.org/10.1016/j.labeco.2009.12.002</w:t>
      </w:r>
    </w:p>
    <w:p w14:paraId="768D3D01" w14:textId="6DE0D124" w:rsidR="00DE33B1" w:rsidRPr="00D50752" w:rsidRDefault="00DE33B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Bruhn, M. (2020). Can Wage Subsidies Boost Employment in the Wake of an Economic Crisis? Evidence from Mexico. </w:t>
      </w:r>
      <w:r w:rsidRPr="00D50752">
        <w:rPr>
          <w:rFonts w:ascii="Arial" w:hAnsi="Arial" w:cs="Arial"/>
          <w:i/>
          <w:iCs/>
          <w:sz w:val="22"/>
          <w:szCs w:val="22"/>
        </w:rPr>
        <w:t>Journal of Development Studies</w:t>
      </w:r>
      <w:r w:rsidRPr="00D50752">
        <w:rPr>
          <w:rFonts w:ascii="Arial" w:hAnsi="Arial" w:cs="Arial"/>
          <w:sz w:val="22"/>
          <w:szCs w:val="22"/>
        </w:rPr>
        <w:t xml:space="preserve">, (March). </w:t>
      </w:r>
      <w:hyperlink r:id="rId19" w:history="1">
        <w:r w:rsidR="00556AC1" w:rsidRPr="00D50752">
          <w:rPr>
            <w:rStyle w:val="Hyperlink"/>
            <w:rFonts w:ascii="Arial" w:hAnsi="Arial" w:cs="Arial"/>
            <w:sz w:val="22"/>
            <w:szCs w:val="22"/>
          </w:rPr>
          <w:t>https://doi.org/10.1080/00220388.2020.1715941</w:t>
        </w:r>
      </w:hyperlink>
    </w:p>
    <w:p w14:paraId="64C450C8" w14:textId="12F2E977" w:rsidR="00556AC1" w:rsidRPr="00D50752" w:rsidRDefault="00556AC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lang w:val="es-CR"/>
        </w:rPr>
        <w:t xml:space="preserve">Fatas, A., y I. </w:t>
      </w:r>
      <w:proofErr w:type="spellStart"/>
      <w:r w:rsidRPr="00D50752">
        <w:rPr>
          <w:rFonts w:ascii="Arial" w:hAnsi="Arial" w:cs="Arial"/>
          <w:sz w:val="22"/>
          <w:szCs w:val="22"/>
          <w:lang w:val="es-CR"/>
        </w:rPr>
        <w:t>Mihov</w:t>
      </w:r>
      <w:proofErr w:type="spellEnd"/>
      <w:r w:rsidRPr="00D50752">
        <w:rPr>
          <w:rFonts w:ascii="Arial" w:hAnsi="Arial" w:cs="Arial"/>
          <w:sz w:val="22"/>
          <w:szCs w:val="22"/>
          <w:lang w:val="es-CR"/>
        </w:rPr>
        <w:t xml:space="preserve">. </w:t>
      </w:r>
      <w:r w:rsidRPr="00D50752">
        <w:rPr>
          <w:rFonts w:ascii="Arial" w:hAnsi="Arial" w:cs="Arial"/>
          <w:sz w:val="22"/>
          <w:szCs w:val="22"/>
        </w:rPr>
        <w:t xml:space="preserve">2001. </w:t>
      </w:r>
      <w:r w:rsidRPr="00D50752">
        <w:rPr>
          <w:rFonts w:ascii="Arial" w:hAnsi="Arial" w:cs="Arial"/>
          <w:i/>
          <w:iCs/>
          <w:sz w:val="22"/>
          <w:szCs w:val="22"/>
        </w:rPr>
        <w:t>Government Size and Automatic Stabilizers: International and Intranational Evidence</w:t>
      </w:r>
      <w:r w:rsidRPr="00D50752">
        <w:rPr>
          <w:rFonts w:ascii="Arial" w:hAnsi="Arial" w:cs="Arial"/>
          <w:sz w:val="22"/>
          <w:szCs w:val="22"/>
        </w:rPr>
        <w:t>. Journal of International Economics, Vol. 55, Issue 1 (2001), pp. 3–28.</w:t>
      </w:r>
    </w:p>
    <w:p w14:paraId="66C74F05" w14:textId="09DDC0E3" w:rsidR="00556AC1" w:rsidRPr="00D50752" w:rsidRDefault="00556AC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FMI. 2015a. </w:t>
      </w:r>
      <w:r w:rsidRPr="00D50752">
        <w:rPr>
          <w:rFonts w:ascii="Arial" w:hAnsi="Arial" w:cs="Arial"/>
          <w:i/>
          <w:iCs/>
          <w:sz w:val="22"/>
          <w:szCs w:val="22"/>
        </w:rPr>
        <w:t>Fiscal Monitor: Now is the time. Fiscal policies for sustainable growth</w:t>
      </w:r>
      <w:r w:rsidRPr="00D50752">
        <w:rPr>
          <w:rFonts w:ascii="Arial" w:hAnsi="Arial" w:cs="Arial"/>
          <w:sz w:val="22"/>
          <w:szCs w:val="22"/>
        </w:rPr>
        <w:t>. FMI.</w:t>
      </w:r>
    </w:p>
    <w:p w14:paraId="236A4FDE" w14:textId="3EBE8935" w:rsidR="00DE33B1" w:rsidRPr="00D50752" w:rsidRDefault="00DE33B1"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Fiszbein</w:t>
      </w:r>
      <w:proofErr w:type="spellEnd"/>
      <w:r w:rsidRPr="00D50752">
        <w:rPr>
          <w:rFonts w:ascii="Arial" w:hAnsi="Arial" w:cs="Arial"/>
          <w:sz w:val="22"/>
          <w:szCs w:val="22"/>
        </w:rPr>
        <w:t xml:space="preserve">, A., &amp; </w:t>
      </w:r>
      <w:proofErr w:type="spellStart"/>
      <w:r w:rsidRPr="00D50752">
        <w:rPr>
          <w:rFonts w:ascii="Arial" w:hAnsi="Arial" w:cs="Arial"/>
          <w:sz w:val="22"/>
          <w:szCs w:val="22"/>
        </w:rPr>
        <w:t>Schady</w:t>
      </w:r>
      <w:proofErr w:type="spellEnd"/>
      <w:r w:rsidRPr="00D50752">
        <w:rPr>
          <w:rFonts w:ascii="Arial" w:hAnsi="Arial" w:cs="Arial"/>
          <w:sz w:val="22"/>
          <w:szCs w:val="22"/>
        </w:rPr>
        <w:t xml:space="preserve">, N. (2009). </w:t>
      </w:r>
      <w:r w:rsidRPr="00D50752">
        <w:rPr>
          <w:rFonts w:ascii="Arial" w:hAnsi="Arial" w:cs="Arial"/>
          <w:i/>
          <w:iCs/>
          <w:sz w:val="22"/>
          <w:szCs w:val="22"/>
        </w:rPr>
        <w:t>Conditional Cash Transfers: Reducing Present and Future Poverty</w:t>
      </w:r>
      <w:r w:rsidRPr="00D50752">
        <w:rPr>
          <w:rFonts w:ascii="Arial" w:hAnsi="Arial" w:cs="Arial"/>
          <w:sz w:val="22"/>
          <w:szCs w:val="22"/>
        </w:rPr>
        <w:t>. Washington, DC.</w:t>
      </w:r>
    </w:p>
    <w:p w14:paraId="2EA28382" w14:textId="54416C5E" w:rsidR="00BD1401" w:rsidRPr="00D50752" w:rsidRDefault="00BD140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Fong MW, Gao H, Wong JY, Xiao J, </w:t>
      </w:r>
      <w:proofErr w:type="spellStart"/>
      <w:r w:rsidRPr="00D50752">
        <w:rPr>
          <w:rFonts w:ascii="Arial" w:hAnsi="Arial" w:cs="Arial"/>
          <w:sz w:val="22"/>
          <w:szCs w:val="22"/>
        </w:rPr>
        <w:t>Shiu</w:t>
      </w:r>
      <w:proofErr w:type="spellEnd"/>
      <w:r w:rsidRPr="00D50752">
        <w:rPr>
          <w:rFonts w:ascii="Arial" w:hAnsi="Arial" w:cs="Arial"/>
          <w:sz w:val="22"/>
          <w:szCs w:val="22"/>
        </w:rPr>
        <w:t xml:space="preserve"> EYC, Ryu S, et al. 2020. Nonpharmaceutical measures for pandemic influenza in nonhealthcare settings—social distancing measures. </w:t>
      </w:r>
      <w:proofErr w:type="spellStart"/>
      <w:r w:rsidRPr="00D50752">
        <w:rPr>
          <w:rFonts w:ascii="Arial" w:hAnsi="Arial" w:cs="Arial"/>
          <w:sz w:val="22"/>
          <w:szCs w:val="22"/>
        </w:rPr>
        <w:t>Emerg</w:t>
      </w:r>
      <w:proofErr w:type="spellEnd"/>
      <w:r w:rsidRPr="00D50752">
        <w:rPr>
          <w:rFonts w:ascii="Arial" w:hAnsi="Arial" w:cs="Arial"/>
          <w:sz w:val="22"/>
          <w:szCs w:val="22"/>
        </w:rPr>
        <w:t xml:space="preserve"> Infect Dis. 2020 May. </w:t>
      </w:r>
      <w:hyperlink r:id="rId20" w:history="1">
        <w:r w:rsidRPr="00D50752">
          <w:rPr>
            <w:rFonts w:ascii="Arial" w:hAnsi="Arial" w:cs="Arial"/>
            <w:sz w:val="22"/>
            <w:szCs w:val="22"/>
          </w:rPr>
          <w:t>https://doi.org/10.3201/eid2605.190995</w:t>
        </w:r>
      </w:hyperlink>
    </w:p>
    <w:p w14:paraId="6CE7422A" w14:textId="585E1263" w:rsidR="00BD1401" w:rsidRPr="00D50752" w:rsidRDefault="00BD140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Gajendran, R. and Harrison, D., 2007. “The Good, the Bad, and the Unknown About Telecommuting: Meta-Analysis of Psychological Mediators and Individual Consequences” Journal of Applied Psychology Vol. 92, No. 6, 1524-1541.</w:t>
      </w:r>
    </w:p>
    <w:p w14:paraId="4086BEE8" w14:textId="16234869" w:rsidR="00DE33B1" w:rsidRPr="00D50752" w:rsidRDefault="00DE33B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Groh, M., Krishnan, N., McKenzie, D., &amp; Vishwanath, T. (2016). Do wage subsidies provide a stepping-stone to employment for recent college graduates? Evidence from a randomized experiment in Jordan. </w:t>
      </w:r>
      <w:r w:rsidRPr="00D50752">
        <w:rPr>
          <w:rFonts w:ascii="Arial" w:hAnsi="Arial" w:cs="Arial"/>
          <w:i/>
          <w:iCs/>
          <w:sz w:val="22"/>
          <w:szCs w:val="22"/>
        </w:rPr>
        <w:t>Review of Economics and Statistics</w:t>
      </w:r>
      <w:r w:rsidRPr="00D50752">
        <w:rPr>
          <w:rFonts w:ascii="Arial" w:hAnsi="Arial" w:cs="Arial"/>
          <w:sz w:val="22"/>
          <w:szCs w:val="22"/>
        </w:rPr>
        <w:t>, 98(3), 488–502. https://doi.org/10.1162/REST_a_00584</w:t>
      </w:r>
    </w:p>
    <w:p w14:paraId="5B2AD4EF" w14:textId="034E057C" w:rsidR="00251306" w:rsidRPr="00D50752" w:rsidRDefault="00251306"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Hopman</w:t>
      </w:r>
      <w:proofErr w:type="spellEnd"/>
      <w:r w:rsidRPr="00D50752">
        <w:rPr>
          <w:rFonts w:ascii="Arial" w:hAnsi="Arial" w:cs="Arial"/>
          <w:sz w:val="22"/>
          <w:szCs w:val="22"/>
        </w:rPr>
        <w:t xml:space="preserve"> J, </w:t>
      </w:r>
      <w:proofErr w:type="spellStart"/>
      <w:r w:rsidRPr="00D50752">
        <w:rPr>
          <w:rFonts w:ascii="Arial" w:hAnsi="Arial" w:cs="Arial"/>
          <w:sz w:val="22"/>
          <w:szCs w:val="22"/>
        </w:rPr>
        <w:t>Allegranzi</w:t>
      </w:r>
      <w:proofErr w:type="spellEnd"/>
      <w:r w:rsidRPr="00D50752">
        <w:rPr>
          <w:rFonts w:ascii="Arial" w:hAnsi="Arial" w:cs="Arial"/>
          <w:sz w:val="22"/>
          <w:szCs w:val="22"/>
        </w:rPr>
        <w:t xml:space="preserve"> B, </w:t>
      </w:r>
      <w:proofErr w:type="spellStart"/>
      <w:r w:rsidRPr="00D50752">
        <w:rPr>
          <w:rFonts w:ascii="Arial" w:hAnsi="Arial" w:cs="Arial"/>
          <w:sz w:val="22"/>
          <w:szCs w:val="22"/>
        </w:rPr>
        <w:t>Mehtar</w:t>
      </w:r>
      <w:proofErr w:type="spellEnd"/>
      <w:r w:rsidRPr="00D50752">
        <w:rPr>
          <w:rFonts w:ascii="Arial" w:hAnsi="Arial" w:cs="Arial"/>
          <w:sz w:val="22"/>
          <w:szCs w:val="22"/>
        </w:rPr>
        <w:t xml:space="preserve"> S. Managing COVID-19 in Low- and Middle-Income Countries. JAMA. Published online March 16, 2020. doi:10.1001/jama.2020.4169</w:t>
      </w:r>
    </w:p>
    <w:p w14:paraId="63352968" w14:textId="69A74CE8" w:rsidR="00556AC1" w:rsidRPr="00D50752" w:rsidRDefault="00556AC1"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Lucas, R. 1988. </w:t>
      </w:r>
      <w:r w:rsidRPr="00D50752">
        <w:rPr>
          <w:rFonts w:ascii="Arial" w:hAnsi="Arial" w:cs="Arial"/>
          <w:i/>
          <w:iCs/>
          <w:sz w:val="22"/>
          <w:szCs w:val="22"/>
        </w:rPr>
        <w:t>On the Mechanics of Economic Development</w:t>
      </w:r>
      <w:r w:rsidRPr="00D50752">
        <w:rPr>
          <w:rFonts w:ascii="Arial" w:hAnsi="Arial" w:cs="Arial"/>
          <w:sz w:val="22"/>
          <w:szCs w:val="22"/>
        </w:rPr>
        <w:t>. Journal of Monetary Economics, Vol. 22, pp. 3-42.</w:t>
      </w:r>
    </w:p>
    <w:p w14:paraId="1537C0A6" w14:textId="77777777" w:rsidR="00251306" w:rsidRPr="00D50752" w:rsidRDefault="00251306"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lang w:val="fr-BE"/>
        </w:rPr>
        <w:t>Madhav</w:t>
      </w:r>
      <w:proofErr w:type="spellEnd"/>
      <w:r w:rsidRPr="00D50752">
        <w:rPr>
          <w:rFonts w:ascii="Arial" w:hAnsi="Arial" w:cs="Arial"/>
          <w:sz w:val="22"/>
          <w:szCs w:val="22"/>
          <w:lang w:val="fr-BE"/>
        </w:rPr>
        <w:t xml:space="preserve"> N, Oppenheim B, </w:t>
      </w:r>
      <w:proofErr w:type="spellStart"/>
      <w:r w:rsidRPr="00D50752">
        <w:rPr>
          <w:rFonts w:ascii="Arial" w:hAnsi="Arial" w:cs="Arial"/>
          <w:sz w:val="22"/>
          <w:szCs w:val="22"/>
          <w:lang w:val="fr-BE"/>
        </w:rPr>
        <w:t>Gallivan</w:t>
      </w:r>
      <w:proofErr w:type="spellEnd"/>
      <w:r w:rsidRPr="00D50752">
        <w:rPr>
          <w:rFonts w:ascii="Arial" w:hAnsi="Arial" w:cs="Arial"/>
          <w:sz w:val="22"/>
          <w:szCs w:val="22"/>
          <w:lang w:val="fr-BE"/>
        </w:rPr>
        <w:t xml:space="preserve"> M, et al. </w:t>
      </w:r>
      <w:r w:rsidRPr="00D50752">
        <w:rPr>
          <w:rFonts w:ascii="Arial" w:hAnsi="Arial" w:cs="Arial"/>
          <w:sz w:val="22"/>
          <w:szCs w:val="22"/>
        </w:rPr>
        <w:t xml:space="preserve">Pandemics: Risks, Impacts, and Mitigation. In: Jamison DT, </w:t>
      </w:r>
      <w:proofErr w:type="spellStart"/>
      <w:r w:rsidRPr="00D50752">
        <w:rPr>
          <w:rFonts w:ascii="Arial" w:hAnsi="Arial" w:cs="Arial"/>
          <w:sz w:val="22"/>
          <w:szCs w:val="22"/>
        </w:rPr>
        <w:t>Gelband</w:t>
      </w:r>
      <w:proofErr w:type="spellEnd"/>
      <w:r w:rsidRPr="00D50752">
        <w:rPr>
          <w:rFonts w:ascii="Arial" w:hAnsi="Arial" w:cs="Arial"/>
          <w:sz w:val="22"/>
          <w:szCs w:val="22"/>
        </w:rPr>
        <w:t xml:space="preserve"> H, Horton S, et al., editors. Disease Control Priorities: Improving Health and Reducing Poverty. 3rd edition. Washington (DC): The International Bank for Reconstruction and Development/ The World Bank; 2017 Nov 27. Chapter 17.doi:10.1596/978-1-4648-0527-1/pt5.ch17</w:t>
      </w:r>
    </w:p>
    <w:p w14:paraId="16E66265" w14:textId="77777777" w:rsidR="00251306" w:rsidRPr="00D50752" w:rsidRDefault="00251306"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Murthy S, </w:t>
      </w:r>
      <w:proofErr w:type="spellStart"/>
      <w:r w:rsidRPr="00D50752">
        <w:rPr>
          <w:rFonts w:ascii="Arial" w:hAnsi="Arial" w:cs="Arial"/>
          <w:sz w:val="22"/>
          <w:szCs w:val="22"/>
        </w:rPr>
        <w:t>Gomersall</w:t>
      </w:r>
      <w:proofErr w:type="spellEnd"/>
      <w:r w:rsidRPr="00D50752">
        <w:rPr>
          <w:rFonts w:ascii="Arial" w:hAnsi="Arial" w:cs="Arial"/>
          <w:sz w:val="22"/>
          <w:szCs w:val="22"/>
        </w:rPr>
        <w:t xml:space="preserve"> CD, Fowler RA. Care for Critically Ill Patients With COVID-19. </w:t>
      </w:r>
      <w:r w:rsidRPr="00D50752">
        <w:rPr>
          <w:rFonts w:ascii="Arial" w:hAnsi="Arial" w:cs="Arial"/>
          <w:i/>
          <w:iCs/>
          <w:sz w:val="22"/>
          <w:szCs w:val="22"/>
        </w:rPr>
        <w:t>JAMA.</w:t>
      </w:r>
      <w:r w:rsidRPr="00D50752">
        <w:rPr>
          <w:rFonts w:ascii="Arial" w:hAnsi="Arial" w:cs="Arial"/>
          <w:sz w:val="22"/>
          <w:szCs w:val="22"/>
        </w:rPr>
        <w:t> Published online March 11, 2020. doi:10.1001/jama.2020.3633</w:t>
      </w:r>
    </w:p>
    <w:p w14:paraId="1F59781D" w14:textId="7A542DC5" w:rsidR="00251306" w:rsidRDefault="00251306"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rPr>
        <w:t xml:space="preserve">Nishiyama A, </w:t>
      </w:r>
      <w:proofErr w:type="spellStart"/>
      <w:r w:rsidRPr="00D50752">
        <w:rPr>
          <w:rFonts w:ascii="Arial" w:hAnsi="Arial" w:cs="Arial"/>
          <w:sz w:val="22"/>
          <w:szCs w:val="22"/>
        </w:rPr>
        <w:t>Wakasugi</w:t>
      </w:r>
      <w:proofErr w:type="spellEnd"/>
      <w:r w:rsidRPr="00D50752">
        <w:rPr>
          <w:rFonts w:ascii="Arial" w:hAnsi="Arial" w:cs="Arial"/>
          <w:sz w:val="22"/>
          <w:szCs w:val="22"/>
        </w:rPr>
        <w:t xml:space="preserve"> N, </w:t>
      </w:r>
      <w:proofErr w:type="spellStart"/>
      <w:r w:rsidRPr="00D50752">
        <w:rPr>
          <w:rFonts w:ascii="Arial" w:hAnsi="Arial" w:cs="Arial"/>
          <w:sz w:val="22"/>
          <w:szCs w:val="22"/>
        </w:rPr>
        <w:t>Kirikae</w:t>
      </w:r>
      <w:proofErr w:type="spellEnd"/>
      <w:r w:rsidRPr="00D50752">
        <w:rPr>
          <w:rFonts w:ascii="Arial" w:hAnsi="Arial" w:cs="Arial"/>
          <w:sz w:val="22"/>
          <w:szCs w:val="22"/>
        </w:rPr>
        <w:t xml:space="preserve"> T, </w:t>
      </w:r>
      <w:proofErr w:type="spellStart"/>
      <w:r w:rsidRPr="00D50752">
        <w:rPr>
          <w:rFonts w:ascii="Arial" w:hAnsi="Arial" w:cs="Arial"/>
          <w:sz w:val="22"/>
          <w:szCs w:val="22"/>
        </w:rPr>
        <w:t>Quy</w:t>
      </w:r>
      <w:proofErr w:type="spellEnd"/>
      <w:r w:rsidRPr="00D50752">
        <w:rPr>
          <w:rFonts w:ascii="Arial" w:hAnsi="Arial" w:cs="Arial"/>
          <w:sz w:val="22"/>
          <w:szCs w:val="22"/>
        </w:rPr>
        <w:t xml:space="preserve"> T, Ha LD, Ban VV, et al. Risk factors for SARS infection within hospitals in Hanoi, Vietnam. </w:t>
      </w:r>
      <w:proofErr w:type="spellStart"/>
      <w:r w:rsidRPr="00D50752">
        <w:rPr>
          <w:rFonts w:ascii="Arial" w:hAnsi="Arial" w:cs="Arial"/>
          <w:sz w:val="22"/>
          <w:szCs w:val="22"/>
        </w:rPr>
        <w:t>Jpn</w:t>
      </w:r>
      <w:proofErr w:type="spellEnd"/>
      <w:r w:rsidRPr="00D50752">
        <w:rPr>
          <w:rFonts w:ascii="Arial" w:hAnsi="Arial" w:cs="Arial"/>
          <w:sz w:val="22"/>
          <w:szCs w:val="22"/>
        </w:rPr>
        <w:t xml:space="preserve"> J Infect Dis. 2008; 61(5): 388–390.  </w:t>
      </w:r>
    </w:p>
    <w:p w14:paraId="279E7625" w14:textId="6672FB95" w:rsidR="00D50752" w:rsidRDefault="00D50752" w:rsidP="00BC16C3">
      <w:pPr>
        <w:pStyle w:val="NormalWeb"/>
        <w:spacing w:before="0" w:beforeAutospacing="0" w:afterAutospacing="0"/>
        <w:ind w:left="480" w:hanging="480"/>
        <w:jc w:val="both"/>
        <w:rPr>
          <w:rFonts w:ascii="Arial" w:hAnsi="Arial" w:cs="Arial"/>
          <w:sz w:val="22"/>
          <w:szCs w:val="22"/>
        </w:rPr>
      </w:pPr>
      <w:proofErr w:type="spellStart"/>
      <w:r w:rsidRPr="00D50752">
        <w:rPr>
          <w:rFonts w:ascii="Arial" w:hAnsi="Arial" w:cs="Arial"/>
          <w:sz w:val="22"/>
          <w:szCs w:val="22"/>
        </w:rPr>
        <w:t>Pega</w:t>
      </w:r>
      <w:proofErr w:type="spellEnd"/>
      <w:r w:rsidRPr="00D50752">
        <w:rPr>
          <w:rFonts w:ascii="Arial" w:hAnsi="Arial" w:cs="Arial"/>
          <w:sz w:val="22"/>
          <w:szCs w:val="22"/>
        </w:rPr>
        <w:t xml:space="preserve">, F., Liu, S. Y., Walter, S., </w:t>
      </w:r>
      <w:proofErr w:type="spellStart"/>
      <w:r w:rsidRPr="00D50752">
        <w:rPr>
          <w:rFonts w:ascii="Arial" w:hAnsi="Arial" w:cs="Arial"/>
          <w:sz w:val="22"/>
          <w:szCs w:val="22"/>
        </w:rPr>
        <w:t>Pabayo</w:t>
      </w:r>
      <w:proofErr w:type="spellEnd"/>
      <w:r w:rsidRPr="00D50752">
        <w:rPr>
          <w:rFonts w:ascii="Arial" w:hAnsi="Arial" w:cs="Arial"/>
          <w:sz w:val="22"/>
          <w:szCs w:val="22"/>
        </w:rPr>
        <w:t xml:space="preserve">, R., Saith, R., &amp; </w:t>
      </w:r>
      <w:proofErr w:type="spellStart"/>
      <w:r w:rsidRPr="00D50752">
        <w:rPr>
          <w:rFonts w:ascii="Arial" w:hAnsi="Arial" w:cs="Arial"/>
          <w:sz w:val="22"/>
          <w:szCs w:val="22"/>
        </w:rPr>
        <w:t>Lhachimi</w:t>
      </w:r>
      <w:proofErr w:type="spellEnd"/>
      <w:r w:rsidRPr="00D50752">
        <w:rPr>
          <w:rFonts w:ascii="Arial" w:hAnsi="Arial" w:cs="Arial"/>
          <w:sz w:val="22"/>
          <w:szCs w:val="22"/>
        </w:rPr>
        <w:t xml:space="preserve">, S. K. (2017). Unconditional cash transfers for reducing poverty and vulnerabilities: Effect on use of health services and health outcomes in low- and middle-income countries. </w:t>
      </w:r>
      <w:r w:rsidRPr="00D50752">
        <w:rPr>
          <w:rFonts w:ascii="Arial" w:hAnsi="Arial" w:cs="Arial"/>
          <w:i/>
          <w:iCs/>
          <w:sz w:val="22"/>
          <w:szCs w:val="22"/>
        </w:rPr>
        <w:lastRenderedPageBreak/>
        <w:t>Cochrane Database of Systematic Reviews</w:t>
      </w:r>
      <w:r w:rsidRPr="00D50752">
        <w:rPr>
          <w:rFonts w:ascii="Arial" w:hAnsi="Arial" w:cs="Arial"/>
          <w:sz w:val="22"/>
          <w:szCs w:val="22"/>
        </w:rPr>
        <w:t xml:space="preserve">, </w:t>
      </w:r>
      <w:r w:rsidRPr="00D50752">
        <w:rPr>
          <w:rFonts w:ascii="Arial" w:hAnsi="Arial" w:cs="Arial"/>
          <w:i/>
          <w:iCs/>
          <w:sz w:val="22"/>
          <w:szCs w:val="22"/>
        </w:rPr>
        <w:t>2017</w:t>
      </w:r>
      <w:r w:rsidRPr="00D50752">
        <w:rPr>
          <w:rFonts w:ascii="Arial" w:hAnsi="Arial" w:cs="Arial"/>
          <w:sz w:val="22"/>
          <w:szCs w:val="22"/>
        </w:rPr>
        <w:t xml:space="preserve">(11). </w:t>
      </w:r>
      <w:hyperlink r:id="rId21" w:history="1">
        <w:r w:rsidRPr="00274BBC">
          <w:rPr>
            <w:rStyle w:val="Hyperlink"/>
            <w:rFonts w:ascii="Arial" w:hAnsi="Arial" w:cs="Arial"/>
            <w:sz w:val="22"/>
            <w:szCs w:val="22"/>
          </w:rPr>
          <w:t>https://doi.org/10.1002/14651858.CD011135.pub2</w:t>
        </w:r>
      </w:hyperlink>
    </w:p>
    <w:p w14:paraId="5AACCD6A" w14:textId="77777777" w:rsidR="00D50752" w:rsidRDefault="00556AC1" w:rsidP="00BC16C3">
      <w:pPr>
        <w:pStyle w:val="NormalWeb"/>
        <w:spacing w:before="0" w:beforeAutospacing="0" w:afterAutospacing="0"/>
        <w:ind w:left="480" w:hanging="480"/>
        <w:jc w:val="both"/>
        <w:rPr>
          <w:rFonts w:ascii="Arial" w:eastAsiaTheme="minorHAnsi" w:hAnsi="Arial" w:cs="Arial"/>
          <w:color w:val="000000"/>
          <w:sz w:val="22"/>
          <w:szCs w:val="22"/>
        </w:rPr>
      </w:pPr>
      <w:r w:rsidRPr="00D50752">
        <w:rPr>
          <w:rFonts w:ascii="Arial" w:eastAsiaTheme="minorHAnsi" w:hAnsi="Arial" w:cs="Arial"/>
          <w:color w:val="000000"/>
          <w:sz w:val="22"/>
          <w:szCs w:val="22"/>
        </w:rPr>
        <w:t xml:space="preserve">Roemer, J. 1998. </w:t>
      </w:r>
      <w:r w:rsidRPr="00D50752">
        <w:rPr>
          <w:rFonts w:ascii="Arial" w:eastAsiaTheme="minorHAnsi" w:hAnsi="Arial" w:cs="Arial"/>
          <w:i/>
          <w:iCs/>
          <w:color w:val="000000"/>
          <w:sz w:val="22"/>
          <w:szCs w:val="22"/>
        </w:rPr>
        <w:t>Equality of Opportunity</w:t>
      </w:r>
      <w:r w:rsidRPr="00D50752">
        <w:rPr>
          <w:rFonts w:ascii="Arial" w:eastAsiaTheme="minorHAnsi" w:hAnsi="Arial" w:cs="Arial"/>
          <w:color w:val="000000"/>
          <w:sz w:val="22"/>
          <w:szCs w:val="22"/>
        </w:rPr>
        <w:t xml:space="preserve">. Cambridge, MA: Harvard University Press. </w:t>
      </w:r>
    </w:p>
    <w:p w14:paraId="4E145D11" w14:textId="4B56C412" w:rsidR="00556AC1" w:rsidRPr="00D50752" w:rsidRDefault="00556AC1" w:rsidP="00BC16C3">
      <w:pPr>
        <w:pStyle w:val="NormalWeb"/>
        <w:spacing w:before="0" w:beforeAutospacing="0" w:afterAutospacing="0"/>
        <w:ind w:left="480" w:hanging="480"/>
        <w:jc w:val="both"/>
        <w:rPr>
          <w:rFonts w:ascii="Arial" w:hAnsi="Arial" w:cs="Arial"/>
          <w:sz w:val="22"/>
          <w:szCs w:val="22"/>
        </w:rPr>
      </w:pPr>
      <w:r w:rsidRPr="00D50752">
        <w:rPr>
          <w:rFonts w:ascii="Arial" w:eastAsiaTheme="minorHAnsi" w:hAnsi="Arial" w:cs="Arial"/>
          <w:color w:val="000000"/>
          <w:sz w:val="22"/>
          <w:szCs w:val="22"/>
        </w:rPr>
        <w:t xml:space="preserve">Romer, P. 1986. </w:t>
      </w:r>
      <w:r w:rsidRPr="00D50752">
        <w:rPr>
          <w:rFonts w:ascii="Arial" w:eastAsiaTheme="minorHAnsi" w:hAnsi="Arial" w:cs="Arial"/>
          <w:i/>
          <w:iCs/>
          <w:color w:val="000000"/>
          <w:sz w:val="22"/>
          <w:szCs w:val="22"/>
        </w:rPr>
        <w:t>Increasing Returns and Long-Run Growth</w:t>
      </w:r>
      <w:r w:rsidRPr="00D50752">
        <w:rPr>
          <w:rFonts w:ascii="Arial" w:eastAsiaTheme="minorHAnsi" w:hAnsi="Arial" w:cs="Arial"/>
          <w:color w:val="000000"/>
          <w:sz w:val="22"/>
          <w:szCs w:val="22"/>
        </w:rPr>
        <w:t xml:space="preserve">. The Journal of Political Economy, Vol. 94, Issue 5, pp. 1002-1037. </w:t>
      </w:r>
    </w:p>
    <w:p w14:paraId="4661A596" w14:textId="27C6739D" w:rsidR="00251306" w:rsidRPr="000A0597" w:rsidRDefault="00556AC1" w:rsidP="00BC16C3">
      <w:pPr>
        <w:pStyle w:val="NormalWeb"/>
        <w:spacing w:before="0" w:beforeAutospacing="0" w:afterAutospacing="0"/>
        <w:ind w:left="480" w:hanging="480"/>
        <w:jc w:val="both"/>
        <w:rPr>
          <w:rFonts w:ascii="Arial" w:hAnsi="Arial" w:cs="Arial"/>
          <w:sz w:val="22"/>
          <w:szCs w:val="22"/>
          <w:lang w:val="fr-FR"/>
        </w:rPr>
      </w:pPr>
      <w:proofErr w:type="spellStart"/>
      <w:r w:rsidRPr="00D50752">
        <w:rPr>
          <w:rFonts w:ascii="Arial" w:hAnsi="Arial" w:cs="Arial"/>
          <w:sz w:val="22"/>
          <w:szCs w:val="22"/>
        </w:rPr>
        <w:t>S</w:t>
      </w:r>
      <w:r w:rsidR="00251306" w:rsidRPr="00D50752">
        <w:rPr>
          <w:rFonts w:ascii="Arial" w:hAnsi="Arial" w:cs="Arial"/>
          <w:sz w:val="22"/>
          <w:szCs w:val="22"/>
        </w:rPr>
        <w:t>eto</w:t>
      </w:r>
      <w:proofErr w:type="spellEnd"/>
      <w:r w:rsidR="00251306" w:rsidRPr="00D50752">
        <w:rPr>
          <w:rFonts w:ascii="Arial" w:hAnsi="Arial" w:cs="Arial"/>
          <w:sz w:val="22"/>
          <w:szCs w:val="22"/>
        </w:rPr>
        <w:t xml:space="preserve"> WH, Tsang D, Yung RWH, Ching YW, Ng TK, Ho M, et al. Effectiveness of precautions against droplets and contact in prevention of nosocomial transmission of severe acute respiratory syndrome (SARS). </w:t>
      </w:r>
      <w:r w:rsidR="00251306" w:rsidRPr="000A0597">
        <w:rPr>
          <w:rFonts w:ascii="Arial" w:hAnsi="Arial" w:cs="Arial"/>
          <w:sz w:val="22"/>
          <w:szCs w:val="22"/>
          <w:lang w:val="fr-FR"/>
        </w:rPr>
        <w:t xml:space="preserve">Lancet. </w:t>
      </w:r>
      <w:proofErr w:type="gramStart"/>
      <w:r w:rsidR="00251306" w:rsidRPr="000A0597">
        <w:rPr>
          <w:rFonts w:ascii="Arial" w:hAnsi="Arial" w:cs="Arial"/>
          <w:sz w:val="22"/>
          <w:szCs w:val="22"/>
          <w:lang w:val="fr-FR"/>
        </w:rPr>
        <w:t>2003;</w:t>
      </w:r>
      <w:proofErr w:type="gramEnd"/>
      <w:r w:rsidR="00251306" w:rsidRPr="000A0597">
        <w:rPr>
          <w:rFonts w:ascii="Arial" w:hAnsi="Arial" w:cs="Arial"/>
          <w:sz w:val="22"/>
          <w:szCs w:val="22"/>
          <w:lang w:val="fr-FR"/>
        </w:rPr>
        <w:t xml:space="preserve"> 361(9368):1519-1520. </w:t>
      </w:r>
      <w:proofErr w:type="gramStart"/>
      <w:r w:rsidR="00251306" w:rsidRPr="000A0597">
        <w:rPr>
          <w:rFonts w:ascii="Arial" w:hAnsi="Arial" w:cs="Arial"/>
          <w:sz w:val="22"/>
          <w:szCs w:val="22"/>
          <w:lang w:val="fr-FR"/>
        </w:rPr>
        <w:t>doi:</w:t>
      </w:r>
      <w:proofErr w:type="gramEnd"/>
      <w:r w:rsidR="00251306" w:rsidRPr="000A0597">
        <w:rPr>
          <w:rFonts w:ascii="Arial" w:hAnsi="Arial" w:cs="Arial"/>
          <w:sz w:val="22"/>
          <w:szCs w:val="22"/>
          <w:lang w:val="fr-FR"/>
        </w:rPr>
        <w:t xml:space="preserve"> 10.1016/S0140-6736(03)13168-6  </w:t>
      </w:r>
    </w:p>
    <w:p w14:paraId="2B1A360C" w14:textId="77777777" w:rsidR="00251306" w:rsidRPr="00D50752" w:rsidRDefault="00251306" w:rsidP="00BC16C3">
      <w:pPr>
        <w:pStyle w:val="NormalWeb"/>
        <w:spacing w:before="0" w:beforeAutospacing="0" w:afterAutospacing="0"/>
        <w:ind w:left="480" w:hanging="480"/>
        <w:jc w:val="both"/>
        <w:rPr>
          <w:rFonts w:ascii="Arial" w:hAnsi="Arial" w:cs="Arial"/>
          <w:sz w:val="22"/>
          <w:szCs w:val="22"/>
        </w:rPr>
      </w:pPr>
      <w:r w:rsidRPr="00D50752">
        <w:rPr>
          <w:rFonts w:ascii="Arial" w:hAnsi="Arial" w:cs="Arial"/>
          <w:sz w:val="22"/>
          <w:szCs w:val="22"/>
          <w:lang w:val="fr-FR"/>
        </w:rPr>
        <w:t>Xie, J., Tong, Z., Guan, X. et al. </w:t>
      </w:r>
      <w:r w:rsidRPr="00D50752">
        <w:rPr>
          <w:rFonts w:ascii="Arial" w:hAnsi="Arial" w:cs="Arial"/>
          <w:sz w:val="22"/>
          <w:szCs w:val="22"/>
        </w:rPr>
        <w:t xml:space="preserve">Critical care crisis and some recommendations during the COVID-19 epidemic in China. Intensive Care Med (2020). </w:t>
      </w:r>
      <w:hyperlink r:id="rId22" w:history="1">
        <w:proofErr w:type="spellStart"/>
        <w:r w:rsidRPr="00D50752">
          <w:rPr>
            <w:rFonts w:ascii="Arial" w:hAnsi="Arial" w:cs="Arial"/>
            <w:sz w:val="22"/>
            <w:szCs w:val="22"/>
          </w:rPr>
          <w:t>doi</w:t>
        </w:r>
        <w:proofErr w:type="spellEnd"/>
        <w:r w:rsidRPr="00D50752">
          <w:rPr>
            <w:rFonts w:ascii="Arial" w:hAnsi="Arial" w:cs="Arial"/>
            <w:sz w:val="22"/>
            <w:szCs w:val="22"/>
          </w:rPr>
          <w:t>: 10.1007/s00134-020-05979-7</w:t>
        </w:r>
      </w:hyperlink>
    </w:p>
    <w:p w14:paraId="78CB7925" w14:textId="1F5ED798" w:rsidR="00DE33B1" w:rsidRPr="00B601F2" w:rsidRDefault="00251306" w:rsidP="00BC16C3">
      <w:pPr>
        <w:pStyle w:val="NormalWeb"/>
        <w:spacing w:before="0" w:beforeAutospacing="0" w:afterAutospacing="0"/>
        <w:ind w:left="480" w:hanging="480"/>
        <w:jc w:val="both"/>
        <w:rPr>
          <w:rFonts w:ascii="Arial" w:hAnsi="Arial" w:cs="Arial"/>
          <w:sz w:val="22"/>
          <w:szCs w:val="22"/>
          <w:lang w:val="es-MX"/>
        </w:rPr>
      </w:pPr>
      <w:r w:rsidRPr="00D50752">
        <w:rPr>
          <w:rFonts w:ascii="Arial" w:hAnsi="Arial" w:cs="Arial"/>
          <w:sz w:val="22"/>
          <w:szCs w:val="22"/>
        </w:rPr>
        <w:t xml:space="preserve">Yen MY, Lin YE, Lee CH, Ho MS, Huang FY, Chang SC, Liu YC. Taiwan's traffic control bundle and the elimination of nosocomial severe acute respiratory syndrome among healthcare workers, Journal of Hospital Infection. </w:t>
      </w:r>
      <w:r w:rsidRPr="00B601F2">
        <w:rPr>
          <w:rFonts w:ascii="Arial" w:hAnsi="Arial" w:cs="Arial"/>
          <w:sz w:val="22"/>
          <w:szCs w:val="22"/>
          <w:lang w:val="es-MX"/>
        </w:rPr>
        <w:t>2011; 77(4): 332-337. </w:t>
      </w:r>
      <w:proofErr w:type="spellStart"/>
      <w:r w:rsidRPr="00B601F2">
        <w:rPr>
          <w:rFonts w:ascii="Arial" w:hAnsi="Arial" w:cs="Arial"/>
          <w:sz w:val="22"/>
          <w:szCs w:val="22"/>
          <w:lang w:val="es-MX"/>
        </w:rPr>
        <w:t>doi</w:t>
      </w:r>
      <w:proofErr w:type="spellEnd"/>
      <w:r w:rsidRPr="00B601F2">
        <w:rPr>
          <w:rFonts w:ascii="Arial" w:hAnsi="Arial" w:cs="Arial"/>
          <w:sz w:val="22"/>
          <w:szCs w:val="22"/>
          <w:lang w:val="es-MX"/>
        </w:rPr>
        <w:t>: 10.1016/j.jhin.2010.12.002.</w:t>
      </w:r>
    </w:p>
    <w:p w14:paraId="27D401EA" w14:textId="77777777" w:rsidR="008458E6" w:rsidRPr="00B601F2" w:rsidRDefault="008458E6" w:rsidP="00BD1401">
      <w:pPr>
        <w:spacing w:after="200" w:line="276" w:lineRule="auto"/>
        <w:rPr>
          <w:rFonts w:ascii="Arial" w:hAnsi="Arial" w:cs="Arial"/>
          <w:b/>
          <w:sz w:val="22"/>
          <w:szCs w:val="22"/>
          <w:lang w:val="es-MX"/>
        </w:rPr>
        <w:sectPr w:rsidR="008458E6" w:rsidRPr="00B601F2" w:rsidSect="00A12ADC">
          <w:headerReference w:type="even" r:id="rId23"/>
          <w:headerReference w:type="default" r:id="rId24"/>
          <w:headerReference w:type="first" r:id="rId25"/>
          <w:pgSz w:w="12240" w:h="15840" w:code="1"/>
          <w:pgMar w:top="1440" w:right="1800" w:bottom="1440" w:left="1800" w:header="706" w:footer="706" w:gutter="0"/>
          <w:cols w:space="720"/>
          <w:formProt w:val="0"/>
          <w:docGrid w:linePitch="326"/>
        </w:sectPr>
      </w:pPr>
    </w:p>
    <w:p w14:paraId="627D9698" w14:textId="77777777" w:rsidR="00632412" w:rsidRPr="00CE78E0" w:rsidRDefault="00632412" w:rsidP="00632412">
      <w:pPr>
        <w:jc w:val="both"/>
        <w:rPr>
          <w:rFonts w:ascii="Arial" w:hAnsi="Arial" w:cs="Arial"/>
          <w:sz w:val="22"/>
          <w:szCs w:val="22"/>
        </w:rPr>
      </w:pPr>
    </w:p>
    <w:p w14:paraId="40E663A0" w14:textId="77777777" w:rsidR="00E940AD" w:rsidRPr="00B601F2" w:rsidRDefault="00E940AD" w:rsidP="00E940AD">
      <w:pPr>
        <w:spacing w:after="200" w:line="276" w:lineRule="auto"/>
        <w:jc w:val="center"/>
        <w:rPr>
          <w:rFonts w:ascii="Arial" w:hAnsi="Arial" w:cs="Arial"/>
          <w:b/>
          <w:sz w:val="22"/>
          <w:szCs w:val="22"/>
          <w:lang w:val="es-MX"/>
        </w:rPr>
      </w:pPr>
      <w:r w:rsidRPr="00B601F2">
        <w:rPr>
          <w:rFonts w:ascii="Arial" w:hAnsi="Arial" w:cs="Arial"/>
          <w:b/>
          <w:sz w:val="22"/>
          <w:szCs w:val="22"/>
          <w:lang w:val="es-MX"/>
        </w:rPr>
        <w:t>ANEXO 1</w:t>
      </w:r>
    </w:p>
    <w:p w14:paraId="4F3860CC" w14:textId="5155AB15" w:rsidR="00E940AD" w:rsidRDefault="00E940AD" w:rsidP="00E940AD">
      <w:pPr>
        <w:jc w:val="center"/>
        <w:rPr>
          <w:rFonts w:ascii="Arial" w:hAnsi="Arial" w:cs="Arial"/>
          <w:b/>
          <w:bCs/>
          <w:sz w:val="22"/>
          <w:szCs w:val="22"/>
        </w:rPr>
      </w:pPr>
      <w:r>
        <w:rPr>
          <w:rFonts w:ascii="Arial" w:hAnsi="Arial" w:cs="Arial"/>
          <w:b/>
          <w:caps/>
          <w:sz w:val="22"/>
          <w:szCs w:val="22"/>
          <w:lang w:val="es-ES"/>
        </w:rPr>
        <w:t>descripcion de indicadores de impacto del programa</w:t>
      </w:r>
    </w:p>
    <w:p w14:paraId="3A30723D" w14:textId="68848FF2" w:rsidR="00632412" w:rsidRDefault="00632412" w:rsidP="00632412">
      <w:pPr>
        <w:jc w:val="both"/>
        <w:rPr>
          <w:rFonts w:ascii="Arial" w:hAnsi="Arial" w:cs="Arial"/>
          <w:b/>
          <w:bCs/>
          <w:sz w:val="22"/>
          <w:szCs w:val="22"/>
        </w:rPr>
      </w:pPr>
    </w:p>
    <w:p w14:paraId="40933385" w14:textId="00342EB6" w:rsidR="00E940AD" w:rsidRDefault="00E940AD" w:rsidP="00632412">
      <w:pPr>
        <w:jc w:val="both"/>
        <w:rPr>
          <w:rFonts w:ascii="Arial" w:hAnsi="Arial" w:cs="Arial"/>
          <w:sz w:val="22"/>
          <w:szCs w:val="22"/>
        </w:rPr>
      </w:pPr>
    </w:p>
    <w:p w14:paraId="6CF0BE34" w14:textId="7A95E88F" w:rsidR="006A1E5A" w:rsidRDefault="006A1E5A" w:rsidP="00632412">
      <w:pPr>
        <w:jc w:val="both"/>
        <w:rPr>
          <w:rFonts w:ascii="Arial" w:hAnsi="Arial" w:cs="Arial"/>
          <w:sz w:val="22"/>
          <w:szCs w:val="22"/>
        </w:rPr>
      </w:pPr>
      <w:r>
        <w:rPr>
          <w:rFonts w:ascii="Arial" w:hAnsi="Arial" w:cs="Arial"/>
          <w:sz w:val="22"/>
          <w:szCs w:val="22"/>
        </w:rPr>
        <w:t xml:space="preserve">La siguiente tabla resume los indicadores de impacto incluidos en el programa, cuya medición se describe a continuación. </w:t>
      </w:r>
    </w:p>
    <w:p w14:paraId="0A7C5A5D" w14:textId="77777777" w:rsidR="006A1E5A" w:rsidRPr="00CE78E0" w:rsidRDefault="006A1E5A" w:rsidP="00632412">
      <w:pPr>
        <w:jc w:val="both"/>
        <w:rPr>
          <w:rFonts w:ascii="Arial" w:hAnsi="Arial" w:cs="Arial"/>
          <w:sz w:val="22"/>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260"/>
        <w:gridCol w:w="2160"/>
        <w:gridCol w:w="3060"/>
      </w:tblGrid>
      <w:tr w:rsidR="00632412" w:rsidRPr="00CE78E0" w14:paraId="0F55BCF6" w14:textId="77777777" w:rsidTr="001102FA">
        <w:trPr>
          <w:trHeight w:val="20"/>
        </w:trPr>
        <w:tc>
          <w:tcPr>
            <w:tcW w:w="22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9B6201" w14:textId="77777777" w:rsidR="00632412" w:rsidRPr="001102FA" w:rsidRDefault="00632412" w:rsidP="00562C84">
            <w:pPr>
              <w:spacing w:before="20"/>
              <w:ind w:left="-120" w:right="-105"/>
              <w:jc w:val="both"/>
              <w:rPr>
                <w:rFonts w:ascii="Arial" w:hAnsi="Arial" w:cs="Arial"/>
                <w:b/>
                <w:sz w:val="20"/>
                <w:lang w:eastAsia="zh-CN"/>
              </w:rPr>
            </w:pPr>
            <w:r w:rsidRPr="001102FA">
              <w:rPr>
                <w:rFonts w:ascii="Arial" w:hAnsi="Arial" w:cs="Arial"/>
                <w:b/>
                <w:sz w:val="20"/>
                <w:lang w:eastAsia="zh-CN"/>
              </w:rPr>
              <w:t>Indicadores</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0BA405" w14:textId="77777777" w:rsidR="00632412" w:rsidRPr="001102FA" w:rsidRDefault="00632412" w:rsidP="001102FA">
            <w:pPr>
              <w:spacing w:before="20"/>
              <w:ind w:left="-120" w:right="-105"/>
              <w:jc w:val="center"/>
              <w:rPr>
                <w:rFonts w:ascii="Arial" w:hAnsi="Arial" w:cs="Arial"/>
                <w:b/>
                <w:sz w:val="20"/>
                <w:lang w:eastAsia="zh-CN"/>
              </w:rPr>
            </w:pPr>
            <w:r w:rsidRPr="001102FA">
              <w:rPr>
                <w:rFonts w:ascii="Arial" w:hAnsi="Arial" w:cs="Arial"/>
                <w:b/>
                <w:sz w:val="20"/>
                <w:lang w:eastAsia="zh-CN"/>
              </w:rPr>
              <w:t>Unidad de Medida</w:t>
            </w:r>
          </w:p>
        </w:tc>
        <w:tc>
          <w:tcPr>
            <w:tcW w:w="21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FFBBB9" w14:textId="77777777" w:rsidR="001102FA" w:rsidRDefault="00632412" w:rsidP="001102FA">
            <w:pPr>
              <w:spacing w:before="20"/>
              <w:ind w:left="-120" w:right="-105"/>
              <w:jc w:val="center"/>
              <w:rPr>
                <w:rFonts w:ascii="Arial" w:hAnsi="Arial" w:cs="Arial"/>
                <w:b/>
                <w:sz w:val="20"/>
                <w:lang w:eastAsia="zh-CN"/>
              </w:rPr>
            </w:pPr>
            <w:r w:rsidRPr="001102FA">
              <w:rPr>
                <w:rFonts w:ascii="Arial" w:hAnsi="Arial" w:cs="Arial"/>
                <w:b/>
                <w:sz w:val="20"/>
                <w:lang w:eastAsia="zh-CN"/>
              </w:rPr>
              <w:t xml:space="preserve">Medios de </w:t>
            </w:r>
          </w:p>
          <w:p w14:paraId="54A01DC5" w14:textId="45FC16B3" w:rsidR="00632412" w:rsidRPr="001102FA" w:rsidRDefault="00632412" w:rsidP="001102FA">
            <w:pPr>
              <w:spacing w:before="20"/>
              <w:ind w:left="-120" w:right="-105"/>
              <w:jc w:val="center"/>
              <w:rPr>
                <w:rFonts w:ascii="Arial" w:hAnsi="Arial" w:cs="Arial"/>
                <w:b/>
                <w:sz w:val="20"/>
                <w:lang w:eastAsia="zh-CN"/>
              </w:rPr>
            </w:pPr>
            <w:r w:rsidRPr="001102FA">
              <w:rPr>
                <w:rFonts w:ascii="Arial" w:hAnsi="Arial" w:cs="Arial"/>
                <w:b/>
                <w:sz w:val="20"/>
                <w:lang w:eastAsia="zh-CN"/>
              </w:rPr>
              <w:t>Verificación</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A2F31F" w14:textId="77777777" w:rsidR="00632412" w:rsidRPr="001102FA" w:rsidRDefault="00632412" w:rsidP="001102FA">
            <w:pPr>
              <w:spacing w:before="20"/>
              <w:ind w:left="-120" w:right="-105"/>
              <w:jc w:val="center"/>
              <w:rPr>
                <w:rFonts w:ascii="Arial" w:hAnsi="Arial" w:cs="Arial"/>
                <w:b/>
                <w:sz w:val="20"/>
                <w:lang w:eastAsia="zh-CN"/>
              </w:rPr>
            </w:pPr>
            <w:r w:rsidRPr="001102FA">
              <w:rPr>
                <w:rFonts w:ascii="Arial" w:hAnsi="Arial" w:cs="Arial"/>
                <w:b/>
                <w:sz w:val="20"/>
                <w:lang w:eastAsia="zh-CN"/>
              </w:rPr>
              <w:t>Comentarios</w:t>
            </w:r>
          </w:p>
        </w:tc>
      </w:tr>
      <w:tr w:rsidR="00B0770A" w:rsidRPr="00CE78E0" w14:paraId="4C35503B" w14:textId="77777777" w:rsidTr="001102FA">
        <w:trPr>
          <w:trHeight w:val="20"/>
        </w:trPr>
        <w:tc>
          <w:tcPr>
            <w:tcW w:w="2245" w:type="dxa"/>
            <w:tcBorders>
              <w:top w:val="single" w:sz="4" w:space="0" w:color="auto"/>
              <w:left w:val="single" w:sz="4" w:space="0" w:color="auto"/>
              <w:bottom w:val="single" w:sz="4" w:space="0" w:color="auto"/>
              <w:right w:val="single" w:sz="4" w:space="0" w:color="auto"/>
            </w:tcBorders>
            <w:vAlign w:val="center"/>
          </w:tcPr>
          <w:p w14:paraId="673EF4E5" w14:textId="36DE1DE5" w:rsidR="00B0770A" w:rsidRPr="005D335F" w:rsidRDefault="00B0770A" w:rsidP="00B0770A">
            <w:pPr>
              <w:spacing w:before="20" w:after="40"/>
              <w:jc w:val="both"/>
              <w:rPr>
                <w:rFonts w:ascii="Arial" w:hAnsi="Arial" w:cs="Arial"/>
                <w:sz w:val="18"/>
                <w:szCs w:val="18"/>
                <w:lang w:eastAsia="zh-CN"/>
              </w:rPr>
            </w:pPr>
            <w:r w:rsidRPr="000A0597">
              <w:rPr>
                <w:rFonts w:ascii="Arial" w:hAnsi="Arial" w:cs="Arial"/>
                <w:sz w:val="18"/>
                <w:szCs w:val="18"/>
                <w:lang w:val="es-419" w:eastAsia="zh-CN"/>
              </w:rPr>
              <w:t xml:space="preserve">Semanas en las cuales la demanda por camas en las Unidades de Cuidados Intensivos (UCI) por COVID-19 no excede la capacidad UCI del sistema de salud </w:t>
            </w:r>
          </w:p>
        </w:tc>
        <w:tc>
          <w:tcPr>
            <w:tcW w:w="1260" w:type="dxa"/>
            <w:tcBorders>
              <w:top w:val="single" w:sz="4" w:space="0" w:color="auto"/>
              <w:left w:val="single" w:sz="4" w:space="0" w:color="auto"/>
              <w:bottom w:val="single" w:sz="4" w:space="0" w:color="auto"/>
              <w:right w:val="single" w:sz="4" w:space="0" w:color="auto"/>
            </w:tcBorders>
            <w:vAlign w:val="center"/>
          </w:tcPr>
          <w:p w14:paraId="7545D2A0" w14:textId="022DBA2E" w:rsidR="00B0770A" w:rsidRPr="009F7503" w:rsidRDefault="00B0770A" w:rsidP="00B0770A">
            <w:pPr>
              <w:spacing w:before="20" w:after="40"/>
              <w:jc w:val="center"/>
              <w:rPr>
                <w:rFonts w:ascii="Arial" w:hAnsi="Arial" w:cs="Arial"/>
                <w:sz w:val="18"/>
                <w:szCs w:val="18"/>
                <w:lang w:eastAsia="zh-CN"/>
              </w:rPr>
            </w:pPr>
            <w:r w:rsidRPr="000A0597">
              <w:rPr>
                <w:rFonts w:ascii="Arial" w:hAnsi="Arial" w:cs="Arial"/>
                <w:sz w:val="18"/>
                <w:szCs w:val="18"/>
                <w:lang w:val="es-MX" w:eastAsia="zh-CN"/>
              </w:rPr>
              <w:t>%</w:t>
            </w:r>
          </w:p>
        </w:tc>
        <w:tc>
          <w:tcPr>
            <w:tcW w:w="2160" w:type="dxa"/>
            <w:tcBorders>
              <w:top w:val="single" w:sz="4" w:space="0" w:color="auto"/>
              <w:left w:val="single" w:sz="4" w:space="0" w:color="auto"/>
              <w:bottom w:val="single" w:sz="4" w:space="0" w:color="auto"/>
              <w:right w:val="single" w:sz="4" w:space="0" w:color="auto"/>
            </w:tcBorders>
            <w:vAlign w:val="center"/>
          </w:tcPr>
          <w:p w14:paraId="12AE3160" w14:textId="2F4C1DFA" w:rsidR="00B0770A" w:rsidRPr="00A8657D" w:rsidRDefault="00B0770A" w:rsidP="00B0770A">
            <w:pPr>
              <w:spacing w:before="20" w:after="40"/>
              <w:rPr>
                <w:rFonts w:ascii="Arial" w:hAnsi="Arial" w:cs="Arial"/>
                <w:sz w:val="18"/>
                <w:szCs w:val="18"/>
                <w:lang w:eastAsia="zh-CN"/>
              </w:rPr>
            </w:pPr>
            <w:r w:rsidRPr="000A0597">
              <w:rPr>
                <w:rFonts w:ascii="Arial" w:hAnsi="Arial" w:cs="Arial"/>
                <w:sz w:val="18"/>
                <w:szCs w:val="18"/>
                <w:lang w:val="es-MX" w:eastAsia="zh-CN"/>
              </w:rPr>
              <w:t>Boletines del Observatorio COVID-19 de El Salvador</w:t>
            </w:r>
            <w:r w:rsidRPr="000A0597">
              <w:rPr>
                <w:rStyle w:val="FootnoteReference"/>
                <w:rFonts w:ascii="Arial" w:hAnsi="Arial" w:cs="Arial"/>
                <w:sz w:val="18"/>
                <w:szCs w:val="18"/>
                <w:lang w:val="es-MX" w:eastAsia="zh-CN"/>
              </w:rPr>
              <w:footnoteReference w:id="5"/>
            </w:r>
          </w:p>
        </w:tc>
        <w:tc>
          <w:tcPr>
            <w:tcW w:w="3060" w:type="dxa"/>
            <w:tcBorders>
              <w:top w:val="single" w:sz="4" w:space="0" w:color="auto"/>
              <w:left w:val="single" w:sz="4" w:space="0" w:color="auto"/>
              <w:bottom w:val="single" w:sz="4" w:space="0" w:color="auto"/>
              <w:right w:val="single" w:sz="4" w:space="0" w:color="auto"/>
            </w:tcBorders>
          </w:tcPr>
          <w:p w14:paraId="7A329619" w14:textId="77777777" w:rsidR="00B0770A" w:rsidRDefault="00B0770A" w:rsidP="00B0770A">
            <w:pPr>
              <w:spacing w:before="40" w:after="40"/>
              <w:jc w:val="both"/>
              <w:rPr>
                <w:rFonts w:ascii="Arial" w:hAnsi="Arial" w:cs="Arial"/>
                <w:sz w:val="20"/>
                <w:lang w:val="es-MX" w:eastAsia="zh-CN"/>
              </w:rPr>
            </w:pPr>
            <w:r w:rsidRPr="003D44D3">
              <w:rPr>
                <w:rFonts w:ascii="Arial" w:hAnsi="Arial" w:cs="Arial"/>
                <w:sz w:val="20"/>
                <w:lang w:val="es-MX" w:eastAsia="zh-CN"/>
              </w:rPr>
              <w:t xml:space="preserve">Número de semanas en que se cumple la condición / número de semanas </w:t>
            </w:r>
            <w:r w:rsidRPr="00282CC9">
              <w:rPr>
                <w:rFonts w:ascii="Arial" w:hAnsi="Arial" w:cs="Arial"/>
                <w:sz w:val="20"/>
                <w:lang w:eastAsia="zh-CN"/>
              </w:rPr>
              <w:t>totales</w:t>
            </w:r>
            <w:r>
              <w:rPr>
                <w:rFonts w:ascii="Arial" w:hAnsi="Arial" w:cs="Arial"/>
                <w:sz w:val="20"/>
                <w:lang w:val="es-MX" w:eastAsia="zh-CN"/>
              </w:rPr>
              <w:t>.</w:t>
            </w:r>
          </w:p>
          <w:p w14:paraId="3FA8DD0F" w14:textId="01B52DB4" w:rsidR="00B0770A" w:rsidRPr="00A8657D" w:rsidRDefault="00B0770A" w:rsidP="00B0770A">
            <w:pPr>
              <w:spacing w:before="20" w:after="40"/>
              <w:jc w:val="both"/>
              <w:rPr>
                <w:rFonts w:ascii="Arial" w:hAnsi="Arial" w:cs="Arial"/>
                <w:sz w:val="18"/>
                <w:szCs w:val="18"/>
                <w:lang w:eastAsia="zh-CN"/>
              </w:rPr>
            </w:pPr>
            <w:r w:rsidRPr="00282CC9">
              <w:rPr>
                <w:rFonts w:ascii="Arial" w:hAnsi="Arial" w:cs="Arial"/>
                <w:sz w:val="20"/>
                <w:lang w:eastAsia="zh-CN"/>
              </w:rPr>
              <w:t>El impacto esperado es que en ningún momento de 2020 se exceda la capacidad del sistema de salud de proveer camas en UCI a pacientes COVID-19 que las requieran. La demanda de camas UCI por pacientes COVID</w:t>
            </w:r>
            <w:r>
              <w:rPr>
                <w:rFonts w:ascii="Arial" w:hAnsi="Arial" w:cs="Arial"/>
                <w:sz w:val="20"/>
                <w:lang w:eastAsia="zh-CN"/>
              </w:rPr>
              <w:noBreakHyphen/>
            </w:r>
            <w:r w:rsidRPr="00282CC9">
              <w:rPr>
                <w:rFonts w:ascii="Arial" w:hAnsi="Arial" w:cs="Arial"/>
                <w:sz w:val="20"/>
                <w:lang w:eastAsia="zh-CN"/>
              </w:rPr>
              <w:t xml:space="preserve">19 será la suma de pacientes en estado crítico y estado grave </w:t>
            </w:r>
            <w:r w:rsidRPr="00290843">
              <w:rPr>
                <w:rFonts w:ascii="Arial" w:hAnsi="Arial" w:cs="Arial"/>
                <w:sz w:val="20"/>
                <w:lang w:eastAsia="zh-CN"/>
              </w:rPr>
              <w:t>de acuerdo con</w:t>
            </w:r>
            <w:r w:rsidRPr="00282CC9">
              <w:rPr>
                <w:rFonts w:ascii="Arial" w:hAnsi="Arial" w:cs="Arial"/>
                <w:sz w:val="20"/>
                <w:lang w:eastAsia="zh-CN"/>
              </w:rPr>
              <w:t xml:space="preserve"> lo reportado en los boletines del observatorio. Al 29 de abril son 9</w:t>
            </w:r>
            <w:r>
              <w:rPr>
                <w:rFonts w:ascii="Arial" w:hAnsi="Arial" w:cs="Arial"/>
                <w:sz w:val="20"/>
                <w:lang w:eastAsia="zh-CN"/>
              </w:rPr>
              <w:t> </w:t>
            </w:r>
            <w:r w:rsidRPr="00282CC9">
              <w:rPr>
                <w:rFonts w:ascii="Arial" w:hAnsi="Arial" w:cs="Arial"/>
                <w:sz w:val="20"/>
                <w:lang w:eastAsia="zh-CN"/>
              </w:rPr>
              <w:t xml:space="preserve">los pacientes en este estado y hay una </w:t>
            </w:r>
            <w:r w:rsidRPr="00282CC9">
              <w:rPr>
                <w:rFonts w:ascii="Arial" w:hAnsi="Arial" w:cs="Arial"/>
                <w:sz w:val="20"/>
                <w:lang w:val="es-MX" w:eastAsia="zh-CN"/>
              </w:rPr>
              <w:t>capacidad</w:t>
            </w:r>
            <w:r w:rsidRPr="00282CC9">
              <w:rPr>
                <w:rFonts w:ascii="Arial" w:hAnsi="Arial" w:cs="Arial"/>
                <w:sz w:val="20"/>
                <w:lang w:eastAsia="zh-CN"/>
              </w:rPr>
              <w:t xml:space="preserve"> de 238 camas UCI, la cual se está expandiendo gracias al programa de políticas.</w:t>
            </w:r>
          </w:p>
        </w:tc>
      </w:tr>
      <w:tr w:rsidR="000B0F75" w:rsidRPr="00CE78E0" w14:paraId="66C88E48" w14:textId="77777777" w:rsidTr="00EE3D0F">
        <w:trPr>
          <w:trHeight w:val="20"/>
        </w:trPr>
        <w:tc>
          <w:tcPr>
            <w:tcW w:w="2245" w:type="dxa"/>
            <w:tcBorders>
              <w:top w:val="single" w:sz="4" w:space="0" w:color="auto"/>
              <w:left w:val="single" w:sz="4" w:space="0" w:color="auto"/>
              <w:bottom w:val="single" w:sz="4" w:space="0" w:color="auto"/>
              <w:right w:val="single" w:sz="4" w:space="0" w:color="auto"/>
            </w:tcBorders>
            <w:vAlign w:val="center"/>
          </w:tcPr>
          <w:p w14:paraId="79CBBC86" w14:textId="6A566B99" w:rsidR="000B0F75" w:rsidRPr="006A1E5A" w:rsidRDefault="000B0F75" w:rsidP="000B0F75">
            <w:pPr>
              <w:spacing w:before="20" w:after="40"/>
              <w:jc w:val="both"/>
              <w:rPr>
                <w:rFonts w:ascii="Arial" w:hAnsi="Arial" w:cs="Arial"/>
                <w:sz w:val="18"/>
                <w:szCs w:val="18"/>
                <w:lang w:eastAsia="zh-CN"/>
              </w:rPr>
            </w:pPr>
            <w:r w:rsidRPr="006A1E5A">
              <w:rPr>
                <w:rFonts w:ascii="Arial" w:hAnsi="Arial" w:cs="Arial"/>
                <w:sz w:val="18"/>
                <w:szCs w:val="18"/>
                <w:lang w:eastAsia="zh-CN"/>
              </w:rPr>
              <w:t>Balance primario del gobierno</w:t>
            </w:r>
          </w:p>
        </w:tc>
        <w:tc>
          <w:tcPr>
            <w:tcW w:w="1260" w:type="dxa"/>
            <w:tcBorders>
              <w:top w:val="single" w:sz="4" w:space="0" w:color="auto"/>
              <w:left w:val="single" w:sz="4" w:space="0" w:color="auto"/>
              <w:bottom w:val="single" w:sz="4" w:space="0" w:color="auto"/>
              <w:right w:val="single" w:sz="4" w:space="0" w:color="auto"/>
            </w:tcBorders>
            <w:vAlign w:val="center"/>
          </w:tcPr>
          <w:p w14:paraId="180C5306" w14:textId="77777777" w:rsidR="000B0F75" w:rsidRPr="001102FA" w:rsidRDefault="000B0F75" w:rsidP="000B0F75">
            <w:pPr>
              <w:spacing w:before="20" w:after="40"/>
              <w:jc w:val="center"/>
              <w:rPr>
                <w:rFonts w:ascii="Arial" w:hAnsi="Arial" w:cs="Arial"/>
                <w:sz w:val="18"/>
                <w:szCs w:val="18"/>
                <w:lang w:eastAsia="zh-CN"/>
              </w:rPr>
            </w:pPr>
            <w:r w:rsidRPr="001102FA">
              <w:rPr>
                <w:rFonts w:ascii="Arial" w:hAnsi="Arial" w:cs="Arial"/>
                <w:sz w:val="18"/>
                <w:szCs w:val="18"/>
                <w:lang w:eastAsia="zh-CN"/>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D9C7DA" w14:textId="4EADAFE9" w:rsidR="000B0F75" w:rsidRPr="001102FA" w:rsidRDefault="000B0F75" w:rsidP="000B0F75">
            <w:pPr>
              <w:spacing w:before="20" w:after="40"/>
              <w:rPr>
                <w:rFonts w:ascii="Arial" w:hAnsi="Arial" w:cs="Arial"/>
                <w:sz w:val="18"/>
                <w:szCs w:val="18"/>
                <w:highlight w:val="yellow"/>
                <w:lang w:eastAsia="zh-CN"/>
              </w:rPr>
            </w:pPr>
            <w:r w:rsidRPr="00047A5B">
              <w:rPr>
                <w:rFonts w:ascii="Arial" w:hAnsi="Arial" w:cs="Arial"/>
                <w:sz w:val="20"/>
                <w:lang w:eastAsia="zh-CN"/>
              </w:rPr>
              <w:t>M</w:t>
            </w:r>
            <w:r>
              <w:rPr>
                <w:rFonts w:ascii="Arial" w:hAnsi="Arial" w:cs="Arial"/>
                <w:sz w:val="20"/>
                <w:lang w:eastAsia="zh-CN"/>
              </w:rPr>
              <w:t>H –</w:t>
            </w:r>
            <w:r w:rsidRPr="00047A5B">
              <w:rPr>
                <w:rFonts w:ascii="Arial" w:hAnsi="Arial" w:cs="Arial"/>
                <w:sz w:val="20"/>
                <w:lang w:eastAsia="zh-CN"/>
              </w:rPr>
              <w:t xml:space="preserve"> M</w:t>
            </w:r>
            <w:r>
              <w:rPr>
                <w:rFonts w:ascii="Arial" w:hAnsi="Arial" w:cs="Arial"/>
                <w:sz w:val="20"/>
                <w:lang w:eastAsia="zh-CN"/>
              </w:rPr>
              <w:t>FMP.</w:t>
            </w:r>
          </w:p>
        </w:tc>
        <w:tc>
          <w:tcPr>
            <w:tcW w:w="3060" w:type="dxa"/>
            <w:tcBorders>
              <w:top w:val="single" w:sz="4" w:space="0" w:color="auto"/>
              <w:left w:val="single" w:sz="4" w:space="0" w:color="auto"/>
              <w:bottom w:val="single" w:sz="4" w:space="0" w:color="auto"/>
              <w:right w:val="single" w:sz="4" w:space="0" w:color="auto"/>
            </w:tcBorders>
          </w:tcPr>
          <w:p w14:paraId="4B8D5234" w14:textId="77777777" w:rsidR="000B0F75" w:rsidRDefault="000B0F75" w:rsidP="000B0F75">
            <w:pPr>
              <w:spacing w:before="40" w:after="40"/>
              <w:jc w:val="both"/>
              <w:rPr>
                <w:rFonts w:ascii="Arial" w:hAnsi="Arial" w:cs="Arial"/>
                <w:sz w:val="20"/>
                <w:lang w:eastAsia="zh-CN"/>
              </w:rPr>
            </w:pPr>
            <w:r w:rsidRPr="00047A5B">
              <w:rPr>
                <w:rFonts w:ascii="Arial" w:hAnsi="Arial" w:cs="Arial"/>
                <w:sz w:val="20"/>
                <w:lang w:eastAsia="zh-CN"/>
              </w:rPr>
              <w:t>Balance fiscal primario como porcentaje del PIB</w:t>
            </w:r>
            <w:r>
              <w:rPr>
                <w:rFonts w:ascii="Arial" w:hAnsi="Arial" w:cs="Arial"/>
                <w:sz w:val="20"/>
                <w:lang w:eastAsia="zh-CN"/>
              </w:rPr>
              <w:t>.</w:t>
            </w:r>
          </w:p>
          <w:p w14:paraId="5CD4B249" w14:textId="07976957" w:rsidR="000B0F75" w:rsidRPr="000D0824" w:rsidRDefault="000B0F75" w:rsidP="000B0F75">
            <w:pPr>
              <w:spacing w:before="20" w:after="40"/>
              <w:jc w:val="both"/>
              <w:rPr>
                <w:rFonts w:ascii="Arial" w:hAnsi="Arial" w:cs="Arial"/>
                <w:sz w:val="18"/>
                <w:szCs w:val="18"/>
                <w:lang w:eastAsia="zh-CN"/>
              </w:rPr>
            </w:pPr>
            <w:r>
              <w:rPr>
                <w:rFonts w:ascii="Arial" w:hAnsi="Arial" w:cs="Arial"/>
                <w:sz w:val="20"/>
                <w:lang w:eastAsia="zh-CN"/>
              </w:rPr>
              <w:t>Línea de Base: Proyección de FMI para 2020.</w:t>
            </w:r>
          </w:p>
        </w:tc>
      </w:tr>
    </w:tbl>
    <w:p w14:paraId="37075259" w14:textId="77777777" w:rsidR="00632412" w:rsidRPr="00CE78E0" w:rsidRDefault="00632412" w:rsidP="00632412">
      <w:pPr>
        <w:jc w:val="both"/>
        <w:rPr>
          <w:rFonts w:ascii="Arial" w:hAnsi="Arial" w:cs="Arial"/>
          <w:sz w:val="22"/>
          <w:szCs w:val="22"/>
          <w:lang w:val="es-419"/>
        </w:rPr>
      </w:pPr>
    </w:p>
    <w:p w14:paraId="7BDC0E53" w14:textId="4683EB2C" w:rsidR="00930000" w:rsidRPr="009F7503" w:rsidRDefault="00930000" w:rsidP="00E940AD">
      <w:pPr>
        <w:spacing w:after="120"/>
        <w:jc w:val="both"/>
        <w:rPr>
          <w:rFonts w:ascii="Arial" w:hAnsi="Arial" w:cs="Arial"/>
          <w:b/>
          <w:bCs/>
          <w:sz w:val="22"/>
          <w:szCs w:val="22"/>
          <w:u w:val="single"/>
          <w:lang w:val="es-419"/>
        </w:rPr>
      </w:pPr>
      <w:r w:rsidRPr="009F7503">
        <w:rPr>
          <w:rFonts w:ascii="Arial" w:hAnsi="Arial" w:cs="Arial"/>
          <w:b/>
          <w:bCs/>
          <w:sz w:val="22"/>
          <w:szCs w:val="22"/>
          <w:u w:val="single"/>
          <w:lang w:val="es-419"/>
        </w:rPr>
        <w:t>Indicado</w:t>
      </w:r>
      <w:r w:rsidR="008354BA" w:rsidRPr="009F7503">
        <w:rPr>
          <w:rFonts w:ascii="Arial" w:hAnsi="Arial" w:cs="Arial"/>
          <w:b/>
          <w:bCs/>
          <w:sz w:val="22"/>
          <w:szCs w:val="22"/>
          <w:u w:val="single"/>
          <w:lang w:val="es-419"/>
        </w:rPr>
        <w:t>r</w:t>
      </w:r>
      <w:r w:rsidRPr="009F7503">
        <w:rPr>
          <w:rFonts w:ascii="Arial" w:hAnsi="Arial" w:cs="Arial"/>
          <w:b/>
          <w:bCs/>
          <w:sz w:val="22"/>
          <w:szCs w:val="22"/>
          <w:u w:val="single"/>
          <w:lang w:val="es-419"/>
        </w:rPr>
        <w:t xml:space="preserve">: </w:t>
      </w:r>
      <w:r w:rsidR="006A2A16" w:rsidRPr="000A0597">
        <w:rPr>
          <w:rFonts w:ascii="Arial" w:hAnsi="Arial" w:cs="Arial"/>
          <w:b/>
          <w:bCs/>
          <w:sz w:val="22"/>
          <w:szCs w:val="22"/>
          <w:u w:val="single"/>
          <w:lang w:val="es-419"/>
        </w:rPr>
        <w:t xml:space="preserve">Semanas en las cuales la demanda por camas en las Unidades de Cuidados Intensivos (UCI) por COVID-19 no excede la capacidad UCI del sistema de salud </w:t>
      </w:r>
    </w:p>
    <w:p w14:paraId="3B8C2A48" w14:textId="0BDB9529" w:rsidR="00594DE6" w:rsidRPr="009F7503" w:rsidRDefault="006965A3" w:rsidP="00E940AD">
      <w:pPr>
        <w:spacing w:after="120"/>
        <w:jc w:val="both"/>
        <w:rPr>
          <w:rFonts w:ascii="Arial" w:hAnsi="Arial" w:cs="Arial"/>
          <w:sz w:val="22"/>
          <w:szCs w:val="22"/>
        </w:rPr>
      </w:pPr>
      <w:r w:rsidRPr="009F7503">
        <w:rPr>
          <w:rFonts w:ascii="Arial" w:hAnsi="Arial" w:cs="Arial"/>
          <w:sz w:val="22"/>
          <w:szCs w:val="22"/>
        </w:rPr>
        <w:t>La demanda de camas UCI por pacientes COVID-19 será la suma de pacientes en estado crítico y estado grave de acuerdo a lo reportado en los boletines del observatorio. Al 29 de abril son 9 los pacientes en este estado y hay una capacidad de 238 camas UCI, la cual se está expandiendo gracias al programa de políticas</w:t>
      </w:r>
      <w:r w:rsidR="009F7503" w:rsidRPr="000A0597">
        <w:rPr>
          <w:rFonts w:ascii="Arial" w:hAnsi="Arial" w:cs="Arial"/>
          <w:sz w:val="22"/>
          <w:szCs w:val="22"/>
        </w:rPr>
        <w:t>.</w:t>
      </w:r>
    </w:p>
    <w:p w14:paraId="0F388685" w14:textId="77777777" w:rsidR="00594DE6" w:rsidRDefault="00594DE6" w:rsidP="00E940AD">
      <w:pPr>
        <w:spacing w:after="120"/>
        <w:jc w:val="both"/>
        <w:rPr>
          <w:rFonts w:ascii="Arial" w:hAnsi="Arial" w:cs="Arial"/>
          <w:sz w:val="22"/>
          <w:szCs w:val="22"/>
          <w:lang w:val="es-419"/>
        </w:rPr>
      </w:pPr>
      <w:r w:rsidRPr="009F7503">
        <w:rPr>
          <w:rFonts w:ascii="Arial" w:hAnsi="Arial" w:cs="Arial"/>
          <w:sz w:val="22"/>
          <w:szCs w:val="22"/>
          <w:lang w:val="es-419"/>
        </w:rPr>
        <w:t>Montos calculados por FUSADES-Observatorio de COVID-19 en su informe “El Salvador y el COVID-19: Datos, modelos y perspectivas”.</w:t>
      </w:r>
    </w:p>
    <w:p w14:paraId="6B336491" w14:textId="77777777" w:rsidR="008354BA" w:rsidRDefault="008354BA" w:rsidP="00E940AD">
      <w:pPr>
        <w:spacing w:after="120"/>
        <w:jc w:val="both"/>
        <w:rPr>
          <w:rFonts w:ascii="Arial" w:hAnsi="Arial" w:cs="Arial"/>
          <w:b/>
          <w:bCs/>
          <w:sz w:val="22"/>
          <w:szCs w:val="22"/>
          <w:u w:val="single"/>
          <w:lang w:val="es-419"/>
        </w:rPr>
      </w:pPr>
    </w:p>
    <w:p w14:paraId="2D2438FB" w14:textId="77ED71CB" w:rsidR="005E5956" w:rsidRPr="005E5956" w:rsidRDefault="005E5956" w:rsidP="00E940AD">
      <w:pPr>
        <w:spacing w:after="120"/>
        <w:jc w:val="both"/>
        <w:rPr>
          <w:rFonts w:ascii="Arial" w:hAnsi="Arial" w:cs="Arial"/>
          <w:sz w:val="22"/>
          <w:szCs w:val="22"/>
          <w:lang w:val="es-MX"/>
        </w:rPr>
      </w:pPr>
      <w:r w:rsidRPr="00930000">
        <w:rPr>
          <w:rFonts w:ascii="Arial" w:hAnsi="Arial" w:cs="Arial"/>
          <w:b/>
          <w:bCs/>
          <w:sz w:val="22"/>
          <w:szCs w:val="22"/>
          <w:u w:val="single"/>
          <w:lang w:val="es-419"/>
        </w:rPr>
        <w:lastRenderedPageBreak/>
        <w:t xml:space="preserve">Indicador: </w:t>
      </w:r>
      <w:r>
        <w:rPr>
          <w:rFonts w:ascii="Arial" w:hAnsi="Arial" w:cs="Arial"/>
          <w:b/>
          <w:bCs/>
          <w:sz w:val="22"/>
          <w:szCs w:val="22"/>
          <w:u w:val="single"/>
          <w:lang w:eastAsia="zh-CN"/>
        </w:rPr>
        <w:t>Balance primario</w:t>
      </w:r>
    </w:p>
    <w:p w14:paraId="5D951C9A" w14:textId="01F5EAFD" w:rsidR="00A26398" w:rsidRDefault="00632412" w:rsidP="000A0597">
      <w:pPr>
        <w:spacing w:after="120"/>
        <w:jc w:val="both"/>
        <w:rPr>
          <w:rFonts w:ascii="Arial" w:hAnsi="Arial" w:cs="Arial"/>
          <w:sz w:val="22"/>
          <w:szCs w:val="22"/>
        </w:rPr>
      </w:pPr>
      <w:r w:rsidRPr="00CE78E0">
        <w:rPr>
          <w:rFonts w:ascii="Arial" w:hAnsi="Arial" w:cs="Arial"/>
          <w:sz w:val="22"/>
          <w:szCs w:val="22"/>
        </w:rPr>
        <w:t xml:space="preserve">El balance primario fiscal se propone como medida para evaluar la evolución de la situación fiscal en el periodo post pandemia. Dicho indicador se define como la diferencia entre los Ingresos fiscales y el gasto (excluyendo el pago de intereses).  </w:t>
      </w:r>
    </w:p>
    <w:p w14:paraId="30FC4BB9" w14:textId="59F1D2DE" w:rsidR="006A1E5A" w:rsidRDefault="006A1E5A" w:rsidP="00632412">
      <w:pPr>
        <w:jc w:val="both"/>
        <w:rPr>
          <w:rFonts w:ascii="Arial" w:hAnsi="Arial" w:cs="Arial"/>
          <w:sz w:val="22"/>
          <w:szCs w:val="22"/>
        </w:rPr>
      </w:pPr>
    </w:p>
    <w:p w14:paraId="78AF8971" w14:textId="52449C03" w:rsidR="00632412" w:rsidRPr="00562C84" w:rsidRDefault="00632412" w:rsidP="006A1E5A">
      <w:pPr>
        <w:spacing w:after="120" w:line="276" w:lineRule="auto"/>
        <w:jc w:val="both"/>
        <w:rPr>
          <w:rFonts w:ascii="Arial" w:hAnsi="Arial" w:cs="Arial"/>
          <w:b/>
          <w:sz w:val="22"/>
          <w:szCs w:val="22"/>
          <w:lang w:val="es-419"/>
        </w:rPr>
      </w:pPr>
    </w:p>
    <w:p w14:paraId="6CC90D36" w14:textId="414A1EAD" w:rsidR="004327ED" w:rsidRPr="00B601F2" w:rsidRDefault="004327ED" w:rsidP="005F6EF3">
      <w:pPr>
        <w:spacing w:after="200" w:line="276" w:lineRule="auto"/>
        <w:jc w:val="center"/>
        <w:rPr>
          <w:rFonts w:ascii="Arial" w:hAnsi="Arial" w:cs="Arial"/>
          <w:b/>
          <w:sz w:val="22"/>
          <w:szCs w:val="22"/>
          <w:lang w:val="es-MX"/>
        </w:rPr>
      </w:pPr>
      <w:r w:rsidRPr="00B601F2">
        <w:rPr>
          <w:rFonts w:ascii="Arial" w:hAnsi="Arial" w:cs="Arial"/>
          <w:b/>
          <w:sz w:val="22"/>
          <w:szCs w:val="22"/>
          <w:lang w:val="es-MX"/>
        </w:rPr>
        <w:t xml:space="preserve">ANEXO </w:t>
      </w:r>
      <w:r w:rsidR="00E940AD">
        <w:rPr>
          <w:rFonts w:ascii="Arial" w:hAnsi="Arial" w:cs="Arial"/>
          <w:b/>
          <w:sz w:val="22"/>
          <w:szCs w:val="22"/>
          <w:lang w:val="es-MX"/>
        </w:rPr>
        <w:t>2</w:t>
      </w:r>
    </w:p>
    <w:p w14:paraId="6CC90D38" w14:textId="60A02875" w:rsidR="004327ED" w:rsidRPr="00D97056" w:rsidRDefault="004327ED" w:rsidP="005A0ED4">
      <w:pPr>
        <w:spacing w:line="276" w:lineRule="auto"/>
        <w:jc w:val="center"/>
        <w:rPr>
          <w:rFonts w:ascii="Arial" w:hAnsi="Arial" w:cs="Arial"/>
          <w:b/>
          <w:caps/>
          <w:sz w:val="22"/>
          <w:szCs w:val="22"/>
          <w:lang w:val="es-ES"/>
        </w:rPr>
      </w:pPr>
      <w:r w:rsidRPr="00D97056">
        <w:rPr>
          <w:rFonts w:ascii="Arial" w:hAnsi="Arial" w:cs="Arial"/>
          <w:b/>
          <w:caps/>
          <w:sz w:val="22"/>
          <w:szCs w:val="22"/>
          <w:lang w:val="es-ES"/>
        </w:rPr>
        <w:t xml:space="preserve">Consultoria para la evaluacion </w:t>
      </w:r>
      <w:r w:rsidR="00331257">
        <w:rPr>
          <w:rFonts w:ascii="Arial" w:hAnsi="Arial" w:cs="Arial"/>
          <w:b/>
          <w:caps/>
          <w:sz w:val="22"/>
          <w:szCs w:val="22"/>
          <w:lang w:val="es-ES"/>
        </w:rPr>
        <w:t xml:space="preserve">ex post </w:t>
      </w:r>
    </w:p>
    <w:p w14:paraId="6CC90D39" w14:textId="77777777" w:rsidR="006D2995" w:rsidRDefault="006D2995" w:rsidP="004327ED">
      <w:pPr>
        <w:spacing w:line="360" w:lineRule="auto"/>
        <w:jc w:val="center"/>
        <w:rPr>
          <w:rFonts w:ascii="Arial" w:hAnsi="Arial" w:cs="Arial"/>
          <w:b/>
          <w:caps/>
          <w:sz w:val="22"/>
          <w:szCs w:val="22"/>
          <w:lang w:val="es-ES"/>
        </w:rPr>
      </w:pPr>
    </w:p>
    <w:p w14:paraId="6CC90D3A" w14:textId="77777777" w:rsidR="004327ED" w:rsidRPr="00D97056" w:rsidRDefault="004327ED" w:rsidP="004327ED">
      <w:pPr>
        <w:spacing w:line="360" w:lineRule="auto"/>
        <w:jc w:val="center"/>
        <w:rPr>
          <w:rFonts w:ascii="Arial" w:hAnsi="Arial" w:cs="Arial"/>
          <w:b/>
          <w:caps/>
          <w:sz w:val="22"/>
          <w:szCs w:val="22"/>
          <w:lang w:val="es-ES"/>
        </w:rPr>
      </w:pPr>
      <w:r w:rsidRPr="00D97056">
        <w:rPr>
          <w:rFonts w:ascii="Arial" w:hAnsi="Arial" w:cs="Arial"/>
          <w:b/>
          <w:caps/>
          <w:sz w:val="22"/>
          <w:szCs w:val="22"/>
          <w:lang w:val="es-ES"/>
        </w:rPr>
        <w:t>Borrador de TéRminos de referencia</w:t>
      </w:r>
    </w:p>
    <w:p w14:paraId="6CC90D3B" w14:textId="58E5AA82" w:rsidR="004327ED" w:rsidRDefault="004327ED" w:rsidP="00343BA8">
      <w:pPr>
        <w:spacing w:line="360" w:lineRule="auto"/>
        <w:jc w:val="both"/>
        <w:rPr>
          <w:rFonts w:ascii="Arial" w:hAnsi="Arial" w:cs="Arial"/>
          <w:b/>
          <w:sz w:val="22"/>
          <w:szCs w:val="22"/>
          <w:lang w:val="es-ES"/>
        </w:rPr>
      </w:pPr>
    </w:p>
    <w:p w14:paraId="1DE7DE6F" w14:textId="77777777" w:rsidR="00343BA8" w:rsidRPr="00343BA8" w:rsidRDefault="00343BA8" w:rsidP="00343BA8">
      <w:pPr>
        <w:spacing w:after="120"/>
        <w:rPr>
          <w:rFonts w:ascii="Arial" w:hAnsi="Arial" w:cs="Arial"/>
          <w:b/>
          <w:bCs/>
          <w:sz w:val="22"/>
          <w:szCs w:val="22"/>
        </w:rPr>
      </w:pPr>
      <w:r w:rsidRPr="00343BA8">
        <w:rPr>
          <w:rFonts w:ascii="Arial" w:hAnsi="Arial" w:cs="Arial"/>
          <w:b/>
          <w:bCs/>
          <w:sz w:val="22"/>
          <w:szCs w:val="22"/>
          <w:u w:val="single"/>
        </w:rPr>
        <w:t>Contexto de la búsqueda:</w:t>
      </w:r>
      <w:r w:rsidRPr="00343BA8">
        <w:rPr>
          <w:rFonts w:ascii="Arial" w:hAnsi="Arial" w:cs="Arial"/>
          <w:b/>
          <w:bCs/>
          <w:sz w:val="22"/>
          <w:szCs w:val="22"/>
        </w:rPr>
        <w:t xml:space="preserve"> </w:t>
      </w:r>
    </w:p>
    <w:p w14:paraId="3AD21E7A" w14:textId="545BAA7B" w:rsidR="0091305B" w:rsidRDefault="00EC2771" w:rsidP="00EC2771">
      <w:pPr>
        <w:pStyle w:val="Paragraph"/>
        <w:numPr>
          <w:ilvl w:val="0"/>
          <w:numId w:val="0"/>
        </w:numPr>
        <w:rPr>
          <w:rFonts w:ascii="Arial" w:hAnsi="Arial" w:cs="Arial"/>
          <w:spacing w:val="-4"/>
          <w:sz w:val="22"/>
          <w:szCs w:val="22"/>
          <w:lang w:val="es-MX"/>
        </w:rPr>
      </w:pPr>
      <w:r w:rsidRPr="004F4C2D">
        <w:rPr>
          <w:rFonts w:ascii="Arial" w:hAnsi="Arial" w:cs="Arial"/>
          <w:sz w:val="22"/>
          <w:szCs w:val="22"/>
          <w:lang w:val="es-MX"/>
        </w:rPr>
        <w:t>La pandemia del coronavirus</w:t>
      </w:r>
      <w:r>
        <w:rPr>
          <w:rFonts w:ascii="Arial" w:hAnsi="Arial" w:cs="Arial"/>
          <w:sz w:val="22"/>
          <w:szCs w:val="22"/>
          <w:lang w:val="es-MX"/>
        </w:rPr>
        <w:t xml:space="preserve"> que</w:t>
      </w:r>
      <w:r w:rsidRPr="004F4C2D">
        <w:rPr>
          <w:rFonts w:ascii="Arial" w:hAnsi="Arial" w:cs="Arial"/>
          <w:sz w:val="22"/>
          <w:szCs w:val="22"/>
          <w:lang w:val="es-MX"/>
        </w:rPr>
        <w:t xml:space="preserve"> comenzó a fin</w:t>
      </w:r>
      <w:r>
        <w:rPr>
          <w:rFonts w:ascii="Arial" w:hAnsi="Arial" w:cs="Arial"/>
          <w:sz w:val="22"/>
          <w:szCs w:val="22"/>
          <w:lang w:val="es-MX"/>
        </w:rPr>
        <w:t>al</w:t>
      </w:r>
      <w:r w:rsidRPr="004F4C2D">
        <w:rPr>
          <w:rFonts w:ascii="Arial" w:hAnsi="Arial" w:cs="Arial"/>
          <w:sz w:val="22"/>
          <w:szCs w:val="22"/>
          <w:lang w:val="es-MX"/>
        </w:rPr>
        <w:t xml:space="preserve">es de 2019 en China </w:t>
      </w:r>
      <w:r>
        <w:rPr>
          <w:rFonts w:ascii="Arial" w:hAnsi="Arial" w:cs="Arial"/>
          <w:sz w:val="22"/>
          <w:szCs w:val="22"/>
          <w:lang w:val="es-MX"/>
        </w:rPr>
        <w:t>se propagó</w:t>
      </w:r>
      <w:r w:rsidRPr="004F4C2D">
        <w:rPr>
          <w:rFonts w:ascii="Arial" w:hAnsi="Arial" w:cs="Arial"/>
          <w:sz w:val="22"/>
          <w:szCs w:val="22"/>
          <w:lang w:val="es-MX"/>
        </w:rPr>
        <w:t xml:space="preserve"> muy rápidamente en el resto del mundo</w:t>
      </w:r>
      <w:r>
        <w:rPr>
          <w:rFonts w:ascii="Arial" w:hAnsi="Arial" w:cs="Arial"/>
          <w:sz w:val="22"/>
          <w:szCs w:val="22"/>
          <w:lang w:val="es-MX"/>
        </w:rPr>
        <w:t>, incluyendo en América Latina y el Caribe</w:t>
      </w:r>
      <w:r w:rsidR="00B21629">
        <w:rPr>
          <w:rFonts w:ascii="Arial" w:hAnsi="Arial" w:cs="Arial"/>
          <w:sz w:val="22"/>
          <w:szCs w:val="22"/>
          <w:lang w:val="es-MX"/>
        </w:rPr>
        <w:t xml:space="preserve"> (ALC)</w:t>
      </w:r>
      <w:r>
        <w:rPr>
          <w:rFonts w:ascii="Arial" w:hAnsi="Arial" w:cs="Arial"/>
          <w:sz w:val="22"/>
          <w:szCs w:val="22"/>
        </w:rPr>
        <w:t xml:space="preserve">. </w:t>
      </w:r>
      <w:r w:rsidRPr="004F4C2D">
        <w:rPr>
          <w:rFonts w:ascii="Arial" w:hAnsi="Arial" w:cs="Arial"/>
          <w:sz w:val="22"/>
          <w:szCs w:val="22"/>
          <w:lang w:val="es-MX"/>
        </w:rPr>
        <w:t>Para contener el avance del virus</w:t>
      </w:r>
      <w:r>
        <w:rPr>
          <w:rFonts w:ascii="Arial" w:hAnsi="Arial" w:cs="Arial"/>
          <w:sz w:val="22"/>
          <w:szCs w:val="22"/>
          <w:lang w:val="es-MX"/>
        </w:rPr>
        <w:t xml:space="preserve"> y salvar vidas</w:t>
      </w:r>
      <w:r w:rsidRPr="004F4C2D">
        <w:rPr>
          <w:rFonts w:ascii="Arial" w:hAnsi="Arial" w:cs="Arial"/>
          <w:sz w:val="22"/>
          <w:szCs w:val="22"/>
          <w:lang w:val="es-MX"/>
        </w:rPr>
        <w:t>,</w:t>
      </w:r>
      <w:r>
        <w:rPr>
          <w:rFonts w:ascii="Arial" w:hAnsi="Arial" w:cs="Arial"/>
          <w:sz w:val="22"/>
          <w:szCs w:val="22"/>
          <w:lang w:val="es-MX"/>
        </w:rPr>
        <w:t xml:space="preserve"> los países de la </w:t>
      </w:r>
      <w:r w:rsidRPr="005A6CB7">
        <w:rPr>
          <w:rFonts w:ascii="Arial" w:hAnsi="Arial" w:cs="Arial"/>
          <w:sz w:val="22"/>
          <w:szCs w:val="22"/>
          <w:lang w:val="es-MX"/>
        </w:rPr>
        <w:t>región introdu</w:t>
      </w:r>
      <w:r>
        <w:rPr>
          <w:rFonts w:ascii="Arial" w:hAnsi="Arial" w:cs="Arial"/>
          <w:sz w:val="22"/>
          <w:szCs w:val="22"/>
          <w:lang w:val="es-MX"/>
        </w:rPr>
        <w:t>jeron</w:t>
      </w:r>
      <w:r w:rsidRPr="005A6CB7">
        <w:rPr>
          <w:rFonts w:ascii="Arial" w:hAnsi="Arial" w:cs="Arial"/>
          <w:sz w:val="22"/>
          <w:szCs w:val="22"/>
          <w:lang w:val="es-MX"/>
        </w:rPr>
        <w:t xml:space="preserve"> medidas de contención de la propagación del virus, tales </w:t>
      </w:r>
      <w:r w:rsidRPr="005A6CB7">
        <w:rPr>
          <w:rFonts w:ascii="Arial" w:hAnsi="Arial" w:cs="Arial"/>
          <w:color w:val="000000"/>
          <w:sz w:val="22"/>
          <w:szCs w:val="22"/>
          <w:shd w:val="clear" w:color="auto" w:fill="FFFFFF"/>
        </w:rPr>
        <w:t>como el cierre de fronteras, prohibición de aglomeración de personas y otras medidas de distanciamiento social</w:t>
      </w:r>
      <w:r>
        <w:rPr>
          <w:rFonts w:ascii="Arial" w:hAnsi="Arial" w:cs="Arial"/>
          <w:color w:val="000000"/>
          <w:sz w:val="22"/>
          <w:szCs w:val="22"/>
          <w:shd w:val="clear" w:color="auto" w:fill="FFFFFF"/>
        </w:rPr>
        <w:t>, con el fin de aplanar la curva de contagio</w:t>
      </w:r>
      <w:r>
        <w:rPr>
          <w:rFonts w:ascii="Arial" w:hAnsi="Arial" w:cs="Arial"/>
          <w:sz w:val="22"/>
          <w:szCs w:val="22"/>
          <w:lang w:val="es-MX"/>
        </w:rPr>
        <w:t>.</w:t>
      </w:r>
      <w:r w:rsidRPr="005A6CB7">
        <w:rPr>
          <w:rFonts w:ascii="Arial" w:hAnsi="Arial" w:cs="Arial"/>
          <w:sz w:val="22"/>
          <w:szCs w:val="22"/>
          <w:lang w:val="es-MX"/>
        </w:rPr>
        <w:t xml:space="preserve"> </w:t>
      </w:r>
      <w:r w:rsidR="0091305B" w:rsidRPr="008A55B8">
        <w:rPr>
          <w:rFonts w:ascii="Arial" w:hAnsi="Arial" w:cs="Arial"/>
          <w:spacing w:val="-4"/>
          <w:sz w:val="22"/>
          <w:szCs w:val="22"/>
          <w:lang w:val="es-MX"/>
        </w:rPr>
        <w:t>Las medidas de contención sanitaria, necesarias para salvar vidas, requir</w:t>
      </w:r>
      <w:r w:rsidR="0091305B">
        <w:rPr>
          <w:rFonts w:ascii="Arial" w:hAnsi="Arial" w:cs="Arial"/>
          <w:spacing w:val="-4"/>
          <w:sz w:val="22"/>
          <w:szCs w:val="22"/>
          <w:lang w:val="es-MX"/>
        </w:rPr>
        <w:t>ieron</w:t>
      </w:r>
      <w:r w:rsidR="0091305B" w:rsidRPr="008A55B8">
        <w:rPr>
          <w:rFonts w:ascii="Arial" w:hAnsi="Arial" w:cs="Arial"/>
          <w:spacing w:val="-4"/>
          <w:sz w:val="22"/>
          <w:szCs w:val="22"/>
          <w:lang w:val="es-MX"/>
        </w:rPr>
        <w:t xml:space="preserve"> de una disminución en la presencia económica y laboral de los hogares, lo que conllev</w:t>
      </w:r>
      <w:r w:rsidR="0091305B">
        <w:rPr>
          <w:rFonts w:ascii="Arial" w:hAnsi="Arial" w:cs="Arial"/>
          <w:spacing w:val="-4"/>
          <w:sz w:val="22"/>
          <w:szCs w:val="22"/>
          <w:lang w:val="es-MX"/>
        </w:rPr>
        <w:t>ó</w:t>
      </w:r>
      <w:r w:rsidR="0091305B" w:rsidRPr="008A55B8">
        <w:rPr>
          <w:rFonts w:ascii="Arial" w:hAnsi="Arial" w:cs="Arial"/>
          <w:spacing w:val="-4"/>
          <w:sz w:val="22"/>
          <w:szCs w:val="22"/>
          <w:lang w:val="es-MX"/>
        </w:rPr>
        <w:t xml:space="preserve"> a una caída en la actividad económica. Esto</w:t>
      </w:r>
      <w:r w:rsidR="0091305B">
        <w:rPr>
          <w:rFonts w:ascii="Arial" w:hAnsi="Arial" w:cs="Arial"/>
          <w:spacing w:val="-4"/>
          <w:sz w:val="22"/>
          <w:szCs w:val="22"/>
          <w:lang w:val="es-MX"/>
        </w:rPr>
        <w:t>,</w:t>
      </w:r>
      <w:r w:rsidR="0091305B" w:rsidRPr="008A55B8">
        <w:rPr>
          <w:rFonts w:ascii="Arial" w:hAnsi="Arial" w:cs="Arial"/>
          <w:spacing w:val="-4"/>
          <w:sz w:val="22"/>
          <w:szCs w:val="22"/>
          <w:lang w:val="es-MX"/>
        </w:rPr>
        <w:t xml:space="preserve"> a su vez</w:t>
      </w:r>
      <w:r w:rsidR="0091305B">
        <w:rPr>
          <w:rFonts w:ascii="Arial" w:hAnsi="Arial" w:cs="Arial"/>
          <w:spacing w:val="-4"/>
          <w:sz w:val="22"/>
          <w:szCs w:val="22"/>
          <w:lang w:val="es-MX"/>
        </w:rPr>
        <w:t>,</w:t>
      </w:r>
      <w:r w:rsidR="0091305B" w:rsidRPr="008A55B8">
        <w:rPr>
          <w:rFonts w:ascii="Arial" w:hAnsi="Arial" w:cs="Arial"/>
          <w:spacing w:val="-4"/>
          <w:sz w:val="22"/>
          <w:szCs w:val="22"/>
          <w:lang w:val="es-MX"/>
        </w:rPr>
        <w:t xml:space="preserve"> caus</w:t>
      </w:r>
      <w:r w:rsidR="0091305B">
        <w:rPr>
          <w:rFonts w:ascii="Arial" w:hAnsi="Arial" w:cs="Arial"/>
          <w:spacing w:val="-4"/>
          <w:sz w:val="22"/>
          <w:szCs w:val="22"/>
          <w:lang w:val="es-MX"/>
        </w:rPr>
        <w:t>ó</w:t>
      </w:r>
      <w:r w:rsidR="0091305B" w:rsidRPr="008A55B8">
        <w:rPr>
          <w:rFonts w:ascii="Arial" w:hAnsi="Arial" w:cs="Arial"/>
          <w:spacing w:val="-4"/>
          <w:sz w:val="22"/>
          <w:szCs w:val="22"/>
          <w:lang w:val="es-MX"/>
        </w:rPr>
        <w:t xml:space="preserve"> pérdidas de empleo y el cierre de firmas, impactando el ingreso y bienestar</w:t>
      </w:r>
      <w:r w:rsidR="0091305B" w:rsidRPr="00C910BB">
        <w:rPr>
          <w:rFonts w:ascii="Arial" w:hAnsi="Arial" w:cs="Arial"/>
          <w:spacing w:val="-4"/>
          <w:sz w:val="22"/>
          <w:szCs w:val="22"/>
          <w:lang w:val="es-MX"/>
        </w:rPr>
        <w:t xml:space="preserve"> de los ho</w:t>
      </w:r>
      <w:r w:rsidR="0091305B" w:rsidRPr="008A55B8">
        <w:rPr>
          <w:rFonts w:ascii="Arial" w:hAnsi="Arial" w:cs="Arial"/>
          <w:spacing w:val="-4"/>
          <w:sz w:val="22"/>
          <w:szCs w:val="22"/>
          <w:lang w:val="es-MX"/>
        </w:rPr>
        <w:t xml:space="preserve">gares. </w:t>
      </w:r>
    </w:p>
    <w:p w14:paraId="2514D533" w14:textId="483E52E8" w:rsidR="0091305B" w:rsidRDefault="0091305B" w:rsidP="00EC2771">
      <w:pPr>
        <w:pStyle w:val="Paragraph"/>
        <w:numPr>
          <w:ilvl w:val="0"/>
          <w:numId w:val="0"/>
        </w:numPr>
        <w:rPr>
          <w:rFonts w:ascii="Arial" w:hAnsi="Arial" w:cs="Arial"/>
          <w:spacing w:val="-4"/>
          <w:sz w:val="22"/>
          <w:szCs w:val="22"/>
        </w:rPr>
      </w:pPr>
      <w:r w:rsidRPr="008A55B8">
        <w:rPr>
          <w:rFonts w:ascii="Arial" w:hAnsi="Arial" w:cs="Arial"/>
          <w:sz w:val="22"/>
          <w:szCs w:val="22"/>
          <w:lang w:val="es-MX"/>
        </w:rPr>
        <w:t>La política y la gestión fiscal ju</w:t>
      </w:r>
      <w:r>
        <w:rPr>
          <w:rFonts w:ascii="Arial" w:hAnsi="Arial" w:cs="Arial"/>
          <w:sz w:val="22"/>
          <w:szCs w:val="22"/>
          <w:lang w:val="es-MX"/>
        </w:rPr>
        <w:t>e</w:t>
      </w:r>
      <w:r w:rsidRPr="008A55B8">
        <w:rPr>
          <w:rFonts w:ascii="Arial" w:hAnsi="Arial" w:cs="Arial"/>
          <w:sz w:val="22"/>
          <w:szCs w:val="22"/>
          <w:lang w:val="es-MX"/>
        </w:rPr>
        <w:t>ga</w:t>
      </w:r>
      <w:r>
        <w:rPr>
          <w:rFonts w:ascii="Arial" w:hAnsi="Arial" w:cs="Arial"/>
          <w:sz w:val="22"/>
          <w:szCs w:val="22"/>
          <w:lang w:val="es-MX"/>
        </w:rPr>
        <w:t>n</w:t>
      </w:r>
      <w:r w:rsidRPr="008A55B8">
        <w:rPr>
          <w:rFonts w:ascii="Arial" w:hAnsi="Arial" w:cs="Arial"/>
          <w:sz w:val="22"/>
          <w:szCs w:val="22"/>
          <w:lang w:val="es-MX"/>
        </w:rPr>
        <w:t xml:space="preserve"> un rol </w:t>
      </w:r>
      <w:r w:rsidRPr="00AE0778">
        <w:rPr>
          <w:rFonts w:ascii="Arial" w:hAnsi="Arial" w:cs="Arial"/>
          <w:sz w:val="22"/>
          <w:szCs w:val="22"/>
          <w:lang w:val="es-MX"/>
        </w:rPr>
        <w:t>cru</w:t>
      </w:r>
      <w:r w:rsidRPr="00D0595D">
        <w:rPr>
          <w:rFonts w:ascii="Arial" w:hAnsi="Arial" w:cs="Arial"/>
          <w:sz w:val="22"/>
          <w:szCs w:val="22"/>
          <w:lang w:val="es-MX"/>
        </w:rPr>
        <w:t xml:space="preserve">cial </w:t>
      </w:r>
      <w:r>
        <w:rPr>
          <w:rFonts w:ascii="Arial" w:hAnsi="Arial" w:cs="Arial"/>
          <w:sz w:val="22"/>
          <w:szCs w:val="22"/>
          <w:lang w:val="es-MX"/>
        </w:rPr>
        <w:t>durante las</w:t>
      </w:r>
      <w:r w:rsidRPr="00584B3C">
        <w:rPr>
          <w:rFonts w:ascii="Arial" w:hAnsi="Arial" w:cs="Arial"/>
          <w:sz w:val="22"/>
          <w:szCs w:val="22"/>
          <w:lang w:val="es-MX"/>
        </w:rPr>
        <w:t xml:space="preserve"> </w:t>
      </w:r>
      <w:r>
        <w:rPr>
          <w:rFonts w:ascii="Arial" w:hAnsi="Arial" w:cs="Arial"/>
          <w:sz w:val="22"/>
          <w:szCs w:val="22"/>
          <w:lang w:val="es-MX"/>
        </w:rPr>
        <w:t>emergencias sanitarias</w:t>
      </w:r>
      <w:r w:rsidR="00B21629">
        <w:rPr>
          <w:rFonts w:ascii="Arial" w:hAnsi="Arial" w:cs="Arial"/>
          <w:sz w:val="22"/>
          <w:szCs w:val="22"/>
          <w:lang w:val="es-MX"/>
        </w:rPr>
        <w:t>, principalmente</w:t>
      </w:r>
      <w:r>
        <w:rPr>
          <w:rFonts w:ascii="Arial" w:hAnsi="Arial" w:cs="Arial"/>
          <w:sz w:val="22"/>
          <w:szCs w:val="22"/>
          <w:lang w:val="es-MX"/>
        </w:rPr>
        <w:t xml:space="preserve"> por dos vías. Por un lado, permiten asignar</w:t>
      </w:r>
      <w:r w:rsidRPr="00FF011C">
        <w:rPr>
          <w:rFonts w:ascii="Arial" w:hAnsi="Arial" w:cs="Arial"/>
          <w:spacing w:val="-4"/>
          <w:sz w:val="22"/>
          <w:szCs w:val="22"/>
          <w:lang w:val="es-MX"/>
        </w:rPr>
        <w:t xml:space="preserve"> </w:t>
      </w:r>
      <w:r w:rsidRPr="00FF011C">
        <w:rPr>
          <w:rFonts w:ascii="Arial" w:hAnsi="Arial" w:cs="Arial"/>
          <w:sz w:val="22"/>
          <w:szCs w:val="22"/>
        </w:rPr>
        <w:t>recursos</w:t>
      </w:r>
      <w:r>
        <w:rPr>
          <w:rFonts w:ascii="Arial" w:hAnsi="Arial" w:cs="Arial"/>
          <w:sz w:val="22"/>
          <w:szCs w:val="22"/>
        </w:rPr>
        <w:t xml:space="preserve"> materiales y financieros</w:t>
      </w:r>
      <w:r w:rsidRPr="00FF011C">
        <w:rPr>
          <w:rFonts w:ascii="Arial" w:hAnsi="Arial" w:cs="Arial"/>
          <w:sz w:val="22"/>
          <w:szCs w:val="22"/>
        </w:rPr>
        <w:t xml:space="preserve"> </w:t>
      </w:r>
      <w:r>
        <w:rPr>
          <w:rFonts w:ascii="Arial" w:hAnsi="Arial" w:cs="Arial"/>
          <w:sz w:val="22"/>
          <w:szCs w:val="22"/>
        </w:rPr>
        <w:t xml:space="preserve">de manera oportuna y urgente </w:t>
      </w:r>
      <w:r w:rsidRPr="00FF011C">
        <w:rPr>
          <w:rFonts w:ascii="Arial" w:hAnsi="Arial" w:cs="Arial"/>
          <w:sz w:val="22"/>
          <w:szCs w:val="22"/>
        </w:rPr>
        <w:t>para atender emergencia</w:t>
      </w:r>
      <w:r>
        <w:rPr>
          <w:rFonts w:ascii="Arial" w:hAnsi="Arial" w:cs="Arial"/>
          <w:sz w:val="22"/>
          <w:szCs w:val="22"/>
        </w:rPr>
        <w:t>s</w:t>
      </w:r>
      <w:r w:rsidRPr="00FF011C">
        <w:rPr>
          <w:rFonts w:ascii="Arial" w:hAnsi="Arial" w:cs="Arial"/>
          <w:sz w:val="22"/>
          <w:szCs w:val="22"/>
        </w:rPr>
        <w:t xml:space="preserve"> sanitaria</w:t>
      </w:r>
      <w:r>
        <w:rPr>
          <w:rFonts w:ascii="Arial" w:hAnsi="Arial" w:cs="Arial"/>
          <w:sz w:val="22"/>
          <w:szCs w:val="22"/>
        </w:rPr>
        <w:t>s</w:t>
      </w:r>
      <w:r w:rsidRPr="00FF011C">
        <w:rPr>
          <w:rFonts w:ascii="Arial" w:hAnsi="Arial" w:cs="Arial"/>
          <w:sz w:val="22"/>
          <w:szCs w:val="22"/>
        </w:rPr>
        <w:t xml:space="preserve">. </w:t>
      </w:r>
      <w:r>
        <w:rPr>
          <w:rFonts w:ascii="Arial" w:hAnsi="Arial" w:cs="Arial"/>
          <w:sz w:val="22"/>
          <w:szCs w:val="22"/>
        </w:rPr>
        <w:t xml:space="preserve">Por otro lado, permiten proteger </w:t>
      </w:r>
      <w:r w:rsidRPr="008A55B8">
        <w:rPr>
          <w:rFonts w:ascii="Arial" w:hAnsi="Arial" w:cs="Arial"/>
          <w:sz w:val="22"/>
          <w:szCs w:val="22"/>
          <w:lang w:val="es-MX"/>
        </w:rPr>
        <w:t xml:space="preserve">los ingresos de los hogares </w:t>
      </w:r>
      <w:r w:rsidRPr="00AE0778">
        <w:rPr>
          <w:rFonts w:ascii="Arial" w:hAnsi="Arial" w:cs="Arial"/>
          <w:sz w:val="22"/>
          <w:szCs w:val="22"/>
        </w:rPr>
        <w:t>m</w:t>
      </w:r>
      <w:r w:rsidRPr="00D0595D">
        <w:rPr>
          <w:rFonts w:ascii="Arial" w:hAnsi="Arial" w:cs="Arial"/>
          <w:sz w:val="22"/>
          <w:szCs w:val="22"/>
        </w:rPr>
        <w:t>ás v</w:t>
      </w:r>
      <w:r w:rsidRPr="00584B3C">
        <w:rPr>
          <w:rFonts w:ascii="Arial" w:hAnsi="Arial" w:cs="Arial"/>
          <w:sz w:val="22"/>
          <w:szCs w:val="22"/>
        </w:rPr>
        <w:t>ulnerables</w:t>
      </w:r>
      <w:r w:rsidRPr="00584B3C">
        <w:rPr>
          <w:rFonts w:ascii="Arial" w:hAnsi="Arial" w:cs="Arial"/>
          <w:sz w:val="22"/>
          <w:szCs w:val="22"/>
          <w:lang w:val="es-MX"/>
        </w:rPr>
        <w:t xml:space="preserve"> y reduci</w:t>
      </w:r>
      <w:r w:rsidR="00B21629">
        <w:rPr>
          <w:rFonts w:ascii="Arial" w:hAnsi="Arial" w:cs="Arial"/>
          <w:sz w:val="22"/>
          <w:szCs w:val="22"/>
          <w:lang w:val="es-MX"/>
        </w:rPr>
        <w:t>r</w:t>
      </w:r>
      <w:r w:rsidRPr="00584B3C">
        <w:rPr>
          <w:rFonts w:ascii="Arial" w:hAnsi="Arial" w:cs="Arial"/>
          <w:sz w:val="22"/>
          <w:szCs w:val="22"/>
          <w:lang w:val="es-MX"/>
        </w:rPr>
        <w:t xml:space="preserve"> los problemas de liquidez de las firmas</w:t>
      </w:r>
      <w:r>
        <w:rPr>
          <w:rFonts w:ascii="Arial" w:hAnsi="Arial" w:cs="Arial"/>
          <w:sz w:val="22"/>
          <w:szCs w:val="22"/>
          <w:lang w:val="es-MX"/>
        </w:rPr>
        <w:t xml:space="preserve">, reduciendo </w:t>
      </w:r>
      <w:r w:rsidR="00B21629">
        <w:rPr>
          <w:rFonts w:ascii="Arial" w:hAnsi="Arial" w:cs="Arial"/>
          <w:sz w:val="22"/>
          <w:szCs w:val="22"/>
          <w:lang w:val="es-MX"/>
        </w:rPr>
        <w:t xml:space="preserve">de esta manera </w:t>
      </w:r>
      <w:r>
        <w:rPr>
          <w:rFonts w:ascii="Arial" w:hAnsi="Arial" w:cs="Arial"/>
          <w:sz w:val="22"/>
          <w:szCs w:val="22"/>
          <w:lang w:val="es-MX"/>
        </w:rPr>
        <w:t>el costo de la emergencia para las familias</w:t>
      </w:r>
      <w:r w:rsidRPr="00584B3C">
        <w:rPr>
          <w:rFonts w:ascii="Arial" w:hAnsi="Arial" w:cs="Arial"/>
          <w:sz w:val="22"/>
          <w:szCs w:val="22"/>
          <w:lang w:val="es-MX"/>
        </w:rPr>
        <w:t xml:space="preserve">. No obstante, </w:t>
      </w:r>
      <w:r w:rsidRPr="00584B3C">
        <w:rPr>
          <w:rFonts w:ascii="Arial" w:hAnsi="Arial" w:cs="Arial"/>
          <w:sz w:val="22"/>
          <w:szCs w:val="22"/>
        </w:rPr>
        <w:t xml:space="preserve">el buen diseño de intervenciones fiscales durante periodos de emergencia presenta </w:t>
      </w:r>
      <w:r>
        <w:rPr>
          <w:rFonts w:ascii="Arial" w:hAnsi="Arial" w:cs="Arial"/>
          <w:sz w:val="22"/>
          <w:szCs w:val="22"/>
        </w:rPr>
        <w:t xml:space="preserve">grandes </w:t>
      </w:r>
      <w:r w:rsidRPr="00584B3C">
        <w:rPr>
          <w:rFonts w:ascii="Arial" w:hAnsi="Arial" w:cs="Arial"/>
          <w:sz w:val="22"/>
          <w:szCs w:val="22"/>
        </w:rPr>
        <w:t>desafíos, ya que no todas las intervenciones son igualmente eficientes y eficaces, ni tienen el mismo costo.</w:t>
      </w:r>
    </w:p>
    <w:p w14:paraId="6CDDF57B" w14:textId="2D221076" w:rsidR="00EC2771" w:rsidRPr="0091305B" w:rsidRDefault="0091305B" w:rsidP="00EC2771">
      <w:pPr>
        <w:pStyle w:val="Paragraph"/>
        <w:numPr>
          <w:ilvl w:val="0"/>
          <w:numId w:val="0"/>
        </w:numPr>
        <w:rPr>
          <w:rFonts w:ascii="Arial" w:eastAsia="Arial" w:hAnsi="Arial" w:cs="Arial"/>
          <w:sz w:val="22"/>
          <w:szCs w:val="22"/>
        </w:rPr>
      </w:pPr>
      <w:r>
        <w:rPr>
          <w:rFonts w:ascii="Arial" w:eastAsia="Arial" w:hAnsi="Arial" w:cs="Arial"/>
          <w:sz w:val="22"/>
          <w:szCs w:val="22"/>
        </w:rPr>
        <w:t>Para apoyar a</w:t>
      </w:r>
      <w:r w:rsidR="00D360E5">
        <w:rPr>
          <w:rFonts w:ascii="Arial" w:eastAsia="Arial" w:hAnsi="Arial" w:cs="Arial"/>
          <w:sz w:val="22"/>
          <w:szCs w:val="22"/>
        </w:rPr>
        <w:t xml:space="preserve"> </w:t>
      </w:r>
      <w:r w:rsidR="008949D2">
        <w:rPr>
          <w:rFonts w:ascii="Arial" w:eastAsia="Arial" w:hAnsi="Arial" w:cs="Arial"/>
          <w:sz w:val="22"/>
          <w:szCs w:val="22"/>
        </w:rPr>
        <w:t>El Salvador</w:t>
      </w:r>
      <w:r w:rsidR="00EC2771" w:rsidRPr="004F4C2D">
        <w:rPr>
          <w:rFonts w:ascii="Arial" w:eastAsia="Arial" w:hAnsi="Arial" w:cs="Arial"/>
          <w:sz w:val="22"/>
          <w:szCs w:val="22"/>
        </w:rPr>
        <w:t xml:space="preserve"> </w:t>
      </w:r>
      <w:r>
        <w:rPr>
          <w:rFonts w:ascii="Arial" w:eastAsia="Arial" w:hAnsi="Arial" w:cs="Arial"/>
          <w:sz w:val="22"/>
          <w:szCs w:val="22"/>
        </w:rPr>
        <w:t xml:space="preserve">a </w:t>
      </w:r>
      <w:r w:rsidR="00EC2771">
        <w:rPr>
          <w:rFonts w:ascii="Arial" w:eastAsia="Arial" w:hAnsi="Arial" w:cs="Arial"/>
          <w:sz w:val="22"/>
          <w:szCs w:val="22"/>
        </w:rPr>
        <w:t>incrementar la eficiencia, eficacia y equidad de la</w:t>
      </w:r>
      <w:r w:rsidR="00EC2771" w:rsidRPr="004F4C2D">
        <w:rPr>
          <w:rFonts w:ascii="Arial" w:eastAsia="Arial" w:hAnsi="Arial" w:cs="Arial"/>
          <w:sz w:val="22"/>
          <w:szCs w:val="22"/>
        </w:rPr>
        <w:t xml:space="preserve"> política y gestión fiscal para atender la crisis sanitaria y económica causada por el coronavirus</w:t>
      </w:r>
      <w:r>
        <w:rPr>
          <w:rFonts w:ascii="Arial" w:eastAsia="Arial" w:hAnsi="Arial" w:cs="Arial"/>
          <w:sz w:val="22"/>
          <w:szCs w:val="22"/>
        </w:rPr>
        <w:t>, el Directorio del Banco Interamericano de Desarrollo</w:t>
      </w:r>
      <w:r w:rsidR="00C73E12">
        <w:rPr>
          <w:rFonts w:ascii="Arial" w:eastAsia="Arial" w:hAnsi="Arial" w:cs="Arial"/>
          <w:sz w:val="22"/>
          <w:szCs w:val="22"/>
        </w:rPr>
        <w:t xml:space="preserve"> (BID)</w:t>
      </w:r>
      <w:r>
        <w:rPr>
          <w:rFonts w:ascii="Arial" w:eastAsia="Arial" w:hAnsi="Arial" w:cs="Arial"/>
          <w:sz w:val="22"/>
          <w:szCs w:val="22"/>
        </w:rPr>
        <w:t xml:space="preserve"> aprobó el </w:t>
      </w:r>
      <w:r w:rsidRPr="0091305B">
        <w:rPr>
          <w:rFonts w:ascii="Arial" w:eastAsia="Arial" w:hAnsi="Arial" w:cs="Arial"/>
          <w:sz w:val="22"/>
          <w:szCs w:val="22"/>
        </w:rPr>
        <w:t xml:space="preserve">Programa de Fortalecimiento de la Política y Gestión Fiscal para la Atención de la Crisis Sanitaria y Económica causada por el </w:t>
      </w:r>
      <w:r w:rsidR="00361E11">
        <w:rPr>
          <w:rFonts w:ascii="Arial" w:eastAsia="Arial" w:hAnsi="Arial" w:cs="Arial"/>
          <w:sz w:val="22"/>
          <w:szCs w:val="22"/>
        </w:rPr>
        <w:t>COVID-19</w:t>
      </w:r>
      <w:r>
        <w:rPr>
          <w:rFonts w:ascii="Arial" w:eastAsia="Arial" w:hAnsi="Arial" w:cs="Arial"/>
          <w:sz w:val="22"/>
          <w:szCs w:val="22"/>
        </w:rPr>
        <w:t xml:space="preserve"> en</w:t>
      </w:r>
      <w:r w:rsidR="008949D2" w:rsidRPr="008949D2">
        <w:rPr>
          <w:rFonts w:ascii="Arial" w:eastAsia="Arial" w:hAnsi="Arial" w:cs="Arial"/>
          <w:sz w:val="22"/>
          <w:szCs w:val="22"/>
        </w:rPr>
        <w:t xml:space="preserve"> </w:t>
      </w:r>
      <w:r w:rsidR="008949D2">
        <w:rPr>
          <w:rFonts w:ascii="Arial" w:eastAsia="Arial" w:hAnsi="Arial" w:cs="Arial"/>
          <w:sz w:val="22"/>
          <w:szCs w:val="22"/>
        </w:rPr>
        <w:t>El Salvador</w:t>
      </w:r>
      <w:r>
        <w:rPr>
          <w:rFonts w:ascii="Arial" w:eastAsia="Arial" w:hAnsi="Arial" w:cs="Arial"/>
          <w:sz w:val="22"/>
          <w:szCs w:val="22"/>
        </w:rPr>
        <w:t>. Los objetivos específicos de dicho programa fueron</w:t>
      </w:r>
      <w:r w:rsidR="00EC2771" w:rsidRPr="004F4C2D">
        <w:rPr>
          <w:rFonts w:ascii="Arial" w:eastAsia="Arial" w:hAnsi="Arial" w:cs="Arial"/>
          <w:sz w:val="22"/>
          <w:szCs w:val="22"/>
        </w:rPr>
        <w:t xml:space="preserve">: </w:t>
      </w:r>
      <w:r w:rsidR="00FA312E" w:rsidRPr="009A3F88">
        <w:rPr>
          <w:rFonts w:ascii="Arial" w:hAnsi="Arial" w:cs="Arial"/>
          <w:sz w:val="22"/>
          <w:szCs w:val="22"/>
          <w:lang w:val="es-MX"/>
        </w:rPr>
        <w:t xml:space="preserve">(i) promover la disponibilidad y ejecución oportuna de recursos públicos para atender la crisis sanitaria causada por el COVID-19; (ii) fortalecer el efecto anticíclico de la política fiscal a través de la introducción temporal de medidas para la protección del empleo y del ingreso de los hogares vulnerables durante la crisis sanitaria y económica; </w:t>
      </w:r>
      <w:r w:rsidR="00606D04">
        <w:rPr>
          <w:rFonts w:ascii="Arial" w:hAnsi="Arial" w:cs="Arial"/>
          <w:sz w:val="22"/>
          <w:szCs w:val="22"/>
          <w:lang w:val="es-MX"/>
        </w:rPr>
        <w:t xml:space="preserve">y </w:t>
      </w:r>
      <w:r w:rsidR="00FA312E" w:rsidRPr="009A3F88">
        <w:rPr>
          <w:rFonts w:ascii="Arial" w:hAnsi="Arial" w:cs="Arial"/>
          <w:sz w:val="22"/>
          <w:szCs w:val="22"/>
          <w:lang w:val="es-MX"/>
        </w:rPr>
        <w:t>(</w:t>
      </w:r>
      <w:proofErr w:type="spellStart"/>
      <w:r w:rsidR="00FA312E" w:rsidRPr="009A3F88">
        <w:rPr>
          <w:rFonts w:ascii="Arial" w:hAnsi="Arial" w:cs="Arial"/>
          <w:sz w:val="22"/>
          <w:szCs w:val="22"/>
          <w:lang w:val="es-MX"/>
        </w:rPr>
        <w:t>iii</w:t>
      </w:r>
      <w:proofErr w:type="spellEnd"/>
      <w:r w:rsidR="00FA312E" w:rsidRPr="009A3F88">
        <w:rPr>
          <w:rFonts w:ascii="Arial" w:hAnsi="Arial" w:cs="Arial"/>
          <w:sz w:val="22"/>
          <w:szCs w:val="22"/>
          <w:lang w:val="es-MX"/>
        </w:rPr>
        <w:t>) promover la recuperación económica y fiscal en el periodo post pandemia</w:t>
      </w:r>
      <w:r w:rsidR="00EC2771" w:rsidRPr="004F4C2D">
        <w:rPr>
          <w:rFonts w:ascii="Arial" w:hAnsi="Arial" w:cs="Arial"/>
          <w:spacing w:val="-4"/>
          <w:sz w:val="22"/>
          <w:szCs w:val="22"/>
          <w:lang w:val="es-MX"/>
        </w:rPr>
        <w:t>.</w:t>
      </w:r>
    </w:p>
    <w:p w14:paraId="6A3E8B6A" w14:textId="3E6D1F6C" w:rsidR="00343BA8" w:rsidRPr="008D029C" w:rsidRDefault="00C73E12" w:rsidP="00343BA8">
      <w:pPr>
        <w:spacing w:after="120"/>
        <w:jc w:val="both"/>
        <w:rPr>
          <w:rFonts w:ascii="Arial" w:hAnsi="Arial" w:cs="Arial"/>
          <w:sz w:val="22"/>
          <w:szCs w:val="22"/>
        </w:rPr>
      </w:pPr>
      <w:r>
        <w:rPr>
          <w:rFonts w:ascii="Arial" w:hAnsi="Arial" w:cs="Arial"/>
          <w:sz w:val="22"/>
          <w:szCs w:val="22"/>
        </w:rPr>
        <w:t xml:space="preserve">Para evaluar los resultados </w:t>
      </w:r>
      <w:r w:rsidR="00B21629">
        <w:rPr>
          <w:rFonts w:ascii="Arial" w:hAnsi="Arial" w:cs="Arial"/>
          <w:sz w:val="22"/>
          <w:szCs w:val="22"/>
        </w:rPr>
        <w:t>del mencionado</w:t>
      </w:r>
      <w:r>
        <w:rPr>
          <w:rFonts w:ascii="Arial" w:hAnsi="Arial" w:cs="Arial"/>
          <w:sz w:val="22"/>
          <w:szCs w:val="22"/>
        </w:rPr>
        <w:t xml:space="preserve"> programa, </w:t>
      </w:r>
      <w:r w:rsidR="00343BA8" w:rsidRPr="00343BA8">
        <w:rPr>
          <w:rFonts w:ascii="Arial" w:hAnsi="Arial" w:cs="Arial"/>
          <w:sz w:val="22"/>
          <w:szCs w:val="22"/>
        </w:rPr>
        <w:t>la División de Gestión Fiscal</w:t>
      </w:r>
      <w:r>
        <w:rPr>
          <w:rFonts w:ascii="Arial" w:hAnsi="Arial" w:cs="Arial"/>
          <w:sz w:val="22"/>
          <w:szCs w:val="22"/>
        </w:rPr>
        <w:t xml:space="preserve"> (FMM)</w:t>
      </w:r>
      <w:r w:rsidR="00343BA8" w:rsidRPr="00343BA8">
        <w:rPr>
          <w:rFonts w:ascii="Arial" w:hAnsi="Arial" w:cs="Arial"/>
          <w:sz w:val="22"/>
          <w:szCs w:val="22"/>
        </w:rPr>
        <w:t xml:space="preserve"> del </w:t>
      </w:r>
      <w:r>
        <w:rPr>
          <w:rFonts w:ascii="Arial" w:hAnsi="Arial" w:cs="Arial"/>
          <w:sz w:val="22"/>
          <w:szCs w:val="22"/>
        </w:rPr>
        <w:t>BID</w:t>
      </w:r>
      <w:r w:rsidR="00343BA8" w:rsidRPr="00343BA8">
        <w:rPr>
          <w:rFonts w:ascii="Arial" w:hAnsi="Arial" w:cs="Arial"/>
          <w:sz w:val="22"/>
          <w:szCs w:val="22"/>
        </w:rPr>
        <w:t xml:space="preserve"> está </w:t>
      </w:r>
      <w:r w:rsidR="00343BA8" w:rsidRPr="008D029C">
        <w:rPr>
          <w:rFonts w:ascii="Arial" w:hAnsi="Arial" w:cs="Arial"/>
          <w:sz w:val="22"/>
          <w:szCs w:val="22"/>
        </w:rPr>
        <w:t>buscando un profesional co</w:t>
      </w:r>
      <w:r>
        <w:rPr>
          <w:rFonts w:ascii="Arial" w:hAnsi="Arial" w:cs="Arial"/>
          <w:sz w:val="22"/>
          <w:szCs w:val="22"/>
        </w:rPr>
        <w:t>n</w:t>
      </w:r>
      <w:r w:rsidR="00343BA8" w:rsidRPr="008D029C">
        <w:rPr>
          <w:rFonts w:ascii="Arial" w:hAnsi="Arial" w:cs="Arial"/>
          <w:sz w:val="22"/>
          <w:szCs w:val="22"/>
        </w:rPr>
        <w:t xml:space="preserve"> experiencia en </w:t>
      </w:r>
      <w:r>
        <w:rPr>
          <w:rFonts w:ascii="Arial" w:hAnsi="Arial" w:cs="Arial"/>
          <w:sz w:val="22"/>
          <w:szCs w:val="22"/>
        </w:rPr>
        <w:t xml:space="preserve">evaluación para </w:t>
      </w:r>
      <w:r>
        <w:rPr>
          <w:rFonts w:ascii="Arial" w:hAnsi="Arial" w:cs="Arial"/>
          <w:bCs/>
          <w:sz w:val="22"/>
          <w:szCs w:val="22"/>
        </w:rPr>
        <w:t>realizar un análisis ex post</w:t>
      </w:r>
      <w:r w:rsidRPr="000E7FE5">
        <w:rPr>
          <w:rFonts w:ascii="Arial" w:hAnsi="Arial" w:cs="Arial"/>
          <w:spacing w:val="-3"/>
          <w:sz w:val="22"/>
          <w:szCs w:val="22"/>
        </w:rPr>
        <w:t xml:space="preserve"> de</w:t>
      </w:r>
      <w:r>
        <w:rPr>
          <w:rFonts w:ascii="Arial" w:hAnsi="Arial" w:cs="Arial"/>
          <w:spacing w:val="-3"/>
          <w:sz w:val="22"/>
          <w:szCs w:val="22"/>
        </w:rPr>
        <w:t xml:space="preserve">l efecto que tuvieron las medidas de política </w:t>
      </w:r>
      <w:r w:rsidR="00B21629">
        <w:rPr>
          <w:rFonts w:ascii="Arial" w:hAnsi="Arial" w:cs="Arial"/>
          <w:spacing w:val="-3"/>
          <w:sz w:val="22"/>
          <w:szCs w:val="22"/>
        </w:rPr>
        <w:t xml:space="preserve">que formaron parte del programa </w:t>
      </w:r>
      <w:r>
        <w:rPr>
          <w:rFonts w:ascii="Arial" w:hAnsi="Arial" w:cs="Arial"/>
          <w:spacing w:val="-3"/>
          <w:sz w:val="22"/>
          <w:szCs w:val="22"/>
        </w:rPr>
        <w:t>en el logro de los resultados buscados</w:t>
      </w:r>
      <w:r w:rsidR="00343BA8" w:rsidRPr="008D029C">
        <w:rPr>
          <w:rFonts w:ascii="Arial" w:hAnsi="Arial" w:cs="Arial"/>
          <w:sz w:val="22"/>
          <w:szCs w:val="22"/>
        </w:rPr>
        <w:t>.</w:t>
      </w:r>
    </w:p>
    <w:p w14:paraId="265E5F59" w14:textId="77777777" w:rsidR="008D029C" w:rsidRPr="008D029C" w:rsidRDefault="008D029C" w:rsidP="00343BA8">
      <w:pPr>
        <w:spacing w:after="120"/>
        <w:rPr>
          <w:rFonts w:ascii="Arial" w:hAnsi="Arial" w:cs="Arial"/>
          <w:b/>
          <w:sz w:val="22"/>
          <w:szCs w:val="22"/>
          <w:u w:val="single"/>
        </w:rPr>
      </w:pPr>
    </w:p>
    <w:p w14:paraId="7EF62A13" w14:textId="09955262" w:rsidR="008D029C" w:rsidRPr="008D029C" w:rsidRDefault="008D029C" w:rsidP="008D029C">
      <w:pPr>
        <w:widowControl w:val="0"/>
        <w:spacing w:after="120"/>
        <w:jc w:val="both"/>
        <w:rPr>
          <w:rFonts w:ascii="Arial" w:hAnsi="Arial" w:cs="Arial"/>
          <w:b/>
          <w:sz w:val="22"/>
          <w:szCs w:val="22"/>
        </w:rPr>
      </w:pPr>
      <w:r w:rsidRPr="008D029C">
        <w:rPr>
          <w:rFonts w:ascii="Arial" w:eastAsia="Arial" w:hAnsi="Arial" w:cs="Arial"/>
          <w:b/>
          <w:sz w:val="22"/>
          <w:szCs w:val="22"/>
        </w:rPr>
        <w:t>El equipo:</w:t>
      </w:r>
      <w:r w:rsidRPr="008D029C">
        <w:rPr>
          <w:rFonts w:ascii="Arial" w:hAnsi="Arial" w:cs="Arial"/>
          <w:color w:val="000000"/>
          <w:sz w:val="22"/>
          <w:szCs w:val="22"/>
        </w:rPr>
        <w:t xml:space="preserve"> El equipo del proyecto incluye a especialistas de la División de Gestión Fiscal (FMM) y </w:t>
      </w:r>
      <w:r>
        <w:rPr>
          <w:rFonts w:ascii="Arial" w:hAnsi="Arial" w:cs="Arial"/>
          <w:color w:val="000000"/>
          <w:sz w:val="22"/>
          <w:szCs w:val="22"/>
        </w:rPr>
        <w:t>otras divisiones sectoriales del BID</w:t>
      </w:r>
      <w:r w:rsidRPr="008D029C">
        <w:rPr>
          <w:rFonts w:ascii="Arial" w:hAnsi="Arial" w:cs="Arial"/>
          <w:color w:val="000000"/>
          <w:sz w:val="22"/>
          <w:szCs w:val="22"/>
        </w:rPr>
        <w:t xml:space="preserve">. </w:t>
      </w:r>
      <w:r w:rsidR="00B21629">
        <w:rPr>
          <w:rFonts w:ascii="Arial" w:hAnsi="Arial" w:cs="Arial"/>
          <w:color w:val="000000"/>
          <w:sz w:val="22"/>
          <w:szCs w:val="22"/>
        </w:rPr>
        <w:t xml:space="preserve">Las distintas divisiones sectoriales del BID </w:t>
      </w:r>
      <w:r w:rsidRPr="008D029C">
        <w:rPr>
          <w:rFonts w:ascii="Arial" w:hAnsi="Arial" w:cs="Arial"/>
          <w:color w:val="000000"/>
          <w:sz w:val="22"/>
          <w:szCs w:val="22"/>
        </w:rPr>
        <w:t>financian proyectos, proveen asistencia técnica y ofrecen asesoramiento a los gobiernos en</w:t>
      </w:r>
      <w:r w:rsidR="009C7EB6">
        <w:rPr>
          <w:rFonts w:ascii="Arial" w:hAnsi="Arial" w:cs="Arial"/>
          <w:color w:val="000000"/>
          <w:sz w:val="22"/>
          <w:szCs w:val="22"/>
        </w:rPr>
        <w:t xml:space="preserve"> la</w:t>
      </w:r>
      <w:r w:rsidRPr="008D029C">
        <w:rPr>
          <w:rFonts w:ascii="Arial" w:hAnsi="Arial" w:cs="Arial"/>
          <w:color w:val="000000"/>
          <w:sz w:val="22"/>
          <w:szCs w:val="22"/>
        </w:rPr>
        <w:t xml:space="preserve"> </w:t>
      </w:r>
      <w:r w:rsidR="00B21629">
        <w:rPr>
          <w:rFonts w:ascii="Arial" w:hAnsi="Arial" w:cs="Arial"/>
          <w:color w:val="000000"/>
          <w:sz w:val="22"/>
          <w:szCs w:val="22"/>
        </w:rPr>
        <w:t>formulación</w:t>
      </w:r>
      <w:r w:rsidR="00C73E12">
        <w:rPr>
          <w:rFonts w:ascii="Arial" w:hAnsi="Arial" w:cs="Arial"/>
          <w:color w:val="000000"/>
          <w:sz w:val="22"/>
          <w:szCs w:val="22"/>
        </w:rPr>
        <w:t xml:space="preserve"> e implementación de políticas públicas</w:t>
      </w:r>
      <w:r w:rsidRPr="008D029C">
        <w:rPr>
          <w:rFonts w:ascii="Arial" w:hAnsi="Arial" w:cs="Arial"/>
          <w:color w:val="000000"/>
          <w:sz w:val="22"/>
          <w:szCs w:val="22"/>
        </w:rPr>
        <w:t>.</w:t>
      </w:r>
    </w:p>
    <w:p w14:paraId="78F11BDC" w14:textId="5A19A340" w:rsidR="00677420" w:rsidRPr="00677420" w:rsidRDefault="008D029C" w:rsidP="00677420">
      <w:pPr>
        <w:pStyle w:val="Paragraph"/>
        <w:numPr>
          <w:ilvl w:val="0"/>
          <w:numId w:val="0"/>
        </w:numPr>
        <w:spacing w:before="0"/>
        <w:rPr>
          <w:rFonts w:ascii="Arial" w:hAnsi="Arial" w:cs="Arial"/>
          <w:spacing w:val="-3"/>
          <w:sz w:val="22"/>
          <w:szCs w:val="22"/>
        </w:rPr>
      </w:pPr>
      <w:r w:rsidRPr="008D029C">
        <w:rPr>
          <w:rFonts w:ascii="Arial" w:hAnsi="Arial" w:cs="Arial"/>
          <w:b/>
          <w:sz w:val="22"/>
          <w:szCs w:val="22"/>
        </w:rPr>
        <w:t>Lo que harás:</w:t>
      </w:r>
      <w:r w:rsidR="00677420">
        <w:rPr>
          <w:rFonts w:ascii="Arial" w:hAnsi="Arial" w:cs="Arial"/>
          <w:bCs/>
          <w:sz w:val="22"/>
          <w:szCs w:val="22"/>
        </w:rPr>
        <w:t xml:space="preserve"> La consultoría tiene como objetivo realizar un análisis ex post</w:t>
      </w:r>
      <w:r w:rsidR="00677420" w:rsidRPr="000E7FE5">
        <w:rPr>
          <w:rFonts w:ascii="Arial" w:hAnsi="Arial" w:cs="Arial"/>
          <w:spacing w:val="-3"/>
          <w:sz w:val="22"/>
          <w:szCs w:val="22"/>
        </w:rPr>
        <w:t xml:space="preserve"> de</w:t>
      </w:r>
      <w:r w:rsidR="00677420">
        <w:rPr>
          <w:rFonts w:ascii="Arial" w:hAnsi="Arial" w:cs="Arial"/>
          <w:spacing w:val="-3"/>
          <w:sz w:val="22"/>
          <w:szCs w:val="22"/>
        </w:rPr>
        <w:t xml:space="preserve">l efecto </w:t>
      </w:r>
      <w:r w:rsidR="00C73E12">
        <w:rPr>
          <w:rFonts w:ascii="Arial" w:hAnsi="Arial" w:cs="Arial"/>
          <w:spacing w:val="-3"/>
          <w:sz w:val="22"/>
          <w:szCs w:val="22"/>
        </w:rPr>
        <w:t xml:space="preserve">que tuvieron las medidas de política introducir en </w:t>
      </w:r>
      <w:r w:rsidR="008949D2">
        <w:rPr>
          <w:rFonts w:ascii="Arial" w:eastAsia="Arial" w:hAnsi="Arial" w:cs="Arial"/>
          <w:sz w:val="22"/>
          <w:szCs w:val="22"/>
        </w:rPr>
        <w:t>El Salvador</w:t>
      </w:r>
      <w:r w:rsidR="00C73E12">
        <w:rPr>
          <w:rFonts w:ascii="Arial" w:hAnsi="Arial" w:cs="Arial"/>
          <w:spacing w:val="-3"/>
          <w:sz w:val="22"/>
          <w:szCs w:val="22"/>
        </w:rPr>
        <w:t xml:space="preserve"> en el logro de los resultados buscados por el</w:t>
      </w:r>
      <w:r w:rsidR="009C7EB6">
        <w:rPr>
          <w:rFonts w:ascii="Arial" w:hAnsi="Arial" w:cs="Arial"/>
          <w:spacing w:val="-3"/>
          <w:sz w:val="22"/>
          <w:szCs w:val="22"/>
        </w:rPr>
        <w:t xml:space="preserve"> </w:t>
      </w:r>
      <w:r w:rsidR="00C73E12" w:rsidRPr="0091305B">
        <w:rPr>
          <w:rFonts w:ascii="Arial" w:eastAsia="Arial" w:hAnsi="Arial" w:cs="Arial"/>
          <w:sz w:val="22"/>
          <w:szCs w:val="22"/>
        </w:rPr>
        <w:t>Programa de Fortalecimiento de la Política y Gestión Fiscal para la Atención de la Crisis Sanitaria y Económica causada por el C</w:t>
      </w:r>
      <w:r w:rsidR="00D360E5">
        <w:rPr>
          <w:rFonts w:ascii="Arial" w:eastAsia="Arial" w:hAnsi="Arial" w:cs="Arial"/>
          <w:sz w:val="22"/>
          <w:szCs w:val="22"/>
        </w:rPr>
        <w:t>OVID-19</w:t>
      </w:r>
      <w:r w:rsidR="00C73E12">
        <w:rPr>
          <w:rFonts w:ascii="Arial" w:eastAsia="Arial" w:hAnsi="Arial" w:cs="Arial"/>
          <w:sz w:val="22"/>
          <w:szCs w:val="22"/>
        </w:rPr>
        <w:t xml:space="preserve"> en</w:t>
      </w:r>
      <w:r w:rsidR="008949D2" w:rsidRPr="008949D2">
        <w:rPr>
          <w:rFonts w:ascii="Arial" w:eastAsia="Arial" w:hAnsi="Arial" w:cs="Arial"/>
          <w:sz w:val="22"/>
          <w:szCs w:val="22"/>
        </w:rPr>
        <w:t xml:space="preserve"> </w:t>
      </w:r>
      <w:r w:rsidR="008949D2">
        <w:rPr>
          <w:rFonts w:ascii="Arial" w:eastAsia="Arial" w:hAnsi="Arial" w:cs="Arial"/>
          <w:sz w:val="22"/>
          <w:szCs w:val="22"/>
        </w:rPr>
        <w:t>El Salvador</w:t>
      </w:r>
      <w:r w:rsidR="00677420" w:rsidRPr="000E7FE5">
        <w:rPr>
          <w:rFonts w:ascii="Arial" w:hAnsi="Arial" w:cs="Arial"/>
          <w:spacing w:val="-3"/>
          <w:sz w:val="22"/>
          <w:szCs w:val="22"/>
        </w:rPr>
        <w:t>.</w:t>
      </w:r>
      <w:r w:rsidR="00677420">
        <w:rPr>
          <w:rFonts w:ascii="Arial" w:hAnsi="Arial" w:cs="Arial"/>
          <w:spacing w:val="-3"/>
          <w:sz w:val="22"/>
          <w:szCs w:val="22"/>
        </w:rPr>
        <w:t xml:space="preserve"> </w:t>
      </w:r>
      <w:r w:rsidR="00677420">
        <w:rPr>
          <w:rFonts w:ascii="Arial" w:hAnsi="Arial" w:cs="Arial"/>
          <w:sz w:val="22"/>
          <w:szCs w:val="22"/>
        </w:rPr>
        <w:t>También se</w:t>
      </w:r>
      <w:r w:rsidR="00677420" w:rsidRPr="00CB2FC2">
        <w:rPr>
          <w:rFonts w:ascii="Arial" w:hAnsi="Arial" w:cs="Arial"/>
          <w:sz w:val="22"/>
          <w:szCs w:val="22"/>
        </w:rPr>
        <w:t xml:space="preserve"> buscará identificar lecciones aprendidas en la implementación del programa.</w:t>
      </w:r>
      <w:r w:rsidR="00677420">
        <w:rPr>
          <w:rFonts w:ascii="Arial" w:hAnsi="Arial" w:cs="Arial"/>
          <w:spacing w:val="-3"/>
          <w:sz w:val="22"/>
          <w:szCs w:val="22"/>
        </w:rPr>
        <w:t xml:space="preserve"> </w:t>
      </w:r>
      <w:r w:rsidR="00677420" w:rsidRPr="000E7FE5">
        <w:rPr>
          <w:rFonts w:ascii="Arial" w:hAnsi="Arial" w:cs="Arial"/>
          <w:spacing w:val="-3"/>
          <w:sz w:val="22"/>
          <w:szCs w:val="22"/>
        </w:rPr>
        <w:t xml:space="preserve">Este reporte servirá de insumo para la preparación del </w:t>
      </w:r>
      <w:r w:rsidR="00677420">
        <w:rPr>
          <w:rFonts w:ascii="Arial" w:hAnsi="Arial" w:cs="Arial"/>
          <w:spacing w:val="-3"/>
          <w:sz w:val="22"/>
          <w:szCs w:val="22"/>
        </w:rPr>
        <w:t>Informe</w:t>
      </w:r>
      <w:r w:rsidR="00677420" w:rsidRPr="000E7FE5">
        <w:rPr>
          <w:rFonts w:ascii="Arial" w:hAnsi="Arial" w:cs="Arial"/>
          <w:spacing w:val="-3"/>
          <w:sz w:val="22"/>
          <w:szCs w:val="22"/>
        </w:rPr>
        <w:t xml:space="preserve"> de </w:t>
      </w:r>
      <w:r w:rsidR="00677420">
        <w:rPr>
          <w:rFonts w:ascii="Arial" w:hAnsi="Arial" w:cs="Arial"/>
          <w:spacing w:val="-3"/>
          <w:sz w:val="22"/>
          <w:szCs w:val="22"/>
        </w:rPr>
        <w:t xml:space="preserve">Terminación de </w:t>
      </w:r>
      <w:r w:rsidR="00677420" w:rsidRPr="00181EA5">
        <w:rPr>
          <w:rFonts w:ascii="Arial" w:hAnsi="Arial" w:cs="Arial"/>
          <w:spacing w:val="-3"/>
          <w:sz w:val="22"/>
          <w:szCs w:val="22"/>
        </w:rPr>
        <w:t>Proyecto.</w:t>
      </w:r>
    </w:p>
    <w:p w14:paraId="36BB4DD3" w14:textId="6A124682" w:rsidR="008D029C" w:rsidRDefault="008D029C" w:rsidP="008D029C">
      <w:pPr>
        <w:pStyle w:val="Paragraph"/>
        <w:numPr>
          <w:ilvl w:val="0"/>
          <w:numId w:val="0"/>
        </w:numPr>
        <w:spacing w:before="0"/>
        <w:rPr>
          <w:rFonts w:ascii="Arial" w:eastAsia="Calibri" w:hAnsi="Arial" w:cs="Arial"/>
          <w:color w:val="000000"/>
          <w:sz w:val="22"/>
          <w:szCs w:val="22"/>
          <w:lang w:val="es-ES_tradnl"/>
        </w:rPr>
      </w:pPr>
    </w:p>
    <w:p w14:paraId="03FB9DD8" w14:textId="26AC3074" w:rsidR="006535EE" w:rsidRPr="00DF75ED" w:rsidRDefault="00677420" w:rsidP="00DF75ED">
      <w:pPr>
        <w:spacing w:after="120"/>
        <w:rPr>
          <w:rFonts w:ascii="Arial" w:hAnsi="Arial" w:cs="Arial"/>
          <w:b/>
          <w:bCs/>
          <w:sz w:val="22"/>
          <w:szCs w:val="18"/>
        </w:rPr>
      </w:pPr>
      <w:r w:rsidRPr="006535EE">
        <w:rPr>
          <w:rFonts w:ascii="Arial" w:hAnsi="Arial" w:cs="Arial"/>
          <w:b/>
          <w:bCs/>
          <w:sz w:val="22"/>
          <w:szCs w:val="18"/>
        </w:rPr>
        <w:t xml:space="preserve">Responsabilidades: </w:t>
      </w:r>
    </w:p>
    <w:p w14:paraId="048E13D0" w14:textId="72B8A602" w:rsidR="008D029C" w:rsidRDefault="008D029C" w:rsidP="00DF75ED">
      <w:pPr>
        <w:pStyle w:val="Paragraph"/>
        <w:numPr>
          <w:ilvl w:val="0"/>
          <w:numId w:val="6"/>
        </w:numPr>
        <w:spacing w:before="0" w:after="60"/>
        <w:rPr>
          <w:rFonts w:ascii="Arial" w:eastAsia="Calibri" w:hAnsi="Arial" w:cs="Arial"/>
          <w:color w:val="000000"/>
          <w:sz w:val="22"/>
          <w:szCs w:val="22"/>
          <w:lang w:val="es-ES_tradnl"/>
        </w:rPr>
      </w:pPr>
      <w:r w:rsidRPr="00A736CB">
        <w:rPr>
          <w:rFonts w:ascii="Arial" w:eastAsia="Calibri" w:hAnsi="Arial" w:cs="Arial"/>
          <w:color w:val="000000"/>
          <w:sz w:val="22"/>
          <w:szCs w:val="22"/>
        </w:rPr>
        <w:t xml:space="preserve">Primera responsabilidad: </w:t>
      </w:r>
      <w:r w:rsidRPr="008D029C">
        <w:rPr>
          <w:rFonts w:ascii="Arial" w:hAnsi="Arial" w:cs="Arial"/>
          <w:spacing w:val="-3"/>
          <w:sz w:val="22"/>
          <w:szCs w:val="22"/>
        </w:rPr>
        <w:t>Revisar la documentación referida a la ejecución del</w:t>
      </w:r>
      <w:r w:rsidR="009C7EB6">
        <w:rPr>
          <w:rFonts w:ascii="Arial" w:hAnsi="Arial" w:cs="Arial"/>
          <w:spacing w:val="-3"/>
          <w:sz w:val="22"/>
          <w:szCs w:val="22"/>
        </w:rPr>
        <w:t xml:space="preserve"> </w:t>
      </w:r>
      <w:r w:rsidR="009C7EB6" w:rsidRPr="0091305B">
        <w:rPr>
          <w:rFonts w:ascii="Arial" w:eastAsia="Arial" w:hAnsi="Arial" w:cs="Arial"/>
          <w:sz w:val="22"/>
          <w:szCs w:val="22"/>
        </w:rPr>
        <w:t>Programa de Fortalecimiento de la Política y Gestión Fiscal para la Atención de la Crisis Sanitaria y Económica causada por el C</w:t>
      </w:r>
      <w:r w:rsidR="00F570C8">
        <w:rPr>
          <w:rFonts w:ascii="Arial" w:eastAsia="Arial" w:hAnsi="Arial" w:cs="Arial"/>
          <w:sz w:val="22"/>
          <w:szCs w:val="22"/>
        </w:rPr>
        <w:t>OVID</w:t>
      </w:r>
      <w:r w:rsidR="009C7EB6">
        <w:rPr>
          <w:rFonts w:ascii="Arial" w:eastAsia="Arial" w:hAnsi="Arial" w:cs="Arial"/>
          <w:sz w:val="22"/>
          <w:szCs w:val="22"/>
        </w:rPr>
        <w:t xml:space="preserve"> en</w:t>
      </w:r>
      <w:r w:rsidR="008949D2" w:rsidRPr="008949D2">
        <w:rPr>
          <w:rFonts w:ascii="Arial" w:eastAsia="Arial" w:hAnsi="Arial" w:cs="Arial"/>
          <w:sz w:val="22"/>
          <w:szCs w:val="22"/>
        </w:rPr>
        <w:t xml:space="preserve"> </w:t>
      </w:r>
      <w:r w:rsidR="008949D2">
        <w:rPr>
          <w:rFonts w:ascii="Arial" w:eastAsia="Arial" w:hAnsi="Arial" w:cs="Arial"/>
          <w:sz w:val="22"/>
          <w:szCs w:val="22"/>
        </w:rPr>
        <w:t>El Salvador</w:t>
      </w:r>
      <w:r w:rsidRPr="008D029C">
        <w:rPr>
          <w:rFonts w:ascii="Arial" w:hAnsi="Arial" w:cs="Arial"/>
          <w:spacing w:val="-3"/>
          <w:sz w:val="22"/>
          <w:szCs w:val="22"/>
        </w:rPr>
        <w:t>.</w:t>
      </w:r>
    </w:p>
    <w:p w14:paraId="4654DECD" w14:textId="4333F400" w:rsidR="008D029C" w:rsidRPr="008D029C" w:rsidRDefault="008D029C" w:rsidP="00DF75ED">
      <w:pPr>
        <w:pStyle w:val="Paragraph"/>
        <w:numPr>
          <w:ilvl w:val="0"/>
          <w:numId w:val="6"/>
        </w:numPr>
        <w:spacing w:before="0" w:after="60"/>
        <w:rPr>
          <w:rFonts w:ascii="Arial" w:eastAsia="Calibri" w:hAnsi="Arial" w:cs="Arial"/>
          <w:color w:val="000000"/>
          <w:sz w:val="22"/>
          <w:szCs w:val="22"/>
          <w:lang w:val="es-ES_tradnl"/>
        </w:rPr>
      </w:pPr>
      <w:r>
        <w:rPr>
          <w:rFonts w:ascii="Arial" w:eastAsia="Calibri" w:hAnsi="Arial" w:cs="Arial"/>
          <w:color w:val="000000"/>
          <w:sz w:val="22"/>
          <w:szCs w:val="22"/>
        </w:rPr>
        <w:t>Segunda</w:t>
      </w:r>
      <w:r w:rsidRPr="00A736CB">
        <w:rPr>
          <w:rFonts w:ascii="Arial" w:eastAsia="Calibri" w:hAnsi="Arial" w:cs="Arial"/>
          <w:color w:val="000000"/>
          <w:sz w:val="22"/>
          <w:szCs w:val="22"/>
        </w:rPr>
        <w:t xml:space="preserve"> responsabilidad:</w:t>
      </w:r>
      <w:r>
        <w:rPr>
          <w:rFonts w:ascii="Arial" w:eastAsia="Calibri" w:hAnsi="Arial" w:cs="Arial"/>
          <w:color w:val="000000"/>
          <w:sz w:val="22"/>
          <w:szCs w:val="22"/>
        </w:rPr>
        <w:t xml:space="preserve"> </w:t>
      </w:r>
      <w:r w:rsidRPr="008D029C">
        <w:rPr>
          <w:rFonts w:ascii="Arial" w:hAnsi="Arial" w:cs="Arial"/>
          <w:spacing w:val="-3"/>
          <w:sz w:val="22"/>
          <w:szCs w:val="22"/>
        </w:rPr>
        <w:t>Recopilar información sobre los indicadores de resultados del Programa.</w:t>
      </w:r>
    </w:p>
    <w:p w14:paraId="0FAA4BB4" w14:textId="31358F9E" w:rsidR="00677420" w:rsidRPr="00677420" w:rsidRDefault="008D029C" w:rsidP="00DF75ED">
      <w:pPr>
        <w:pStyle w:val="Paragraph"/>
        <w:numPr>
          <w:ilvl w:val="0"/>
          <w:numId w:val="6"/>
        </w:numPr>
        <w:spacing w:before="0" w:after="60"/>
        <w:rPr>
          <w:rFonts w:ascii="Arial" w:eastAsia="Calibri" w:hAnsi="Arial" w:cs="Arial"/>
          <w:color w:val="000000"/>
          <w:sz w:val="22"/>
          <w:szCs w:val="22"/>
          <w:lang w:val="es-ES_tradnl"/>
        </w:rPr>
      </w:pPr>
      <w:r>
        <w:rPr>
          <w:rFonts w:ascii="Arial" w:hAnsi="Arial" w:cs="Arial"/>
          <w:spacing w:val="-3"/>
          <w:sz w:val="22"/>
          <w:szCs w:val="22"/>
        </w:rPr>
        <w:t>Tercera responsabilidad:</w:t>
      </w:r>
      <w:r>
        <w:rPr>
          <w:rFonts w:ascii="Arial" w:eastAsia="Calibri" w:hAnsi="Arial" w:cs="Arial"/>
          <w:color w:val="000000"/>
          <w:sz w:val="22"/>
          <w:szCs w:val="22"/>
          <w:lang w:val="es-ES_tradnl"/>
        </w:rPr>
        <w:t xml:space="preserve"> </w:t>
      </w:r>
      <w:r w:rsidRPr="008D029C">
        <w:rPr>
          <w:rFonts w:ascii="Arial" w:hAnsi="Arial" w:cs="Arial"/>
          <w:spacing w:val="-3"/>
          <w:sz w:val="22"/>
          <w:szCs w:val="22"/>
        </w:rPr>
        <w:t xml:space="preserve">Evaluar el alcance y el impacto logrado de acuerdo </w:t>
      </w:r>
      <w:r w:rsidR="009C7EB6">
        <w:rPr>
          <w:rFonts w:ascii="Arial" w:hAnsi="Arial" w:cs="Arial"/>
          <w:spacing w:val="-3"/>
          <w:sz w:val="22"/>
          <w:szCs w:val="22"/>
        </w:rPr>
        <w:t>con</w:t>
      </w:r>
      <w:r w:rsidRPr="008D029C">
        <w:rPr>
          <w:rFonts w:ascii="Arial" w:hAnsi="Arial" w:cs="Arial"/>
          <w:spacing w:val="-3"/>
          <w:sz w:val="22"/>
          <w:szCs w:val="22"/>
        </w:rPr>
        <w:t xml:space="preserve"> los objetivos e indicadores de las matrices de políticas y de resultados.</w:t>
      </w:r>
    </w:p>
    <w:p w14:paraId="35709187" w14:textId="66508305" w:rsidR="00677420" w:rsidRDefault="00677420" w:rsidP="00DF75ED">
      <w:pPr>
        <w:pStyle w:val="Paragraph"/>
        <w:numPr>
          <w:ilvl w:val="0"/>
          <w:numId w:val="6"/>
        </w:numPr>
        <w:spacing w:before="0" w:after="60"/>
        <w:rPr>
          <w:rFonts w:ascii="Arial" w:eastAsia="Calibri" w:hAnsi="Arial" w:cs="Arial"/>
          <w:color w:val="000000"/>
          <w:sz w:val="22"/>
          <w:szCs w:val="22"/>
          <w:lang w:val="es-ES_tradnl"/>
        </w:rPr>
      </w:pPr>
      <w:r w:rsidRPr="00677420">
        <w:rPr>
          <w:rFonts w:ascii="Arial" w:eastAsia="Calibri" w:hAnsi="Arial" w:cs="Arial"/>
          <w:color w:val="000000"/>
          <w:sz w:val="22"/>
          <w:szCs w:val="22"/>
          <w:lang w:val="es-ES_tradnl"/>
        </w:rPr>
        <w:t xml:space="preserve">Cuarta responsabilidad: </w:t>
      </w:r>
      <w:r w:rsidR="008D029C" w:rsidRPr="00677420">
        <w:rPr>
          <w:rFonts w:ascii="Arial" w:hAnsi="Arial" w:cs="Arial"/>
          <w:spacing w:val="-3"/>
          <w:sz w:val="22"/>
          <w:szCs w:val="22"/>
        </w:rPr>
        <w:t>Entrevistar a actores relevantes, de manera de poder identificar lecciones aprendidas en la implementación de la</w:t>
      </w:r>
      <w:r w:rsidR="009C7EB6">
        <w:rPr>
          <w:rFonts w:ascii="Arial" w:hAnsi="Arial" w:cs="Arial"/>
          <w:spacing w:val="-3"/>
          <w:sz w:val="22"/>
          <w:szCs w:val="22"/>
        </w:rPr>
        <w:t>s</w:t>
      </w:r>
      <w:r w:rsidR="008D029C" w:rsidRPr="00677420">
        <w:rPr>
          <w:rFonts w:ascii="Arial" w:hAnsi="Arial" w:cs="Arial"/>
          <w:spacing w:val="-3"/>
          <w:sz w:val="22"/>
          <w:szCs w:val="22"/>
        </w:rPr>
        <w:t xml:space="preserve"> </w:t>
      </w:r>
      <w:r w:rsidR="009C7EB6">
        <w:rPr>
          <w:rFonts w:ascii="Arial" w:hAnsi="Arial" w:cs="Arial"/>
          <w:spacing w:val="-3"/>
          <w:sz w:val="22"/>
          <w:szCs w:val="22"/>
        </w:rPr>
        <w:t>medidas de política que formaron parte del programa</w:t>
      </w:r>
      <w:r w:rsidR="008D029C" w:rsidRPr="00677420">
        <w:rPr>
          <w:rFonts w:ascii="Arial" w:hAnsi="Arial" w:cs="Arial"/>
          <w:spacing w:val="-3"/>
          <w:sz w:val="22"/>
          <w:szCs w:val="22"/>
        </w:rPr>
        <w:t>.</w:t>
      </w:r>
    </w:p>
    <w:p w14:paraId="31BADC9B" w14:textId="621C8DD0" w:rsidR="008D029C" w:rsidRPr="00677420" w:rsidRDefault="00677420" w:rsidP="00DF75ED">
      <w:pPr>
        <w:pStyle w:val="Paragraph"/>
        <w:numPr>
          <w:ilvl w:val="0"/>
          <w:numId w:val="6"/>
        </w:numPr>
        <w:spacing w:before="0" w:after="60"/>
        <w:rPr>
          <w:rFonts w:ascii="Arial" w:eastAsia="Calibri" w:hAnsi="Arial" w:cs="Arial"/>
          <w:color w:val="000000"/>
          <w:sz w:val="22"/>
          <w:szCs w:val="22"/>
          <w:lang w:val="es-ES_tradnl"/>
        </w:rPr>
      </w:pPr>
      <w:r>
        <w:rPr>
          <w:rFonts w:ascii="Arial" w:eastAsia="Calibri" w:hAnsi="Arial" w:cs="Arial"/>
          <w:color w:val="000000"/>
          <w:sz w:val="22"/>
          <w:szCs w:val="22"/>
          <w:lang w:val="es-ES_tradnl"/>
        </w:rPr>
        <w:t xml:space="preserve">Quita responsabilidad: </w:t>
      </w:r>
      <w:r w:rsidR="008D029C" w:rsidRPr="00677420">
        <w:rPr>
          <w:rFonts w:ascii="Arial" w:hAnsi="Arial" w:cs="Arial"/>
          <w:sz w:val="22"/>
          <w:szCs w:val="22"/>
        </w:rPr>
        <w:t>Producir un informe resumiendo los principales resultados de los diferentes análisis realizados.</w:t>
      </w:r>
    </w:p>
    <w:p w14:paraId="74C19510" w14:textId="41807794" w:rsidR="008D029C" w:rsidRDefault="008D029C" w:rsidP="00DF75ED">
      <w:pPr>
        <w:pStyle w:val="Paragraph"/>
        <w:numPr>
          <w:ilvl w:val="0"/>
          <w:numId w:val="0"/>
        </w:numPr>
        <w:spacing w:before="0" w:after="60"/>
        <w:rPr>
          <w:rFonts w:ascii="Arial" w:eastAsia="Calibri" w:hAnsi="Arial" w:cs="Arial"/>
          <w:color w:val="000000"/>
          <w:sz w:val="22"/>
          <w:szCs w:val="22"/>
        </w:rPr>
      </w:pPr>
    </w:p>
    <w:p w14:paraId="30824A9C" w14:textId="05CF7DB7" w:rsidR="006535EE" w:rsidRPr="00DF75ED" w:rsidRDefault="008D029C" w:rsidP="00DF75ED">
      <w:pPr>
        <w:spacing w:after="60"/>
        <w:rPr>
          <w:rFonts w:ascii="Arial" w:hAnsi="Arial" w:cs="Arial"/>
          <w:b/>
          <w:bCs/>
          <w:sz w:val="22"/>
          <w:szCs w:val="18"/>
        </w:rPr>
      </w:pPr>
      <w:r w:rsidRPr="006535EE">
        <w:rPr>
          <w:rFonts w:ascii="Arial" w:hAnsi="Arial" w:cs="Arial"/>
          <w:b/>
          <w:bCs/>
          <w:sz w:val="22"/>
          <w:szCs w:val="18"/>
        </w:rPr>
        <w:t xml:space="preserve">Entregables: </w:t>
      </w:r>
    </w:p>
    <w:p w14:paraId="77F46077" w14:textId="735299CB" w:rsidR="00677420" w:rsidRPr="009C7EB6" w:rsidRDefault="00677420" w:rsidP="00DF75ED">
      <w:pPr>
        <w:pStyle w:val="Paragraph"/>
        <w:numPr>
          <w:ilvl w:val="0"/>
          <w:numId w:val="7"/>
        </w:numPr>
        <w:spacing w:before="0" w:after="60"/>
        <w:rPr>
          <w:rFonts w:ascii="Arial" w:eastAsia="Calibri" w:hAnsi="Arial" w:cs="Arial"/>
          <w:color w:val="000000"/>
          <w:sz w:val="22"/>
          <w:szCs w:val="22"/>
          <w:lang w:val="es-ES_tradnl"/>
        </w:rPr>
      </w:pPr>
      <w:r w:rsidRPr="009C7EB6">
        <w:rPr>
          <w:rFonts w:ascii="Arial" w:eastAsia="Calibri" w:hAnsi="Arial" w:cs="Arial"/>
          <w:color w:val="000000"/>
          <w:sz w:val="22"/>
          <w:szCs w:val="22"/>
        </w:rPr>
        <w:t xml:space="preserve">Producto 1: </w:t>
      </w:r>
      <w:r w:rsidRPr="009C7EB6">
        <w:rPr>
          <w:rFonts w:ascii="Arial" w:hAnsi="Arial" w:cs="Arial"/>
          <w:spacing w:val="-3"/>
          <w:sz w:val="22"/>
          <w:szCs w:val="22"/>
        </w:rPr>
        <w:t>Plan de trabajo</w:t>
      </w:r>
      <w:r w:rsidR="009C7EB6" w:rsidRPr="009C7EB6">
        <w:rPr>
          <w:rFonts w:ascii="Arial" w:hAnsi="Arial" w:cs="Arial"/>
          <w:bCs/>
          <w:sz w:val="22"/>
          <w:szCs w:val="22"/>
          <w:lang w:val="es-CO"/>
        </w:rPr>
        <w:t xml:space="preserve">, que incluirá al menos: (i) enfoque metodológico del trabajo, </w:t>
      </w:r>
      <w:r w:rsidR="0009193F">
        <w:rPr>
          <w:rFonts w:ascii="Arial" w:hAnsi="Arial" w:cs="Arial"/>
          <w:bCs/>
          <w:sz w:val="22"/>
          <w:szCs w:val="22"/>
          <w:lang w:val="es-CO"/>
        </w:rPr>
        <w:t>siguiendo lo i</w:t>
      </w:r>
      <w:r w:rsidR="009B5F47">
        <w:rPr>
          <w:rFonts w:ascii="Arial" w:hAnsi="Arial" w:cs="Arial"/>
          <w:bCs/>
          <w:sz w:val="22"/>
          <w:szCs w:val="22"/>
          <w:lang w:val="es-CO"/>
        </w:rPr>
        <w:t xml:space="preserve">ndicado en el Plan de Monitoreo y Evaluación del </w:t>
      </w:r>
      <w:r w:rsidR="002B7EF4">
        <w:rPr>
          <w:rFonts w:ascii="Arial" w:hAnsi="Arial" w:cs="Arial"/>
          <w:bCs/>
          <w:sz w:val="22"/>
          <w:szCs w:val="22"/>
          <w:lang w:val="es-CO"/>
        </w:rPr>
        <w:t>p</w:t>
      </w:r>
      <w:r w:rsidR="009B5F47">
        <w:rPr>
          <w:rFonts w:ascii="Arial" w:hAnsi="Arial" w:cs="Arial"/>
          <w:bCs/>
          <w:sz w:val="22"/>
          <w:szCs w:val="22"/>
          <w:lang w:val="es-CO"/>
        </w:rPr>
        <w:t>rograma</w:t>
      </w:r>
      <w:r w:rsidR="009C7EB6" w:rsidRPr="009C7EB6">
        <w:rPr>
          <w:rFonts w:ascii="Arial" w:hAnsi="Arial" w:cs="Arial"/>
          <w:bCs/>
          <w:sz w:val="22"/>
          <w:szCs w:val="22"/>
          <w:lang w:val="es-MX"/>
        </w:rPr>
        <w:t>;</w:t>
      </w:r>
      <w:r w:rsidR="009C7EB6" w:rsidRPr="009C7EB6">
        <w:rPr>
          <w:rFonts w:ascii="Arial" w:hAnsi="Arial" w:cs="Arial"/>
          <w:bCs/>
          <w:sz w:val="22"/>
          <w:szCs w:val="22"/>
          <w:lang w:val="es-CO"/>
        </w:rPr>
        <w:t xml:space="preserve"> (</w:t>
      </w:r>
      <w:proofErr w:type="spellStart"/>
      <w:r w:rsidR="009C7EB6" w:rsidRPr="009C7EB6">
        <w:rPr>
          <w:rFonts w:ascii="Arial" w:hAnsi="Arial" w:cs="Arial"/>
          <w:bCs/>
          <w:sz w:val="22"/>
          <w:szCs w:val="22"/>
          <w:lang w:val="es-CO"/>
        </w:rPr>
        <w:t>ii</w:t>
      </w:r>
      <w:proofErr w:type="spellEnd"/>
      <w:r w:rsidR="009C7EB6" w:rsidRPr="009C7EB6">
        <w:rPr>
          <w:rFonts w:ascii="Arial" w:hAnsi="Arial" w:cs="Arial"/>
          <w:bCs/>
          <w:sz w:val="22"/>
          <w:szCs w:val="22"/>
          <w:lang w:val="es-CO"/>
        </w:rPr>
        <w:t>)</w:t>
      </w:r>
      <w:r w:rsidR="002B7EF4">
        <w:rPr>
          <w:rFonts w:ascii="Arial" w:hAnsi="Arial" w:cs="Arial"/>
          <w:bCs/>
          <w:sz w:val="22"/>
          <w:szCs w:val="22"/>
          <w:lang w:val="es-CO"/>
        </w:rPr>
        <w:t> </w:t>
      </w:r>
      <w:r w:rsidR="009C7EB6" w:rsidRPr="009C7EB6">
        <w:rPr>
          <w:rFonts w:ascii="Arial" w:hAnsi="Arial" w:cs="Arial"/>
          <w:bCs/>
          <w:sz w:val="22"/>
          <w:szCs w:val="22"/>
          <w:lang w:val="es-CO"/>
        </w:rPr>
        <w:t>requerimientos de información; (</w:t>
      </w:r>
      <w:proofErr w:type="spellStart"/>
      <w:r w:rsidR="009C7EB6" w:rsidRPr="009C7EB6">
        <w:rPr>
          <w:rFonts w:ascii="Arial" w:hAnsi="Arial" w:cs="Arial"/>
          <w:bCs/>
          <w:sz w:val="22"/>
          <w:szCs w:val="22"/>
          <w:lang w:val="es-CO"/>
        </w:rPr>
        <w:t>iii</w:t>
      </w:r>
      <w:proofErr w:type="spellEnd"/>
      <w:r w:rsidR="009C7EB6" w:rsidRPr="009C7EB6">
        <w:rPr>
          <w:rFonts w:ascii="Arial" w:hAnsi="Arial" w:cs="Arial"/>
          <w:bCs/>
          <w:sz w:val="22"/>
          <w:szCs w:val="22"/>
          <w:lang w:val="es-CO"/>
        </w:rPr>
        <w:t>) estructura del informe; y (</w:t>
      </w:r>
      <w:proofErr w:type="spellStart"/>
      <w:r w:rsidR="009C7EB6" w:rsidRPr="009C7EB6">
        <w:rPr>
          <w:rFonts w:ascii="Arial" w:hAnsi="Arial" w:cs="Arial"/>
          <w:bCs/>
          <w:sz w:val="22"/>
          <w:szCs w:val="22"/>
          <w:lang w:val="es-CO"/>
        </w:rPr>
        <w:t>iv</w:t>
      </w:r>
      <w:proofErr w:type="spellEnd"/>
      <w:r w:rsidR="009C7EB6" w:rsidRPr="009C7EB6">
        <w:rPr>
          <w:rFonts w:ascii="Arial" w:hAnsi="Arial" w:cs="Arial"/>
          <w:bCs/>
          <w:sz w:val="22"/>
          <w:szCs w:val="22"/>
          <w:lang w:val="es-CO"/>
        </w:rPr>
        <w:t>) cronograma.</w:t>
      </w:r>
    </w:p>
    <w:p w14:paraId="65F62DD4" w14:textId="4C95746D" w:rsidR="00677420" w:rsidRPr="00677420" w:rsidRDefault="00677420" w:rsidP="00DF75ED">
      <w:pPr>
        <w:pStyle w:val="Paragraph"/>
        <w:numPr>
          <w:ilvl w:val="0"/>
          <w:numId w:val="7"/>
        </w:numPr>
        <w:spacing w:before="0" w:after="60"/>
        <w:rPr>
          <w:rFonts w:ascii="Arial" w:eastAsia="Calibri" w:hAnsi="Arial" w:cs="Arial"/>
          <w:color w:val="000000"/>
          <w:sz w:val="22"/>
          <w:szCs w:val="22"/>
          <w:lang w:val="es-ES_tradnl"/>
        </w:rPr>
      </w:pPr>
      <w:r w:rsidRPr="009C7EB6">
        <w:rPr>
          <w:rFonts w:ascii="Arial" w:hAnsi="Arial" w:cs="Arial"/>
          <w:spacing w:val="-3"/>
          <w:sz w:val="22"/>
          <w:szCs w:val="22"/>
        </w:rPr>
        <w:t xml:space="preserve">Producto 2: </w:t>
      </w:r>
      <w:r w:rsidRPr="009C7EB6">
        <w:rPr>
          <w:rFonts w:ascii="Arial" w:hAnsi="Arial" w:cs="Arial"/>
          <w:sz w:val="22"/>
          <w:szCs w:val="22"/>
        </w:rPr>
        <w:t>Inform</w:t>
      </w:r>
      <w:r w:rsidRPr="00677420">
        <w:rPr>
          <w:rFonts w:ascii="Arial" w:hAnsi="Arial" w:cs="Arial"/>
          <w:sz w:val="22"/>
          <w:szCs w:val="22"/>
        </w:rPr>
        <w:t xml:space="preserve">e </w:t>
      </w:r>
      <w:r>
        <w:rPr>
          <w:rFonts w:ascii="Arial" w:hAnsi="Arial" w:cs="Arial"/>
          <w:sz w:val="22"/>
          <w:szCs w:val="22"/>
        </w:rPr>
        <w:t xml:space="preserve">intermedio </w:t>
      </w:r>
      <w:r w:rsidRPr="00677420">
        <w:rPr>
          <w:rFonts w:ascii="Arial" w:hAnsi="Arial" w:cs="Arial"/>
          <w:sz w:val="22"/>
          <w:szCs w:val="22"/>
        </w:rPr>
        <w:t>resumiendo los principales resultados de los diferentes análisis realizados.</w:t>
      </w:r>
    </w:p>
    <w:p w14:paraId="1CA05337" w14:textId="10EB5E76" w:rsidR="00677420" w:rsidRPr="00677420" w:rsidRDefault="00677420" w:rsidP="00DF75ED">
      <w:pPr>
        <w:pStyle w:val="Paragraph"/>
        <w:numPr>
          <w:ilvl w:val="0"/>
          <w:numId w:val="7"/>
        </w:numPr>
        <w:spacing w:before="0" w:after="60"/>
        <w:rPr>
          <w:rFonts w:ascii="Arial" w:eastAsia="Calibri" w:hAnsi="Arial" w:cs="Arial"/>
          <w:color w:val="000000"/>
          <w:sz w:val="22"/>
          <w:szCs w:val="22"/>
          <w:lang w:val="es-ES_tradnl"/>
        </w:rPr>
      </w:pPr>
      <w:r>
        <w:rPr>
          <w:rFonts w:ascii="Arial" w:hAnsi="Arial" w:cs="Arial"/>
          <w:spacing w:val="-3"/>
          <w:sz w:val="22"/>
          <w:szCs w:val="22"/>
        </w:rPr>
        <w:t xml:space="preserve">Producto 3: </w:t>
      </w:r>
      <w:r>
        <w:rPr>
          <w:rFonts w:ascii="Arial" w:hAnsi="Arial" w:cs="Arial"/>
          <w:sz w:val="22"/>
          <w:szCs w:val="22"/>
        </w:rPr>
        <w:t>I</w:t>
      </w:r>
      <w:r w:rsidRPr="00677420">
        <w:rPr>
          <w:rFonts w:ascii="Arial" w:hAnsi="Arial" w:cs="Arial"/>
          <w:sz w:val="22"/>
          <w:szCs w:val="22"/>
        </w:rPr>
        <w:t xml:space="preserve">nforme </w:t>
      </w:r>
      <w:r>
        <w:rPr>
          <w:rFonts w:ascii="Arial" w:hAnsi="Arial" w:cs="Arial"/>
          <w:sz w:val="22"/>
          <w:szCs w:val="22"/>
        </w:rPr>
        <w:t xml:space="preserve">final </w:t>
      </w:r>
      <w:r w:rsidRPr="00677420">
        <w:rPr>
          <w:rFonts w:ascii="Arial" w:hAnsi="Arial" w:cs="Arial"/>
          <w:sz w:val="22"/>
          <w:szCs w:val="22"/>
        </w:rPr>
        <w:t>resumiendo los principales resultados de los diferentes análisis realizados.</w:t>
      </w:r>
    </w:p>
    <w:p w14:paraId="26EDE920" w14:textId="77777777" w:rsidR="00677420" w:rsidRPr="00677420" w:rsidRDefault="00677420" w:rsidP="00DF75ED">
      <w:pPr>
        <w:pStyle w:val="Paragraph"/>
        <w:numPr>
          <w:ilvl w:val="0"/>
          <w:numId w:val="0"/>
        </w:numPr>
        <w:spacing w:before="0" w:after="60"/>
        <w:rPr>
          <w:rFonts w:ascii="Arial" w:eastAsia="Calibri" w:hAnsi="Arial" w:cs="Arial"/>
          <w:b/>
          <w:sz w:val="22"/>
          <w:szCs w:val="22"/>
          <w:lang w:val="es-ES_tradnl"/>
        </w:rPr>
      </w:pPr>
    </w:p>
    <w:p w14:paraId="5958F341" w14:textId="309388A5" w:rsidR="008D029C" w:rsidRPr="00677420" w:rsidRDefault="008D029C" w:rsidP="00DF75ED">
      <w:pPr>
        <w:pStyle w:val="Paragraph"/>
        <w:numPr>
          <w:ilvl w:val="0"/>
          <w:numId w:val="0"/>
        </w:numPr>
        <w:spacing w:before="0" w:after="60"/>
        <w:rPr>
          <w:rFonts w:ascii="Arial" w:eastAsia="Calibri" w:hAnsi="Arial" w:cs="Arial"/>
          <w:b/>
          <w:sz w:val="22"/>
          <w:szCs w:val="22"/>
          <w:lang w:val="es-ES_tradnl"/>
        </w:rPr>
      </w:pPr>
      <w:r w:rsidRPr="00677420">
        <w:rPr>
          <w:rFonts w:ascii="Arial" w:eastAsia="Calibri" w:hAnsi="Arial" w:cs="Arial"/>
          <w:b/>
          <w:sz w:val="22"/>
          <w:szCs w:val="22"/>
          <w:lang w:val="es-ES_tradnl"/>
        </w:rPr>
        <w:t>Cronograma de Pagos</w:t>
      </w:r>
      <w:r w:rsidRPr="00677420">
        <w:rPr>
          <w:rFonts w:ascii="Arial" w:eastAsia="Calibri" w:hAnsi="Arial" w:cs="Arial"/>
          <w:sz w:val="22"/>
          <w:szCs w:val="22"/>
          <w:lang w:val="es-VE"/>
        </w:rPr>
        <w:t>: Los pagos serán realizados de la siguiente manera:</w:t>
      </w:r>
      <w:r w:rsidRPr="00677420">
        <w:rPr>
          <w:rFonts w:ascii="Arial" w:hAnsi="Arial" w:cs="Arial"/>
          <w:sz w:val="22"/>
          <w:szCs w:val="22"/>
          <w:lang w:val="es-ES_tradnl"/>
        </w:rPr>
        <w:t xml:space="preserve"> </w:t>
      </w:r>
    </w:p>
    <w:p w14:paraId="4478DC21" w14:textId="1E23E0F8" w:rsidR="008D029C" w:rsidRPr="00677420" w:rsidRDefault="008D029C" w:rsidP="00DF75ED">
      <w:pPr>
        <w:pStyle w:val="ListParagraph"/>
        <w:numPr>
          <w:ilvl w:val="0"/>
          <w:numId w:val="5"/>
        </w:numPr>
        <w:spacing w:after="60"/>
        <w:ind w:left="360"/>
        <w:contextualSpacing w:val="0"/>
        <w:jc w:val="both"/>
        <w:rPr>
          <w:rFonts w:ascii="Arial" w:hAnsi="Arial" w:cs="Arial"/>
          <w:sz w:val="22"/>
          <w:szCs w:val="22"/>
          <w:lang w:val="es-VE"/>
        </w:rPr>
      </w:pPr>
      <w:r w:rsidRPr="00677420">
        <w:rPr>
          <w:rFonts w:ascii="Arial" w:hAnsi="Arial" w:cs="Arial"/>
          <w:sz w:val="22"/>
          <w:szCs w:val="22"/>
          <w:lang w:val="es-VE"/>
        </w:rPr>
        <w:t>20 % a la entrega y aprobación del plan de trabajo del literal (i)</w:t>
      </w:r>
      <w:r w:rsidR="00677420">
        <w:rPr>
          <w:rFonts w:ascii="Arial" w:hAnsi="Arial" w:cs="Arial"/>
          <w:sz w:val="22"/>
          <w:szCs w:val="22"/>
          <w:lang w:val="es-VE"/>
        </w:rPr>
        <w:t xml:space="preserve"> de la sección de entregables.</w:t>
      </w:r>
    </w:p>
    <w:p w14:paraId="36FC0758" w14:textId="44217D5F" w:rsidR="008D029C" w:rsidRDefault="00677420" w:rsidP="00DF75ED">
      <w:pPr>
        <w:pStyle w:val="ListParagraph"/>
        <w:numPr>
          <w:ilvl w:val="0"/>
          <w:numId w:val="5"/>
        </w:numPr>
        <w:spacing w:after="60"/>
        <w:ind w:left="360"/>
        <w:contextualSpacing w:val="0"/>
        <w:jc w:val="both"/>
        <w:rPr>
          <w:rFonts w:ascii="Arial" w:hAnsi="Arial" w:cs="Arial"/>
          <w:sz w:val="22"/>
          <w:szCs w:val="22"/>
          <w:lang w:val="es-VE"/>
        </w:rPr>
      </w:pPr>
      <w:r>
        <w:rPr>
          <w:rFonts w:ascii="Arial" w:hAnsi="Arial" w:cs="Arial"/>
          <w:sz w:val="22"/>
          <w:szCs w:val="22"/>
          <w:lang w:val="es-VE"/>
        </w:rPr>
        <w:t>5</w:t>
      </w:r>
      <w:r w:rsidR="008D029C" w:rsidRPr="00677420">
        <w:rPr>
          <w:rFonts w:ascii="Arial" w:hAnsi="Arial" w:cs="Arial"/>
          <w:sz w:val="22"/>
          <w:szCs w:val="22"/>
          <w:lang w:val="es-VE"/>
        </w:rPr>
        <w:t>0 % a la entrega y aprobación del Informe indicado en el literal (</w:t>
      </w:r>
      <w:proofErr w:type="spellStart"/>
      <w:r>
        <w:rPr>
          <w:rFonts w:ascii="Arial" w:hAnsi="Arial" w:cs="Arial"/>
          <w:sz w:val="22"/>
          <w:szCs w:val="22"/>
          <w:lang w:val="es-VE"/>
        </w:rPr>
        <w:t>ii</w:t>
      </w:r>
      <w:proofErr w:type="spellEnd"/>
      <w:r w:rsidR="008D029C" w:rsidRPr="00677420">
        <w:rPr>
          <w:rFonts w:ascii="Arial" w:hAnsi="Arial" w:cs="Arial"/>
          <w:sz w:val="22"/>
          <w:szCs w:val="22"/>
          <w:lang w:val="es-VE"/>
        </w:rPr>
        <w:t>)</w:t>
      </w:r>
      <w:r w:rsidRPr="00677420">
        <w:rPr>
          <w:rFonts w:ascii="Arial" w:hAnsi="Arial" w:cs="Arial"/>
          <w:sz w:val="22"/>
          <w:szCs w:val="22"/>
          <w:lang w:val="es-VE"/>
        </w:rPr>
        <w:t xml:space="preserve"> </w:t>
      </w:r>
      <w:r>
        <w:rPr>
          <w:rFonts w:ascii="Arial" w:hAnsi="Arial" w:cs="Arial"/>
          <w:sz w:val="22"/>
          <w:szCs w:val="22"/>
          <w:lang w:val="es-VE"/>
        </w:rPr>
        <w:t>de la sección de entregables.</w:t>
      </w:r>
    </w:p>
    <w:p w14:paraId="315CD50D" w14:textId="53D37C0E" w:rsidR="00677420" w:rsidRPr="00677420" w:rsidRDefault="00677420" w:rsidP="00DF75ED">
      <w:pPr>
        <w:pStyle w:val="ListParagraph"/>
        <w:numPr>
          <w:ilvl w:val="0"/>
          <w:numId w:val="5"/>
        </w:numPr>
        <w:spacing w:after="60"/>
        <w:ind w:left="360"/>
        <w:contextualSpacing w:val="0"/>
        <w:jc w:val="both"/>
        <w:rPr>
          <w:rFonts w:ascii="Arial" w:hAnsi="Arial" w:cs="Arial"/>
          <w:sz w:val="22"/>
          <w:szCs w:val="22"/>
          <w:lang w:val="es-VE"/>
        </w:rPr>
      </w:pPr>
      <w:r>
        <w:rPr>
          <w:rFonts w:ascii="Arial" w:hAnsi="Arial" w:cs="Arial"/>
          <w:sz w:val="22"/>
          <w:szCs w:val="22"/>
          <w:lang w:val="es-VE"/>
        </w:rPr>
        <w:t>3</w:t>
      </w:r>
      <w:r w:rsidRPr="00677420">
        <w:rPr>
          <w:rFonts w:ascii="Arial" w:hAnsi="Arial" w:cs="Arial"/>
          <w:sz w:val="22"/>
          <w:szCs w:val="22"/>
          <w:lang w:val="es-VE"/>
        </w:rPr>
        <w:t>0 % a la entrega y aprobación del Informe indicado en el literal (</w:t>
      </w:r>
      <w:proofErr w:type="spellStart"/>
      <w:r>
        <w:rPr>
          <w:rFonts w:ascii="Arial" w:hAnsi="Arial" w:cs="Arial"/>
          <w:sz w:val="22"/>
          <w:szCs w:val="22"/>
          <w:lang w:val="es-VE"/>
        </w:rPr>
        <w:t>iii</w:t>
      </w:r>
      <w:proofErr w:type="spellEnd"/>
      <w:r w:rsidRPr="00677420">
        <w:rPr>
          <w:rFonts w:ascii="Arial" w:hAnsi="Arial" w:cs="Arial"/>
          <w:sz w:val="22"/>
          <w:szCs w:val="22"/>
          <w:lang w:val="es-VE"/>
        </w:rPr>
        <w:t xml:space="preserve">) </w:t>
      </w:r>
      <w:r>
        <w:rPr>
          <w:rFonts w:ascii="Arial" w:hAnsi="Arial" w:cs="Arial"/>
          <w:sz w:val="22"/>
          <w:szCs w:val="22"/>
          <w:lang w:val="es-VE"/>
        </w:rPr>
        <w:t>de la sección de entregables.</w:t>
      </w:r>
    </w:p>
    <w:p w14:paraId="639E21BC" w14:textId="7DB27DBA" w:rsidR="00343BA8" w:rsidRPr="00677420" w:rsidRDefault="008D029C" w:rsidP="00677420">
      <w:pPr>
        <w:spacing w:after="120"/>
        <w:jc w:val="both"/>
        <w:rPr>
          <w:rFonts w:ascii="Arial" w:hAnsi="Arial" w:cs="Arial"/>
          <w:sz w:val="22"/>
          <w:szCs w:val="22"/>
          <w:lang w:val="es-CO"/>
        </w:rPr>
      </w:pPr>
      <w:r w:rsidRPr="00677420">
        <w:rPr>
          <w:rFonts w:ascii="Arial" w:hAnsi="Arial" w:cs="Arial"/>
          <w:sz w:val="22"/>
          <w:szCs w:val="22"/>
        </w:rPr>
        <w:t>Los pagos están sujetos a la aprobación por parte del Banco. Todo informe debe ser sometido al Banco en archivos electrónicos.</w:t>
      </w:r>
    </w:p>
    <w:p w14:paraId="3E1DC312" w14:textId="77777777" w:rsidR="00343BA8" w:rsidRPr="00343BA8" w:rsidRDefault="00343BA8" w:rsidP="00343BA8">
      <w:pPr>
        <w:spacing w:after="120"/>
        <w:rPr>
          <w:rFonts w:ascii="Arial" w:hAnsi="Arial" w:cs="Arial"/>
          <w:b/>
          <w:noProof/>
          <w:sz w:val="22"/>
          <w:szCs w:val="22"/>
          <w:lang w:val="es-CO" w:bidi="he-IL"/>
        </w:rPr>
      </w:pPr>
    </w:p>
    <w:p w14:paraId="278FA2CA" w14:textId="77777777" w:rsidR="00343BA8" w:rsidRPr="00343BA8" w:rsidRDefault="00343BA8" w:rsidP="009C7EB6">
      <w:pPr>
        <w:keepNext/>
        <w:spacing w:after="120"/>
        <w:rPr>
          <w:rFonts w:ascii="Arial" w:hAnsi="Arial" w:cs="Arial"/>
          <w:b/>
          <w:bCs/>
          <w:sz w:val="22"/>
          <w:szCs w:val="22"/>
          <w:u w:val="single"/>
        </w:rPr>
      </w:pPr>
      <w:r w:rsidRPr="00343BA8">
        <w:rPr>
          <w:rFonts w:ascii="Arial" w:hAnsi="Arial" w:cs="Arial"/>
          <w:b/>
          <w:bCs/>
          <w:sz w:val="22"/>
          <w:szCs w:val="22"/>
          <w:u w:val="single"/>
        </w:rPr>
        <w:t>Lo que necesitarás:</w:t>
      </w:r>
    </w:p>
    <w:p w14:paraId="4C64E969" w14:textId="5F6E2D32" w:rsidR="00343BA8" w:rsidRPr="00343BA8" w:rsidRDefault="00343BA8" w:rsidP="00D73FE8">
      <w:pPr>
        <w:pStyle w:val="ListParagraph"/>
        <w:numPr>
          <w:ilvl w:val="0"/>
          <w:numId w:val="3"/>
        </w:numPr>
        <w:spacing w:after="60"/>
        <w:ind w:left="360"/>
        <w:contextualSpacing w:val="0"/>
        <w:jc w:val="both"/>
        <w:rPr>
          <w:rFonts w:ascii="Arial" w:hAnsi="Arial" w:cs="Arial"/>
          <w:sz w:val="22"/>
          <w:szCs w:val="22"/>
          <w:lang w:val="es-ES"/>
        </w:rPr>
      </w:pPr>
      <w:r w:rsidRPr="00343BA8">
        <w:rPr>
          <w:rFonts w:ascii="Arial" w:hAnsi="Arial" w:cs="Arial"/>
          <w:b/>
          <w:sz w:val="22"/>
          <w:szCs w:val="22"/>
          <w:lang w:val="es-ES"/>
        </w:rPr>
        <w:t>Educación:</w:t>
      </w:r>
      <w:r w:rsidRPr="00343BA8">
        <w:rPr>
          <w:rFonts w:ascii="Arial" w:hAnsi="Arial" w:cs="Arial"/>
          <w:sz w:val="22"/>
          <w:szCs w:val="22"/>
          <w:lang w:val="es-ES"/>
        </w:rPr>
        <w:t xml:space="preserve"> Licenciatura en economía</w:t>
      </w:r>
      <w:r>
        <w:rPr>
          <w:rFonts w:ascii="Arial" w:hAnsi="Arial" w:cs="Arial"/>
          <w:sz w:val="22"/>
          <w:szCs w:val="22"/>
          <w:lang w:val="es-ES"/>
        </w:rPr>
        <w:t>,</w:t>
      </w:r>
      <w:r w:rsidRPr="00343BA8">
        <w:rPr>
          <w:rFonts w:ascii="Arial" w:hAnsi="Arial" w:cs="Arial"/>
          <w:sz w:val="22"/>
          <w:szCs w:val="22"/>
          <w:lang w:val="es-ES"/>
        </w:rPr>
        <w:t xml:space="preserve"> </w:t>
      </w:r>
      <w:r>
        <w:rPr>
          <w:rFonts w:ascii="Arial" w:hAnsi="Arial" w:cs="Arial"/>
          <w:sz w:val="22"/>
          <w:szCs w:val="22"/>
          <w:lang w:val="es-ES"/>
        </w:rPr>
        <w:t>p</w:t>
      </w:r>
      <w:r w:rsidRPr="00343BA8">
        <w:rPr>
          <w:rFonts w:ascii="Arial" w:hAnsi="Arial" w:cs="Arial"/>
          <w:sz w:val="22"/>
          <w:szCs w:val="22"/>
          <w:lang w:val="es-ES"/>
        </w:rPr>
        <w:t xml:space="preserve">olíticas </w:t>
      </w:r>
      <w:r>
        <w:rPr>
          <w:rFonts w:ascii="Arial" w:hAnsi="Arial" w:cs="Arial"/>
          <w:sz w:val="22"/>
          <w:szCs w:val="22"/>
          <w:lang w:val="es-ES"/>
        </w:rPr>
        <w:t>p</w:t>
      </w:r>
      <w:r w:rsidRPr="00343BA8">
        <w:rPr>
          <w:rFonts w:ascii="Arial" w:hAnsi="Arial" w:cs="Arial"/>
          <w:sz w:val="22"/>
          <w:szCs w:val="22"/>
          <w:lang w:val="es-ES"/>
        </w:rPr>
        <w:t xml:space="preserve">úblicas, </w:t>
      </w:r>
      <w:r>
        <w:rPr>
          <w:rFonts w:ascii="Arial" w:hAnsi="Arial" w:cs="Arial"/>
          <w:sz w:val="22"/>
          <w:szCs w:val="22"/>
          <w:lang w:val="es-ES"/>
        </w:rPr>
        <w:t>o afines</w:t>
      </w:r>
      <w:r w:rsidRPr="00343BA8">
        <w:rPr>
          <w:rFonts w:ascii="Arial" w:hAnsi="Arial" w:cs="Arial"/>
          <w:sz w:val="22"/>
          <w:szCs w:val="22"/>
          <w:lang w:val="es-ES"/>
        </w:rPr>
        <w:t>.</w:t>
      </w:r>
    </w:p>
    <w:p w14:paraId="565B4CAA" w14:textId="5029AECA" w:rsidR="00343BA8" w:rsidRPr="00343BA8" w:rsidRDefault="00343BA8" w:rsidP="00D73FE8">
      <w:pPr>
        <w:pStyle w:val="ListParagraph"/>
        <w:numPr>
          <w:ilvl w:val="0"/>
          <w:numId w:val="3"/>
        </w:numPr>
        <w:spacing w:after="60"/>
        <w:ind w:left="360"/>
        <w:contextualSpacing w:val="0"/>
        <w:jc w:val="both"/>
        <w:rPr>
          <w:rFonts w:ascii="Arial" w:hAnsi="Arial" w:cs="Arial"/>
          <w:sz w:val="22"/>
          <w:szCs w:val="22"/>
          <w:lang w:val="es-ES"/>
        </w:rPr>
      </w:pPr>
      <w:r w:rsidRPr="00343BA8">
        <w:rPr>
          <w:rFonts w:ascii="Arial" w:hAnsi="Arial" w:cs="Arial"/>
          <w:b/>
          <w:sz w:val="22"/>
          <w:szCs w:val="22"/>
          <w:lang w:val="es-ES"/>
        </w:rPr>
        <w:t>Experiencia:</w:t>
      </w:r>
      <w:r w:rsidRPr="00343BA8">
        <w:rPr>
          <w:rFonts w:ascii="Arial" w:hAnsi="Arial" w:cs="Arial"/>
          <w:sz w:val="22"/>
          <w:szCs w:val="22"/>
          <w:lang w:val="es-ES"/>
        </w:rPr>
        <w:t xml:space="preserve"> Mínimo </w:t>
      </w:r>
      <w:r>
        <w:rPr>
          <w:rFonts w:ascii="Arial" w:hAnsi="Arial" w:cs="Arial"/>
          <w:sz w:val="22"/>
          <w:szCs w:val="22"/>
          <w:lang w:val="es-ES"/>
        </w:rPr>
        <w:t>5</w:t>
      </w:r>
      <w:r w:rsidRPr="00343BA8">
        <w:rPr>
          <w:rFonts w:ascii="Arial" w:hAnsi="Arial" w:cs="Arial"/>
          <w:sz w:val="22"/>
          <w:szCs w:val="22"/>
          <w:lang w:val="es-ES"/>
        </w:rPr>
        <w:t xml:space="preserve"> años de experiencia.</w:t>
      </w:r>
    </w:p>
    <w:p w14:paraId="14EF86EF" w14:textId="4E7476DE" w:rsidR="00343BA8" w:rsidRPr="008D029C" w:rsidRDefault="00343BA8" w:rsidP="00D73FE8">
      <w:pPr>
        <w:pStyle w:val="ListParagraph"/>
        <w:numPr>
          <w:ilvl w:val="0"/>
          <w:numId w:val="3"/>
        </w:numPr>
        <w:spacing w:after="60"/>
        <w:ind w:left="360"/>
        <w:contextualSpacing w:val="0"/>
        <w:jc w:val="both"/>
        <w:rPr>
          <w:rFonts w:ascii="Arial" w:hAnsi="Arial" w:cs="Arial"/>
          <w:sz w:val="22"/>
          <w:szCs w:val="22"/>
          <w:lang w:val="es-ES"/>
        </w:rPr>
      </w:pPr>
      <w:r w:rsidRPr="00343BA8">
        <w:rPr>
          <w:rFonts w:ascii="Arial" w:hAnsi="Arial" w:cs="Arial"/>
          <w:b/>
          <w:sz w:val="22"/>
          <w:szCs w:val="22"/>
          <w:lang w:val="es-ES"/>
        </w:rPr>
        <w:t>Idiomas:</w:t>
      </w:r>
      <w:r w:rsidRPr="00343BA8">
        <w:rPr>
          <w:rFonts w:ascii="Arial" w:hAnsi="Arial" w:cs="Arial"/>
          <w:sz w:val="22"/>
          <w:szCs w:val="22"/>
          <w:lang w:val="es-ES"/>
        </w:rPr>
        <w:t xml:space="preserve"> Español.</w:t>
      </w:r>
    </w:p>
    <w:p w14:paraId="6F516583" w14:textId="77777777" w:rsidR="00343BA8" w:rsidRPr="00343BA8" w:rsidRDefault="00343BA8" w:rsidP="00D73FE8">
      <w:pPr>
        <w:keepNext/>
        <w:spacing w:after="60"/>
        <w:jc w:val="both"/>
        <w:rPr>
          <w:rFonts w:ascii="Arial" w:hAnsi="Arial" w:cs="Arial"/>
          <w:b/>
          <w:bCs/>
          <w:sz w:val="22"/>
          <w:szCs w:val="22"/>
          <w:lang w:val="es-ES"/>
        </w:rPr>
      </w:pPr>
      <w:r w:rsidRPr="00343BA8">
        <w:rPr>
          <w:rFonts w:ascii="Arial" w:hAnsi="Arial" w:cs="Arial"/>
          <w:b/>
          <w:bCs/>
          <w:sz w:val="22"/>
          <w:szCs w:val="22"/>
          <w:lang w:val="es-ES"/>
        </w:rPr>
        <w:t>Resumen de la oportunidad:</w:t>
      </w:r>
    </w:p>
    <w:p w14:paraId="20B04E39" w14:textId="169ACB3B" w:rsidR="00343BA8" w:rsidRPr="00343BA8" w:rsidRDefault="00343BA8" w:rsidP="00D73FE8">
      <w:pPr>
        <w:pStyle w:val="ListParagraph"/>
        <w:numPr>
          <w:ilvl w:val="0"/>
          <w:numId w:val="4"/>
        </w:numPr>
        <w:spacing w:after="60"/>
        <w:contextualSpacing w:val="0"/>
        <w:jc w:val="both"/>
        <w:rPr>
          <w:rFonts w:ascii="Arial" w:hAnsi="Arial" w:cs="Arial"/>
          <w:sz w:val="22"/>
          <w:szCs w:val="22"/>
          <w:lang w:val="es-ES"/>
        </w:rPr>
      </w:pPr>
      <w:r w:rsidRPr="00343BA8">
        <w:rPr>
          <w:rFonts w:ascii="Arial" w:hAnsi="Arial" w:cs="Arial"/>
          <w:b/>
          <w:sz w:val="22"/>
          <w:szCs w:val="22"/>
          <w:lang w:val="es-ES"/>
        </w:rPr>
        <w:t xml:space="preserve">Tipo de contrato y modalidad: </w:t>
      </w:r>
      <w:r w:rsidRPr="001A5A3B">
        <w:rPr>
          <w:rFonts w:ascii="Arial" w:hAnsi="Arial" w:cs="Arial"/>
          <w:sz w:val="22"/>
          <w:szCs w:val="22"/>
          <w:lang w:val="es-ES"/>
        </w:rPr>
        <w:t>Contractual de Productos y Servicios Externos, Suma Alzada.</w:t>
      </w:r>
    </w:p>
    <w:p w14:paraId="26B5AF75" w14:textId="7F549A26" w:rsidR="00343BA8" w:rsidRPr="008D029C" w:rsidRDefault="00343BA8" w:rsidP="00D73FE8">
      <w:pPr>
        <w:pStyle w:val="ListParagraph"/>
        <w:numPr>
          <w:ilvl w:val="0"/>
          <w:numId w:val="4"/>
        </w:numPr>
        <w:spacing w:after="60"/>
        <w:contextualSpacing w:val="0"/>
        <w:jc w:val="both"/>
        <w:rPr>
          <w:rFonts w:ascii="Arial" w:hAnsi="Arial" w:cs="Arial"/>
          <w:sz w:val="22"/>
          <w:szCs w:val="22"/>
          <w:lang w:val="es-MX"/>
        </w:rPr>
      </w:pPr>
      <w:r w:rsidRPr="00343BA8">
        <w:rPr>
          <w:rFonts w:ascii="Arial" w:hAnsi="Arial" w:cs="Arial"/>
          <w:b/>
          <w:sz w:val="22"/>
          <w:szCs w:val="22"/>
          <w:lang w:val="es-ES"/>
        </w:rPr>
        <w:t xml:space="preserve">Duración del contrato: </w:t>
      </w:r>
      <w:r>
        <w:rPr>
          <w:rFonts w:ascii="Arial" w:hAnsi="Arial" w:cs="Arial"/>
          <w:sz w:val="22"/>
          <w:szCs w:val="22"/>
          <w:lang w:val="es-ES"/>
        </w:rPr>
        <w:t>3</w:t>
      </w:r>
      <w:r w:rsidRPr="00343BA8">
        <w:rPr>
          <w:rFonts w:ascii="Arial" w:hAnsi="Arial" w:cs="Arial"/>
          <w:sz w:val="22"/>
          <w:szCs w:val="22"/>
          <w:lang w:val="es-ES"/>
        </w:rPr>
        <w:t xml:space="preserve"> </w:t>
      </w:r>
      <w:r w:rsidRPr="008D029C">
        <w:rPr>
          <w:rFonts w:ascii="Arial" w:hAnsi="Arial" w:cs="Arial"/>
          <w:sz w:val="22"/>
          <w:szCs w:val="22"/>
          <w:lang w:val="es-MX"/>
        </w:rPr>
        <w:t>meses.</w:t>
      </w:r>
    </w:p>
    <w:p w14:paraId="0EFC28FB" w14:textId="6BD79613" w:rsidR="00343BA8" w:rsidRPr="00E74665" w:rsidRDefault="00343BA8" w:rsidP="00D73FE8">
      <w:pPr>
        <w:pStyle w:val="ListParagraph"/>
        <w:numPr>
          <w:ilvl w:val="0"/>
          <w:numId w:val="4"/>
        </w:numPr>
        <w:spacing w:after="60"/>
        <w:contextualSpacing w:val="0"/>
        <w:jc w:val="both"/>
        <w:rPr>
          <w:rFonts w:ascii="Arial" w:hAnsi="Arial" w:cs="Arial"/>
          <w:bCs/>
          <w:sz w:val="22"/>
          <w:szCs w:val="22"/>
          <w:lang w:val="es-ES"/>
        </w:rPr>
      </w:pPr>
      <w:r w:rsidRPr="008D029C">
        <w:rPr>
          <w:rFonts w:ascii="Arial" w:hAnsi="Arial" w:cs="Arial"/>
          <w:b/>
          <w:sz w:val="22"/>
          <w:szCs w:val="22"/>
          <w:lang w:val="es-MX"/>
        </w:rPr>
        <w:t xml:space="preserve">Ubicación: </w:t>
      </w:r>
      <w:r w:rsidRPr="008D029C">
        <w:rPr>
          <w:rFonts w:ascii="Arial" w:hAnsi="Arial" w:cs="Arial"/>
          <w:spacing w:val="-3"/>
          <w:sz w:val="22"/>
          <w:szCs w:val="22"/>
          <w:lang w:val="es-MX"/>
        </w:rPr>
        <w:t>Lugar de resid</w:t>
      </w:r>
      <w:r w:rsidR="00E74665">
        <w:rPr>
          <w:rFonts w:ascii="Arial" w:hAnsi="Arial" w:cs="Arial"/>
          <w:spacing w:val="-3"/>
          <w:sz w:val="22"/>
          <w:szCs w:val="22"/>
          <w:lang w:val="es-MX"/>
        </w:rPr>
        <w:t>encia</w:t>
      </w:r>
      <w:r w:rsidRPr="001A5A3B">
        <w:rPr>
          <w:rFonts w:ascii="Arial" w:hAnsi="Arial" w:cs="Arial"/>
          <w:spacing w:val="-3"/>
          <w:sz w:val="22"/>
          <w:szCs w:val="22"/>
        </w:rPr>
        <w:t xml:space="preserve"> del c</w:t>
      </w:r>
      <w:r w:rsidRPr="00E74665">
        <w:rPr>
          <w:rFonts w:ascii="Arial" w:hAnsi="Arial" w:cs="Arial"/>
          <w:spacing w:val="-3"/>
          <w:sz w:val="22"/>
          <w:szCs w:val="22"/>
        </w:rPr>
        <w:t>ontractual.</w:t>
      </w:r>
    </w:p>
    <w:p w14:paraId="6B5A30CB" w14:textId="14822CE8" w:rsidR="008D029C" w:rsidRPr="00E74665" w:rsidRDefault="00343BA8" w:rsidP="00D73FE8">
      <w:pPr>
        <w:pStyle w:val="ListParagraph"/>
        <w:numPr>
          <w:ilvl w:val="0"/>
          <w:numId w:val="4"/>
        </w:numPr>
        <w:spacing w:after="60"/>
        <w:contextualSpacing w:val="0"/>
        <w:jc w:val="both"/>
        <w:rPr>
          <w:rFonts w:ascii="Arial" w:hAnsi="Arial" w:cs="Arial"/>
          <w:bCs/>
          <w:sz w:val="22"/>
          <w:szCs w:val="22"/>
          <w:lang w:val="es-ES"/>
        </w:rPr>
      </w:pPr>
      <w:r w:rsidRPr="00E74665">
        <w:rPr>
          <w:rFonts w:ascii="Arial" w:hAnsi="Arial" w:cs="Arial"/>
          <w:b/>
          <w:sz w:val="22"/>
          <w:szCs w:val="22"/>
          <w:lang w:val="es-ES"/>
        </w:rPr>
        <w:t xml:space="preserve">Persona responsable: </w:t>
      </w:r>
      <w:r w:rsidR="00C60E34">
        <w:rPr>
          <w:rFonts w:ascii="Arial" w:hAnsi="Arial" w:cs="Arial"/>
          <w:sz w:val="22"/>
          <w:szCs w:val="22"/>
        </w:rPr>
        <w:t>Mario Sangines</w:t>
      </w:r>
      <w:r w:rsidRPr="00E74665">
        <w:rPr>
          <w:rFonts w:ascii="Arial" w:hAnsi="Arial" w:cs="Arial"/>
          <w:sz w:val="22"/>
          <w:szCs w:val="22"/>
        </w:rPr>
        <w:t xml:space="preserve"> (</w:t>
      </w:r>
      <w:hyperlink r:id="rId26" w:history="1">
        <w:r w:rsidR="00C60E34" w:rsidRPr="00706F61">
          <w:rPr>
            <w:rStyle w:val="Hyperlink"/>
            <w:rFonts w:ascii="Arial" w:eastAsiaTheme="majorEastAsia" w:hAnsi="Arial" w:cs="Arial"/>
            <w:sz w:val="22"/>
            <w:szCs w:val="22"/>
            <w:lang w:val="es-ES"/>
          </w:rPr>
          <w:t>mariosa@iadb.org</w:t>
        </w:r>
      </w:hyperlink>
      <w:r w:rsidRPr="00E74665">
        <w:rPr>
          <w:rFonts w:ascii="Arial" w:hAnsi="Arial" w:cs="Arial"/>
          <w:sz w:val="22"/>
          <w:szCs w:val="22"/>
        </w:rPr>
        <w:t xml:space="preserve">), </w:t>
      </w:r>
      <w:r w:rsidRPr="00E74665">
        <w:rPr>
          <w:rFonts w:ascii="Arial" w:hAnsi="Arial" w:cs="Arial"/>
          <w:sz w:val="22"/>
          <w:szCs w:val="22"/>
          <w:lang w:val="es-ES"/>
        </w:rPr>
        <w:t>División de Gestión Fiscal y Municipal (FMM).</w:t>
      </w:r>
    </w:p>
    <w:p w14:paraId="3B436C62" w14:textId="14005218" w:rsidR="00343BA8" w:rsidRPr="008D029C" w:rsidRDefault="00343BA8" w:rsidP="00D73FE8">
      <w:pPr>
        <w:pStyle w:val="ListParagraph"/>
        <w:numPr>
          <w:ilvl w:val="0"/>
          <w:numId w:val="4"/>
        </w:numPr>
        <w:spacing w:after="60"/>
        <w:contextualSpacing w:val="0"/>
        <w:jc w:val="both"/>
        <w:rPr>
          <w:rFonts w:ascii="Arial" w:hAnsi="Arial" w:cs="Arial"/>
          <w:bCs/>
          <w:sz w:val="22"/>
          <w:szCs w:val="22"/>
          <w:lang w:val="es-ES"/>
        </w:rPr>
      </w:pPr>
      <w:r w:rsidRPr="008D029C">
        <w:rPr>
          <w:rFonts w:ascii="Arial" w:hAnsi="Arial" w:cs="Arial"/>
          <w:b/>
          <w:sz w:val="22"/>
          <w:szCs w:val="22"/>
        </w:rPr>
        <w:t xml:space="preserve">Requisitos: </w:t>
      </w:r>
      <w:bookmarkStart w:id="18" w:name="_Hlk497833004"/>
      <w:r w:rsidR="008D029C" w:rsidRPr="008D029C">
        <w:rPr>
          <w:rFonts w:ascii="Arial" w:hAnsi="Arial" w:cs="Arial"/>
          <w:sz w:val="22"/>
          <w:szCs w:val="22"/>
        </w:rPr>
        <w:t>Debes ser ciudadano/a de uno de los 48 países miembros del BID y no tener familiares que trabajen actualmente en el Grupo BID</w:t>
      </w:r>
      <w:r w:rsidRPr="008D029C">
        <w:rPr>
          <w:rFonts w:ascii="Arial" w:hAnsi="Arial" w:cs="Arial"/>
          <w:sz w:val="22"/>
          <w:szCs w:val="22"/>
        </w:rPr>
        <w:t>.</w:t>
      </w:r>
      <w:bookmarkEnd w:id="18"/>
    </w:p>
    <w:p w14:paraId="24A1CA8A" w14:textId="77777777" w:rsidR="00343BA8" w:rsidRPr="00343BA8" w:rsidRDefault="00343BA8" w:rsidP="00343BA8">
      <w:pPr>
        <w:spacing w:after="120"/>
        <w:jc w:val="both"/>
        <w:rPr>
          <w:rFonts w:ascii="Arial" w:hAnsi="Arial" w:cs="Arial"/>
          <w:b/>
          <w:bCs/>
          <w:sz w:val="22"/>
          <w:szCs w:val="22"/>
          <w:lang w:val="es-ES"/>
        </w:rPr>
      </w:pPr>
    </w:p>
    <w:p w14:paraId="6DE3C8ED" w14:textId="77777777" w:rsidR="00343BA8" w:rsidRPr="00343BA8" w:rsidRDefault="00343BA8" w:rsidP="00343BA8">
      <w:pPr>
        <w:spacing w:after="120"/>
        <w:jc w:val="both"/>
        <w:rPr>
          <w:rFonts w:ascii="Arial" w:hAnsi="Arial" w:cs="Arial"/>
          <w:sz w:val="22"/>
          <w:szCs w:val="22"/>
        </w:rPr>
      </w:pPr>
      <w:r w:rsidRPr="00343BA8">
        <w:rPr>
          <w:rFonts w:ascii="Arial" w:hAnsi="Arial" w:cs="Arial"/>
          <w:b/>
          <w:sz w:val="22"/>
          <w:szCs w:val="22"/>
        </w:rPr>
        <w:t xml:space="preserve">Nuestra cultura: </w:t>
      </w:r>
      <w:r w:rsidRPr="00343BA8">
        <w:rPr>
          <w:rFonts w:ascii="Arial" w:hAnsi="Arial" w:cs="Arial"/>
          <w:sz w:val="22"/>
          <w:szCs w:val="22"/>
        </w:rPr>
        <w:t>Trabajando con nosotros, estarás rodeada por un grupo diverso de expertos en todo tipo de campos de desarrollo, incluyendo transporte, salud, género y diversidad, comunicaciones y más.</w:t>
      </w:r>
    </w:p>
    <w:p w14:paraId="56A02029" w14:textId="77777777" w:rsidR="00343BA8" w:rsidRPr="00343BA8" w:rsidRDefault="00343BA8" w:rsidP="00343BA8">
      <w:pPr>
        <w:spacing w:after="120"/>
        <w:jc w:val="both"/>
        <w:rPr>
          <w:rFonts w:ascii="Arial" w:hAnsi="Arial" w:cs="Arial"/>
          <w:sz w:val="22"/>
          <w:szCs w:val="22"/>
        </w:rPr>
      </w:pPr>
      <w:r w:rsidRPr="00343BA8">
        <w:rPr>
          <w:rFonts w:ascii="Arial" w:hAnsi="Arial" w:cs="Arial"/>
          <w:b/>
          <w:sz w:val="22"/>
          <w:szCs w:val="22"/>
        </w:rPr>
        <w:t xml:space="preserve">Sobre nosotros: </w:t>
      </w:r>
      <w:r w:rsidRPr="00343BA8">
        <w:rPr>
          <w:rFonts w:ascii="Arial" w:hAnsi="Arial" w:cs="Arial"/>
          <w:sz w:val="22"/>
          <w:szCs w:val="22"/>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57FEACAB" w14:textId="77777777" w:rsidR="00343BA8" w:rsidRPr="00343BA8" w:rsidRDefault="00343BA8" w:rsidP="00343BA8">
      <w:pPr>
        <w:shd w:val="clear" w:color="auto" w:fill="FFFFFF"/>
        <w:spacing w:after="120"/>
        <w:jc w:val="both"/>
        <w:rPr>
          <w:rFonts w:ascii="Arial" w:hAnsi="Arial" w:cs="Arial"/>
          <w:sz w:val="22"/>
          <w:szCs w:val="22"/>
        </w:rPr>
      </w:pPr>
      <w:r w:rsidRPr="00343BA8">
        <w:rPr>
          <w:rFonts w:ascii="Arial" w:hAnsi="Arial" w:cs="Arial"/>
          <w:b/>
          <w:bCs/>
          <w:sz w:val="22"/>
          <w:szCs w:val="22"/>
        </w:rPr>
        <w:t>Pago y Condiciones:</w:t>
      </w:r>
      <w:r w:rsidRPr="00343BA8">
        <w:rPr>
          <w:rFonts w:ascii="Arial" w:hAnsi="Arial" w:cs="Arial"/>
          <w:sz w:val="22"/>
          <w:szCs w:val="22"/>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60330BEA" w14:textId="77777777" w:rsidR="00343BA8" w:rsidRPr="00343BA8" w:rsidRDefault="00343BA8" w:rsidP="00343BA8">
      <w:pPr>
        <w:shd w:val="clear" w:color="auto" w:fill="FFFFFF"/>
        <w:spacing w:after="120"/>
        <w:jc w:val="both"/>
        <w:rPr>
          <w:rFonts w:ascii="Arial" w:hAnsi="Arial" w:cs="Arial"/>
          <w:sz w:val="22"/>
          <w:szCs w:val="22"/>
        </w:rPr>
      </w:pPr>
      <w:r w:rsidRPr="00343BA8">
        <w:rPr>
          <w:rFonts w:ascii="Arial" w:hAnsi="Arial" w:cs="Arial"/>
          <w:b/>
          <w:bCs/>
          <w:sz w:val="22"/>
          <w:szCs w:val="22"/>
        </w:rPr>
        <w:t>Consanguinidad:</w:t>
      </w:r>
      <w:r w:rsidRPr="00343BA8">
        <w:rPr>
          <w:rFonts w:ascii="Arial" w:hAnsi="Arial" w:cs="Arial"/>
          <w:sz w:val="22"/>
          <w:szCs w:val="22"/>
        </w:rPr>
        <w:t xml:space="preserve"> De conformidad con la política del Banco aplicable, los candidatos con parientes (incluyendo cuarto grado de consanguinidad y segundo grado de afinidad, incluyendo conyugue) que trabajan para el BID, BID </w:t>
      </w:r>
      <w:proofErr w:type="spellStart"/>
      <w:r w:rsidRPr="00343BA8">
        <w:rPr>
          <w:rFonts w:ascii="Arial" w:hAnsi="Arial" w:cs="Arial"/>
          <w:sz w:val="22"/>
          <w:szCs w:val="22"/>
        </w:rPr>
        <w:t>Invest</w:t>
      </w:r>
      <w:proofErr w:type="spellEnd"/>
      <w:r w:rsidRPr="00343BA8">
        <w:rPr>
          <w:rFonts w:ascii="Arial" w:hAnsi="Arial" w:cs="Arial"/>
          <w:sz w:val="22"/>
          <w:szCs w:val="22"/>
        </w:rPr>
        <w:t>, o FOMIN como funcionario o contractual de la fuerza contractual complementaria, no serán elegibles para proveer servicios al Banco.</w:t>
      </w:r>
    </w:p>
    <w:p w14:paraId="6CC90D7D" w14:textId="2F8DDD55" w:rsidR="004327ED" w:rsidRPr="00677420" w:rsidRDefault="00343BA8" w:rsidP="00677420">
      <w:pPr>
        <w:spacing w:after="120"/>
        <w:jc w:val="both"/>
        <w:rPr>
          <w:rFonts w:ascii="Arial" w:hAnsi="Arial" w:cs="Arial"/>
          <w:b/>
          <w:sz w:val="22"/>
          <w:szCs w:val="22"/>
          <w:lang w:val="es-ES"/>
        </w:rPr>
      </w:pPr>
      <w:r w:rsidRPr="00343BA8">
        <w:rPr>
          <w:rFonts w:ascii="Arial" w:hAnsi="Arial" w:cs="Arial"/>
          <w:b/>
          <w:bCs/>
          <w:sz w:val="22"/>
          <w:szCs w:val="22"/>
        </w:rPr>
        <w:t xml:space="preserve">Diversidad: </w:t>
      </w:r>
      <w:r w:rsidRPr="00343BA8">
        <w:rPr>
          <w:rFonts w:ascii="Arial" w:hAnsi="Arial" w:cs="Arial"/>
          <w:bCs/>
          <w:sz w:val="22"/>
          <w:szCs w:val="22"/>
        </w:rPr>
        <w:t>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sectPr w:rsidR="004327ED" w:rsidRPr="00677420" w:rsidSect="008458E6">
      <w:pgSz w:w="12240" w:h="15840" w:code="1"/>
      <w:pgMar w:top="1440" w:right="1800" w:bottom="1440" w:left="1800" w:header="706" w:footer="70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E3C4" w14:textId="77777777" w:rsidR="00811F36" w:rsidRDefault="00811F36" w:rsidP="00ED751C">
      <w:r>
        <w:separator/>
      </w:r>
    </w:p>
  </w:endnote>
  <w:endnote w:type="continuationSeparator" w:id="0">
    <w:p w14:paraId="1EA08189" w14:textId="77777777" w:rsidR="00811F36" w:rsidRDefault="00811F36" w:rsidP="00ED751C">
      <w:r>
        <w:continuationSeparator/>
      </w:r>
    </w:p>
  </w:endnote>
  <w:endnote w:type="continuationNotice" w:id="1">
    <w:p w14:paraId="31E49B43" w14:textId="77777777" w:rsidR="00811F36" w:rsidRDefault="00811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A2" w14:textId="77777777" w:rsidR="00EC62ED" w:rsidRDefault="00EC62ED">
    <w:pPr>
      <w:pStyle w:val="Footer"/>
      <w:framePr w:wrap="around" w:vAnchor="text" w:hAnchor="margin" w:xAlign="right" w:y="1"/>
      <w:rPr>
        <w:rStyle w:val="PageNumber"/>
      </w:rPr>
    </w:pPr>
  </w:p>
  <w:p w14:paraId="6CC90DA3" w14:textId="77777777" w:rsidR="00EC62ED" w:rsidRDefault="00EC62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5CB7" w14:textId="77777777" w:rsidR="00811F36" w:rsidRDefault="00811F36" w:rsidP="00ED751C">
      <w:r>
        <w:separator/>
      </w:r>
    </w:p>
  </w:footnote>
  <w:footnote w:type="continuationSeparator" w:id="0">
    <w:p w14:paraId="3A50CEB7" w14:textId="77777777" w:rsidR="00811F36" w:rsidRDefault="00811F36" w:rsidP="00ED751C">
      <w:r>
        <w:continuationSeparator/>
      </w:r>
    </w:p>
  </w:footnote>
  <w:footnote w:type="continuationNotice" w:id="1">
    <w:p w14:paraId="181ED686" w14:textId="77777777" w:rsidR="00811F36" w:rsidRDefault="00811F36"/>
  </w:footnote>
  <w:footnote w:id="2">
    <w:p w14:paraId="48695595" w14:textId="77777777" w:rsidR="00DC09C3" w:rsidRPr="00282CC9" w:rsidRDefault="00DC09C3" w:rsidP="00DC09C3">
      <w:pPr>
        <w:pStyle w:val="FootnoteText"/>
        <w:rPr>
          <w:rFonts w:ascii="Arial" w:hAnsi="Arial" w:cs="Arial"/>
          <w:sz w:val="18"/>
          <w:szCs w:val="18"/>
        </w:rPr>
      </w:pPr>
    </w:p>
  </w:footnote>
  <w:footnote w:id="3">
    <w:p w14:paraId="59879173" w14:textId="77777777" w:rsidR="00B076A1" w:rsidRPr="00282CC9" w:rsidRDefault="00B076A1" w:rsidP="00282CC9">
      <w:pPr>
        <w:pStyle w:val="FootnoteText"/>
        <w:ind w:left="360" w:hanging="360"/>
        <w:rPr>
          <w:rFonts w:ascii="Arial" w:hAnsi="Arial" w:cs="Arial"/>
          <w:sz w:val="18"/>
          <w:szCs w:val="18"/>
        </w:rPr>
      </w:pPr>
      <w:r w:rsidRPr="00282CC9">
        <w:rPr>
          <w:rStyle w:val="FootnoteReference"/>
          <w:rFonts w:ascii="Arial" w:hAnsi="Arial" w:cs="Arial"/>
          <w:sz w:val="18"/>
          <w:szCs w:val="18"/>
        </w:rPr>
        <w:footnoteRef/>
      </w:r>
      <w:r w:rsidRPr="00282CC9">
        <w:rPr>
          <w:rFonts w:ascii="Arial" w:hAnsi="Arial" w:cs="Arial"/>
          <w:sz w:val="18"/>
          <w:szCs w:val="18"/>
        </w:rPr>
        <w:t xml:space="preserve"> </w:t>
      </w:r>
      <w:r>
        <w:rPr>
          <w:rFonts w:ascii="Arial" w:hAnsi="Arial" w:cs="Arial"/>
          <w:sz w:val="18"/>
          <w:szCs w:val="18"/>
        </w:rPr>
        <w:tab/>
      </w:r>
      <w:r w:rsidRPr="00DB1B75">
        <w:rPr>
          <w:rFonts w:ascii="Arial" w:hAnsi="Arial" w:cs="Arial"/>
          <w:sz w:val="18"/>
          <w:szCs w:val="18"/>
          <w:lang w:val="es-419"/>
        </w:rPr>
        <w:t xml:space="preserve">El </w:t>
      </w:r>
      <w:hyperlink r:id="rId1" w:history="1">
        <w:r w:rsidRPr="0055201B">
          <w:rPr>
            <w:rStyle w:val="Hyperlink"/>
            <w:rFonts w:ascii="Arial" w:hAnsi="Arial" w:cs="Arial"/>
            <w:sz w:val="18"/>
            <w:szCs w:val="18"/>
            <w:lang w:val="es-419"/>
          </w:rPr>
          <w:t>Observatorio</w:t>
        </w:r>
      </w:hyperlink>
      <w:r w:rsidRPr="00DB1B75">
        <w:rPr>
          <w:rFonts w:ascii="Arial" w:hAnsi="Arial" w:cs="Arial"/>
          <w:sz w:val="18"/>
          <w:szCs w:val="18"/>
          <w:lang w:val="es-419"/>
        </w:rPr>
        <w:t xml:space="preserve"> está integrado por la Universidad Francisco Gavidia, la Escuela Superior de Economía y Negocios, la Universidad de El Salvador, y FUSADES.</w:t>
      </w:r>
      <w:r w:rsidRPr="00282CC9">
        <w:rPr>
          <w:rFonts w:ascii="Arial" w:hAnsi="Arial" w:cs="Arial"/>
          <w:sz w:val="18"/>
          <w:szCs w:val="18"/>
        </w:rPr>
        <w:t xml:space="preserve"> </w:t>
      </w:r>
    </w:p>
  </w:footnote>
  <w:footnote w:id="4">
    <w:p w14:paraId="3739F2C9" w14:textId="3BBCD149" w:rsidR="00EC62ED" w:rsidRPr="00D50752" w:rsidRDefault="00EC62ED">
      <w:pPr>
        <w:pStyle w:val="FootnoteText"/>
        <w:rPr>
          <w:rFonts w:ascii="Arial" w:hAnsi="Arial" w:cs="Arial"/>
          <w:sz w:val="18"/>
          <w:szCs w:val="18"/>
          <w:lang w:val="es-CR"/>
        </w:rPr>
      </w:pPr>
      <w:r w:rsidRPr="00D50752">
        <w:rPr>
          <w:rStyle w:val="FootnoteReference"/>
          <w:rFonts w:ascii="Arial" w:hAnsi="Arial" w:cs="Arial"/>
          <w:sz w:val="18"/>
          <w:szCs w:val="18"/>
        </w:rPr>
        <w:footnoteRef/>
      </w:r>
      <w:r w:rsidRPr="00D50752">
        <w:rPr>
          <w:rFonts w:ascii="Arial" w:hAnsi="Arial" w:cs="Arial"/>
          <w:sz w:val="18"/>
          <w:szCs w:val="18"/>
        </w:rPr>
        <w:t xml:space="preserve"> </w:t>
      </w:r>
      <w:r w:rsidRPr="00D50752">
        <w:rPr>
          <w:rFonts w:ascii="Arial" w:hAnsi="Arial" w:cs="Arial"/>
          <w:sz w:val="18"/>
          <w:szCs w:val="18"/>
          <w:lang w:val="es-CR"/>
        </w:rPr>
        <w:t xml:space="preserve">Ver Documento Marco Sectorial de Política y Gestión Fiscal (GN-2831). </w:t>
      </w:r>
    </w:p>
  </w:footnote>
  <w:footnote w:id="5">
    <w:p w14:paraId="2959B0E7" w14:textId="77777777" w:rsidR="00B0770A" w:rsidRPr="00397E8B" w:rsidRDefault="00B0770A" w:rsidP="003D44D3">
      <w:pPr>
        <w:pStyle w:val="FootnoteText"/>
        <w:ind w:left="360" w:hanging="360"/>
        <w:rPr>
          <w:rFonts w:ascii="Arial" w:hAnsi="Arial" w:cs="Arial"/>
          <w:sz w:val="18"/>
          <w:szCs w:val="18"/>
        </w:rPr>
      </w:pPr>
      <w:r w:rsidRPr="003D44D3">
        <w:rPr>
          <w:rStyle w:val="FootnoteReference"/>
          <w:rFonts w:ascii="Arial" w:hAnsi="Arial" w:cs="Arial"/>
          <w:sz w:val="18"/>
          <w:szCs w:val="18"/>
        </w:rPr>
        <w:footnoteRef/>
      </w:r>
      <w:r w:rsidRPr="003D44D3">
        <w:rPr>
          <w:rFonts w:ascii="Arial" w:hAnsi="Arial" w:cs="Arial"/>
          <w:sz w:val="18"/>
          <w:szCs w:val="18"/>
        </w:rPr>
        <w:t xml:space="preserve"> </w:t>
      </w:r>
      <w:r>
        <w:rPr>
          <w:rFonts w:ascii="Arial" w:hAnsi="Arial" w:cs="Arial"/>
          <w:sz w:val="18"/>
          <w:szCs w:val="18"/>
        </w:rPr>
        <w:tab/>
      </w:r>
      <w:r w:rsidRPr="00DB1B75">
        <w:rPr>
          <w:rFonts w:ascii="Arial" w:hAnsi="Arial" w:cs="Arial"/>
          <w:sz w:val="18"/>
          <w:szCs w:val="18"/>
          <w:lang w:val="es-419"/>
        </w:rPr>
        <w:t xml:space="preserve">El Observatorio está integrado por la Universidad Francisco Gavidia, la Escuela Superior de Economía y Negocios, la Universidad de El Salvador, y FUSADES.  </w:t>
      </w:r>
      <w:hyperlink r:id="rId2" w:history="1">
        <w:r w:rsidRPr="00DB1B75">
          <w:rPr>
            <w:rStyle w:val="Hyperlink"/>
            <w:rFonts w:ascii="Arial" w:hAnsi="Arial" w:cs="Arial"/>
            <w:sz w:val="18"/>
            <w:szCs w:val="18"/>
            <w:lang w:val="es-419"/>
          </w:rPr>
          <w:t>https://observatoriocovid19.sv/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9C" w14:textId="77777777" w:rsidR="00EC62ED" w:rsidRDefault="00EC62ED">
    <w:pPr>
      <w:pStyle w:val="Header"/>
      <w:ind w:right="360"/>
      <w:jc w:val="both"/>
      <w:rPr>
        <w:rStyle w:val="PageNumber"/>
        <w:snapToGrid w:val="0"/>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14:paraId="6CC90D9D" w14:textId="77777777" w:rsidR="00EC62ED" w:rsidRDefault="00EC62ED">
    <w:pPr>
      <w:pStyle w:val="Header"/>
      <w:ind w:right="360"/>
      <w:jc w:val="both"/>
      <w:rPr>
        <w:rStyle w:val="PageNumber"/>
        <w:snapToGrid w:val="0"/>
      </w:rPr>
    </w:pPr>
    <w:r>
      <w:rPr>
        <w:rStyle w:val="PageNumber"/>
        <w:snapToGrid w:val="0"/>
      </w:rPr>
      <w:tab/>
    </w:r>
  </w:p>
  <w:p w14:paraId="6CC90D9E" w14:textId="77777777" w:rsidR="00EC62ED" w:rsidRDefault="00EC62ED">
    <w:pPr>
      <w:pStyle w:val="Header"/>
      <w:ind w:right="360"/>
      <w:jc w:val="both"/>
    </w:pP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9F" w14:textId="44994B6E" w:rsidR="00EC62ED" w:rsidRPr="00706FA8" w:rsidRDefault="00EC62ED">
    <w:pPr>
      <w:pStyle w:val="Header"/>
      <w:jc w:val="center"/>
      <w:rPr>
        <w:rFonts w:ascii="Arial" w:hAnsi="Arial" w:cs="Arial"/>
        <w:snapToGrid w:val="0"/>
        <w:sz w:val="18"/>
      </w:rPr>
    </w:pPr>
    <w:r w:rsidRPr="00706FA8">
      <w:rPr>
        <w:rFonts w:ascii="Arial" w:hAnsi="Arial" w:cs="Arial"/>
        <w:snapToGrid w:val="0"/>
        <w:sz w:val="18"/>
      </w:rPr>
      <w:t xml:space="preserve">- </w:t>
    </w:r>
    <w:r w:rsidRPr="00706FA8">
      <w:rPr>
        <w:rFonts w:ascii="Arial" w:hAnsi="Arial" w:cs="Arial"/>
        <w:snapToGrid w:val="0"/>
        <w:sz w:val="18"/>
      </w:rPr>
      <w:fldChar w:fldCharType="begin"/>
    </w:r>
    <w:r w:rsidRPr="00706FA8">
      <w:rPr>
        <w:rFonts w:ascii="Arial" w:hAnsi="Arial" w:cs="Arial"/>
        <w:snapToGrid w:val="0"/>
        <w:sz w:val="18"/>
      </w:rPr>
      <w:instrText xml:space="preserve"> PAGE </w:instrText>
    </w:r>
    <w:r w:rsidRPr="00706FA8">
      <w:rPr>
        <w:rFonts w:ascii="Arial" w:hAnsi="Arial" w:cs="Arial"/>
        <w:snapToGrid w:val="0"/>
        <w:sz w:val="18"/>
      </w:rPr>
      <w:fldChar w:fldCharType="separate"/>
    </w:r>
    <w:r>
      <w:rPr>
        <w:rFonts w:ascii="Arial" w:hAnsi="Arial" w:cs="Arial"/>
        <w:noProof/>
        <w:snapToGrid w:val="0"/>
        <w:sz w:val="18"/>
      </w:rPr>
      <w:t>ii</w:t>
    </w:r>
    <w:r w:rsidRPr="00706FA8">
      <w:rPr>
        <w:rFonts w:ascii="Arial" w:hAnsi="Arial" w:cs="Arial"/>
        <w:snapToGrid w:val="0"/>
        <w:sz w:val="18"/>
      </w:rPr>
      <w:fldChar w:fldCharType="end"/>
    </w:r>
    <w:r w:rsidRPr="00706FA8">
      <w:rPr>
        <w:rFonts w:ascii="Arial" w:hAnsi="Arial" w:cs="Arial"/>
        <w:snapToGrid w:val="0"/>
        <w:sz w:val="18"/>
      </w:rPr>
      <w:t xml:space="preserve"> - </w:t>
    </w:r>
  </w:p>
  <w:p w14:paraId="6CC90DA0" w14:textId="77777777" w:rsidR="00EC62ED" w:rsidRDefault="00EC62ED">
    <w:pPr>
      <w:pStyle w:val="Header"/>
      <w:jc w:val="center"/>
    </w:pPr>
  </w:p>
  <w:p w14:paraId="6CC90DA1" w14:textId="77777777" w:rsidR="00EC62ED" w:rsidRDefault="00EC62E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A4" w14:textId="77777777" w:rsidR="00EC62ED" w:rsidRPr="008175A8" w:rsidRDefault="00EC62ED" w:rsidP="00817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A5" w14:textId="77777777" w:rsidR="00EC62ED" w:rsidRDefault="00EC62ED">
    <w:pPr>
      <w:pStyle w:val="Header"/>
      <w:ind w:right="36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A6" w14:textId="368C02B5" w:rsidR="00EC62ED" w:rsidRPr="00EB0154" w:rsidRDefault="00EC62ED" w:rsidP="00EB0154">
    <w:pPr>
      <w:pStyle w:val="Header"/>
      <w:tabs>
        <w:tab w:val="left" w:pos="3840"/>
        <w:tab w:val="center" w:pos="4140"/>
      </w:tabs>
      <w:ind w:right="360"/>
      <w:rPr>
        <w:rFonts w:ascii="Arial" w:hAnsi="Arial" w:cs="Arial"/>
        <w:snapToGrid w:val="0"/>
      </w:rPr>
    </w:pPr>
    <w:r>
      <w:rPr>
        <w:snapToGrid w:val="0"/>
      </w:rPr>
      <w:tab/>
    </w:r>
    <w:r w:rsidRPr="00706FA8">
      <w:rPr>
        <w:rFonts w:ascii="Arial" w:hAnsi="Arial" w:cs="Arial"/>
        <w:snapToGrid w:val="0"/>
        <w:sz w:val="18"/>
      </w:rPr>
      <w:tab/>
      <w:t xml:space="preserve">- </w:t>
    </w:r>
    <w:r w:rsidRPr="00706FA8">
      <w:rPr>
        <w:rFonts w:ascii="Arial" w:hAnsi="Arial" w:cs="Arial"/>
        <w:snapToGrid w:val="0"/>
        <w:sz w:val="18"/>
      </w:rPr>
      <w:fldChar w:fldCharType="begin"/>
    </w:r>
    <w:r w:rsidRPr="00706FA8">
      <w:rPr>
        <w:rFonts w:ascii="Arial" w:hAnsi="Arial" w:cs="Arial"/>
        <w:snapToGrid w:val="0"/>
        <w:sz w:val="18"/>
      </w:rPr>
      <w:instrText xml:space="preserve"> PAGE </w:instrText>
    </w:r>
    <w:r w:rsidRPr="00706FA8">
      <w:rPr>
        <w:rFonts w:ascii="Arial" w:hAnsi="Arial" w:cs="Arial"/>
        <w:snapToGrid w:val="0"/>
        <w:sz w:val="18"/>
      </w:rPr>
      <w:fldChar w:fldCharType="separate"/>
    </w:r>
    <w:r>
      <w:rPr>
        <w:rFonts w:ascii="Arial" w:hAnsi="Arial" w:cs="Arial"/>
        <w:noProof/>
        <w:snapToGrid w:val="0"/>
        <w:sz w:val="18"/>
      </w:rPr>
      <w:t>12</w:t>
    </w:r>
    <w:r w:rsidRPr="00706FA8">
      <w:rPr>
        <w:rFonts w:ascii="Arial" w:hAnsi="Arial" w:cs="Arial"/>
        <w:snapToGrid w:val="0"/>
        <w:sz w:val="18"/>
      </w:rPr>
      <w:fldChar w:fldCharType="end"/>
    </w:r>
    <w:r w:rsidRPr="00706FA8">
      <w:rPr>
        <w:rFonts w:ascii="Arial" w:hAnsi="Arial" w:cs="Arial"/>
        <w:snapToGrid w:val="0"/>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DA7" w14:textId="77777777" w:rsidR="00EC62ED" w:rsidRDefault="00EC62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57C"/>
    <w:multiLevelType w:val="hybridMultilevel"/>
    <w:tmpl w:val="5C824E12"/>
    <w:lvl w:ilvl="0" w:tplc="C5C6C724">
      <w:start w:val="1"/>
      <w:numFmt w:val="decimal"/>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536348"/>
    <w:multiLevelType w:val="hybridMultilevel"/>
    <w:tmpl w:val="9A12241C"/>
    <w:lvl w:ilvl="0" w:tplc="36CE067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00510"/>
    <w:multiLevelType w:val="hybridMultilevel"/>
    <w:tmpl w:val="4CF6EF20"/>
    <w:lvl w:ilvl="0" w:tplc="76E0E6E6">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16DF4"/>
    <w:multiLevelType w:val="hybridMultilevel"/>
    <w:tmpl w:val="FB7C5E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1BC6573"/>
    <w:multiLevelType w:val="multilevel"/>
    <w:tmpl w:val="595CA0E4"/>
    <w:lvl w:ilvl="0">
      <w:start w:val="1"/>
      <w:numFmt w:val="upperLetter"/>
      <w:lvlText w:val="%1."/>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5" w15:restartNumberingAfterBreak="0">
    <w:nsid w:val="22264AC5"/>
    <w:multiLevelType w:val="multilevel"/>
    <w:tmpl w:val="7CECFF4C"/>
    <w:lvl w:ilvl="0">
      <w:start w:val="3"/>
      <w:numFmt w:val="decimal"/>
      <w:lvlText w:val="%1"/>
      <w:lvlJc w:val="left"/>
      <w:pPr>
        <w:ind w:left="420" w:hanging="420"/>
      </w:pPr>
      <w:rPr>
        <w:rFonts w:eastAsia="Times New Roman" w:hint="default"/>
      </w:rPr>
    </w:lvl>
    <w:lvl w:ilvl="1">
      <w:start w:val="29"/>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656E0"/>
    <w:multiLevelType w:val="hybridMultilevel"/>
    <w:tmpl w:val="4CF6EF20"/>
    <w:lvl w:ilvl="0" w:tplc="76E0E6E6">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6370BB"/>
    <w:multiLevelType w:val="multilevel"/>
    <w:tmpl w:val="1C786B9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9" w15:restartNumberingAfterBreak="0">
    <w:nsid w:val="35042685"/>
    <w:multiLevelType w:val="multilevel"/>
    <w:tmpl w:val="B78605DE"/>
    <w:styleLink w:val="WWOutlineListStyle1"/>
    <w:lvl w:ilvl="0">
      <w:start w:val="1"/>
      <w:numFmt w:val="upperRoman"/>
      <w:lvlText w:val="%1."/>
      <w:lvlJc w:val="center"/>
      <w:pPr>
        <w:ind w:left="720" w:hanging="720"/>
      </w:pPr>
      <w:rPr>
        <w:rFonts w:ascii="Times New Roman Bold" w:hAnsi="Times New Roman Bold"/>
        <w:b/>
        <w:i w:val="0"/>
        <w:sz w:val="24"/>
      </w:rPr>
    </w:lvl>
    <w:lvl w:ilvl="1">
      <w:start w:val="1"/>
      <w:numFmt w:val="upperLetter"/>
      <w:lvlText w:val="%2."/>
      <w:lvlJc w:val="left"/>
      <w:pPr>
        <w:ind w:left="720" w:hanging="720"/>
      </w:pPr>
      <w:rPr>
        <w:b/>
        <w:i w:val="0"/>
        <w:sz w:val="24"/>
      </w:rPr>
    </w:lvl>
    <w:lvl w:ilvl="2">
      <w:start w:val="1"/>
      <w:numFmt w:val="decimal"/>
      <w:lvlText w:val="%3."/>
      <w:lvlJc w:val="left"/>
      <w:pPr>
        <w:ind w:left="1080" w:hanging="360"/>
      </w:pPr>
      <w:rPr>
        <w:rFonts w:ascii="Times New Roman Bold" w:hAnsi="Times New Roman Bold"/>
        <w:b/>
        <w:i w:val="0"/>
        <w:sz w:val="24"/>
      </w:rPr>
    </w:lvl>
    <w:lvl w:ilvl="3">
      <w:start w:val="1"/>
      <w:numFmt w:val="lowerLetter"/>
      <w:lvlText w:val="%4."/>
      <w:lvlJc w:val="left"/>
      <w:pPr>
        <w:ind w:left="1800" w:hanging="360"/>
      </w:pPr>
      <w:rPr>
        <w:rFonts w:ascii="Times New Roman Bold" w:hAnsi="Times New Roman Bold"/>
        <w:b/>
        <w:i w:val="0"/>
        <w:sz w:val="24"/>
      </w:rPr>
    </w:lvl>
    <w:lvl w:ilvl="4">
      <w:start w:val="1"/>
      <w:numFmt w:val="lowerRoman"/>
      <w:lvlText w:val="(%5)"/>
      <w:lvlJc w:val="right"/>
      <w:pPr>
        <w:ind w:left="2088" w:hanging="288"/>
      </w:pPr>
      <w:rPr>
        <w:rFonts w:ascii="Times New Roman Bold" w:hAnsi="Times New Roman Bold"/>
        <w:b/>
        <w:i w:val="0"/>
        <w:sz w:val="24"/>
      </w:rPr>
    </w:lvl>
    <w:lvl w:ilvl="5">
      <w:start w:val="1"/>
      <w:numFmt w:val="none"/>
      <w:lvlText w:val="%6"/>
      <w:lvlJc w:val="left"/>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15:restartNumberingAfterBreak="0">
    <w:nsid w:val="359B4991"/>
    <w:multiLevelType w:val="multilevel"/>
    <w:tmpl w:val="3FFE7FA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Arial" w:hAnsi="Arial" w:cs="Arial" w:hint="default"/>
        <w:b w:val="0"/>
        <w:sz w:val="22"/>
        <w:szCs w:val="22"/>
      </w:rPr>
    </w:lvl>
    <w:lvl w:ilvl="2">
      <w:start w:val="1"/>
      <w:numFmt w:val="lowerLetter"/>
      <w:pStyle w:val="subpa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1" w15:restartNumberingAfterBreak="0">
    <w:nsid w:val="3CD20140"/>
    <w:multiLevelType w:val="multilevel"/>
    <w:tmpl w:val="44C6D0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F2B0EA9"/>
    <w:multiLevelType w:val="hybridMultilevel"/>
    <w:tmpl w:val="35DEFD3C"/>
    <w:lvl w:ilvl="0" w:tplc="36CE0678">
      <w:start w:val="3"/>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D1A73"/>
    <w:multiLevelType w:val="hybridMultilevel"/>
    <w:tmpl w:val="65AE5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937CE"/>
    <w:multiLevelType w:val="hybridMultilevel"/>
    <w:tmpl w:val="608EA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4"/>
  </w:num>
  <w:num w:numId="5">
    <w:abstractNumId w:val="3"/>
  </w:num>
  <w:num w:numId="6">
    <w:abstractNumId w:val="7"/>
  </w:num>
  <w:num w:numId="7">
    <w:abstractNumId w:val="2"/>
  </w:num>
  <w:num w:numId="8">
    <w:abstractNumId w:val="11"/>
  </w:num>
  <w:num w:numId="9">
    <w:abstractNumId w:val="1"/>
  </w:num>
  <w:num w:numId="10">
    <w:abstractNumId w:val="12"/>
  </w:num>
  <w:num w:numId="11">
    <w:abstractNumId w:val="13"/>
  </w:num>
  <w:num w:numId="12">
    <w:abstractNumId w:val="9"/>
  </w:num>
  <w:num w:numId="13">
    <w:abstractNumId w:val="4"/>
  </w:num>
  <w:num w:numId="14">
    <w:abstractNumId w:val="0"/>
  </w:num>
  <w:num w:numId="15">
    <w:abstractNumId w:val="5"/>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LMwNTQzNjE0NjZU0lEKTi0uzszPAykwqgUAdUClUywAAAA="/>
  </w:docVars>
  <w:rsids>
    <w:rsidRoot w:val="00ED751C"/>
    <w:rsid w:val="00000A87"/>
    <w:rsid w:val="00001762"/>
    <w:rsid w:val="00003613"/>
    <w:rsid w:val="00003B36"/>
    <w:rsid w:val="00005735"/>
    <w:rsid w:val="00005BE6"/>
    <w:rsid w:val="00006240"/>
    <w:rsid w:val="000101FB"/>
    <w:rsid w:val="00011722"/>
    <w:rsid w:val="00013D81"/>
    <w:rsid w:val="00013E44"/>
    <w:rsid w:val="00014DFE"/>
    <w:rsid w:val="00017962"/>
    <w:rsid w:val="0002020D"/>
    <w:rsid w:val="00022BE3"/>
    <w:rsid w:val="000234EA"/>
    <w:rsid w:val="000236B9"/>
    <w:rsid w:val="00023E76"/>
    <w:rsid w:val="00025DD9"/>
    <w:rsid w:val="00025F9F"/>
    <w:rsid w:val="00026C6D"/>
    <w:rsid w:val="00031679"/>
    <w:rsid w:val="00031CEB"/>
    <w:rsid w:val="0003297B"/>
    <w:rsid w:val="00034043"/>
    <w:rsid w:val="00034A37"/>
    <w:rsid w:val="00034B0A"/>
    <w:rsid w:val="00035104"/>
    <w:rsid w:val="00035BE1"/>
    <w:rsid w:val="00036128"/>
    <w:rsid w:val="000366D5"/>
    <w:rsid w:val="00036843"/>
    <w:rsid w:val="0003793E"/>
    <w:rsid w:val="00040043"/>
    <w:rsid w:val="00040926"/>
    <w:rsid w:val="000415F0"/>
    <w:rsid w:val="00041B48"/>
    <w:rsid w:val="000420CC"/>
    <w:rsid w:val="000425C5"/>
    <w:rsid w:val="000437AC"/>
    <w:rsid w:val="00046E14"/>
    <w:rsid w:val="000472FE"/>
    <w:rsid w:val="00047324"/>
    <w:rsid w:val="0004751D"/>
    <w:rsid w:val="00050104"/>
    <w:rsid w:val="00050E5E"/>
    <w:rsid w:val="00051278"/>
    <w:rsid w:val="00052D8D"/>
    <w:rsid w:val="000533D7"/>
    <w:rsid w:val="00055E21"/>
    <w:rsid w:val="00056446"/>
    <w:rsid w:val="000565CD"/>
    <w:rsid w:val="0005740C"/>
    <w:rsid w:val="00057617"/>
    <w:rsid w:val="00057A4A"/>
    <w:rsid w:val="00057C11"/>
    <w:rsid w:val="00060BE1"/>
    <w:rsid w:val="0006112F"/>
    <w:rsid w:val="00061520"/>
    <w:rsid w:val="000636B9"/>
    <w:rsid w:val="00063838"/>
    <w:rsid w:val="00065094"/>
    <w:rsid w:val="0006585D"/>
    <w:rsid w:val="00067023"/>
    <w:rsid w:val="000705F5"/>
    <w:rsid w:val="00070B8F"/>
    <w:rsid w:val="00071473"/>
    <w:rsid w:val="00073882"/>
    <w:rsid w:val="00074590"/>
    <w:rsid w:val="000748E0"/>
    <w:rsid w:val="00075414"/>
    <w:rsid w:val="000765F1"/>
    <w:rsid w:val="00081835"/>
    <w:rsid w:val="00082DAC"/>
    <w:rsid w:val="000839F7"/>
    <w:rsid w:val="00084006"/>
    <w:rsid w:val="00084081"/>
    <w:rsid w:val="000841EE"/>
    <w:rsid w:val="00084EC7"/>
    <w:rsid w:val="00086B78"/>
    <w:rsid w:val="00087192"/>
    <w:rsid w:val="00090448"/>
    <w:rsid w:val="00090951"/>
    <w:rsid w:val="00090C14"/>
    <w:rsid w:val="0009193F"/>
    <w:rsid w:val="0009312F"/>
    <w:rsid w:val="000936C2"/>
    <w:rsid w:val="00096EA8"/>
    <w:rsid w:val="00097F09"/>
    <w:rsid w:val="000A0597"/>
    <w:rsid w:val="000A233B"/>
    <w:rsid w:val="000A2758"/>
    <w:rsid w:val="000A2A48"/>
    <w:rsid w:val="000A3533"/>
    <w:rsid w:val="000A3685"/>
    <w:rsid w:val="000A3ABD"/>
    <w:rsid w:val="000A4A10"/>
    <w:rsid w:val="000A5276"/>
    <w:rsid w:val="000A5425"/>
    <w:rsid w:val="000A57EB"/>
    <w:rsid w:val="000B0DFD"/>
    <w:rsid w:val="000B0F75"/>
    <w:rsid w:val="000B12AD"/>
    <w:rsid w:val="000B1722"/>
    <w:rsid w:val="000B1932"/>
    <w:rsid w:val="000B266A"/>
    <w:rsid w:val="000B28E1"/>
    <w:rsid w:val="000B35E0"/>
    <w:rsid w:val="000B4434"/>
    <w:rsid w:val="000B50C4"/>
    <w:rsid w:val="000B5AF1"/>
    <w:rsid w:val="000B5CBA"/>
    <w:rsid w:val="000B5D29"/>
    <w:rsid w:val="000B7AF4"/>
    <w:rsid w:val="000C02A5"/>
    <w:rsid w:val="000C219C"/>
    <w:rsid w:val="000C3B29"/>
    <w:rsid w:val="000C42F4"/>
    <w:rsid w:val="000C4396"/>
    <w:rsid w:val="000C46FC"/>
    <w:rsid w:val="000C58FD"/>
    <w:rsid w:val="000C662C"/>
    <w:rsid w:val="000C66D7"/>
    <w:rsid w:val="000C6BE2"/>
    <w:rsid w:val="000C6FE1"/>
    <w:rsid w:val="000D0824"/>
    <w:rsid w:val="000D0C96"/>
    <w:rsid w:val="000D2ABA"/>
    <w:rsid w:val="000D2C1F"/>
    <w:rsid w:val="000D4844"/>
    <w:rsid w:val="000D5B59"/>
    <w:rsid w:val="000D7E2A"/>
    <w:rsid w:val="000D7FC8"/>
    <w:rsid w:val="000E05AC"/>
    <w:rsid w:val="000E193B"/>
    <w:rsid w:val="000E26B6"/>
    <w:rsid w:val="000E2AA8"/>
    <w:rsid w:val="000E2AEA"/>
    <w:rsid w:val="000E2F15"/>
    <w:rsid w:val="000E4A38"/>
    <w:rsid w:val="000E578D"/>
    <w:rsid w:val="000E614E"/>
    <w:rsid w:val="000E7FE5"/>
    <w:rsid w:val="000F03D9"/>
    <w:rsid w:val="000F1C95"/>
    <w:rsid w:val="000F1E1C"/>
    <w:rsid w:val="000F3059"/>
    <w:rsid w:val="000F32C3"/>
    <w:rsid w:val="000F5472"/>
    <w:rsid w:val="000F5C6C"/>
    <w:rsid w:val="000F6332"/>
    <w:rsid w:val="000F6493"/>
    <w:rsid w:val="000F699A"/>
    <w:rsid w:val="00100D07"/>
    <w:rsid w:val="001025EC"/>
    <w:rsid w:val="00102EDC"/>
    <w:rsid w:val="00106D8A"/>
    <w:rsid w:val="001101FD"/>
    <w:rsid w:val="001102FA"/>
    <w:rsid w:val="0011167C"/>
    <w:rsid w:val="00112314"/>
    <w:rsid w:val="00113103"/>
    <w:rsid w:val="00114AF7"/>
    <w:rsid w:val="00114BEC"/>
    <w:rsid w:val="00114C2E"/>
    <w:rsid w:val="00114D43"/>
    <w:rsid w:val="001162B9"/>
    <w:rsid w:val="00120128"/>
    <w:rsid w:val="00120A7E"/>
    <w:rsid w:val="00121505"/>
    <w:rsid w:val="00123068"/>
    <w:rsid w:val="001237DA"/>
    <w:rsid w:val="0013061B"/>
    <w:rsid w:val="001313D3"/>
    <w:rsid w:val="00132F17"/>
    <w:rsid w:val="001362B3"/>
    <w:rsid w:val="0013637C"/>
    <w:rsid w:val="001452D2"/>
    <w:rsid w:val="00146513"/>
    <w:rsid w:val="001469BA"/>
    <w:rsid w:val="00146A20"/>
    <w:rsid w:val="00147025"/>
    <w:rsid w:val="00151257"/>
    <w:rsid w:val="00153752"/>
    <w:rsid w:val="001579D0"/>
    <w:rsid w:val="00157C6C"/>
    <w:rsid w:val="0016178C"/>
    <w:rsid w:val="00163041"/>
    <w:rsid w:val="00165C1B"/>
    <w:rsid w:val="00165C47"/>
    <w:rsid w:val="00171DF6"/>
    <w:rsid w:val="001734B6"/>
    <w:rsid w:val="00174830"/>
    <w:rsid w:val="00175094"/>
    <w:rsid w:val="00175593"/>
    <w:rsid w:val="001756FD"/>
    <w:rsid w:val="00175A08"/>
    <w:rsid w:val="00175C6F"/>
    <w:rsid w:val="00176591"/>
    <w:rsid w:val="00177ABA"/>
    <w:rsid w:val="00181729"/>
    <w:rsid w:val="00181EA5"/>
    <w:rsid w:val="00182D05"/>
    <w:rsid w:val="00183139"/>
    <w:rsid w:val="00183E65"/>
    <w:rsid w:val="001870DE"/>
    <w:rsid w:val="00187543"/>
    <w:rsid w:val="00187583"/>
    <w:rsid w:val="00187BA5"/>
    <w:rsid w:val="00190EE3"/>
    <w:rsid w:val="001911F2"/>
    <w:rsid w:val="00192580"/>
    <w:rsid w:val="001939F3"/>
    <w:rsid w:val="001954B3"/>
    <w:rsid w:val="00195B93"/>
    <w:rsid w:val="00195F01"/>
    <w:rsid w:val="00196802"/>
    <w:rsid w:val="00196AA0"/>
    <w:rsid w:val="001976CA"/>
    <w:rsid w:val="00197A63"/>
    <w:rsid w:val="001A025E"/>
    <w:rsid w:val="001A098C"/>
    <w:rsid w:val="001A1738"/>
    <w:rsid w:val="001A17E9"/>
    <w:rsid w:val="001A18D2"/>
    <w:rsid w:val="001A2E42"/>
    <w:rsid w:val="001A46A4"/>
    <w:rsid w:val="001A4D8E"/>
    <w:rsid w:val="001A52B6"/>
    <w:rsid w:val="001A53E3"/>
    <w:rsid w:val="001A5A3B"/>
    <w:rsid w:val="001A5B4A"/>
    <w:rsid w:val="001A768D"/>
    <w:rsid w:val="001A7ADF"/>
    <w:rsid w:val="001B156D"/>
    <w:rsid w:val="001B161E"/>
    <w:rsid w:val="001B30FF"/>
    <w:rsid w:val="001B6CB4"/>
    <w:rsid w:val="001B7554"/>
    <w:rsid w:val="001B7CCB"/>
    <w:rsid w:val="001C125B"/>
    <w:rsid w:val="001C3038"/>
    <w:rsid w:val="001C362E"/>
    <w:rsid w:val="001D0CB1"/>
    <w:rsid w:val="001D238B"/>
    <w:rsid w:val="001D3475"/>
    <w:rsid w:val="001D55C0"/>
    <w:rsid w:val="001D5969"/>
    <w:rsid w:val="001E024E"/>
    <w:rsid w:val="001E10D2"/>
    <w:rsid w:val="001E23B7"/>
    <w:rsid w:val="001E285E"/>
    <w:rsid w:val="001E3D18"/>
    <w:rsid w:val="001E4782"/>
    <w:rsid w:val="001E78AC"/>
    <w:rsid w:val="001F02C4"/>
    <w:rsid w:val="001F095C"/>
    <w:rsid w:val="001F32C8"/>
    <w:rsid w:val="001F3CC4"/>
    <w:rsid w:val="001F3D46"/>
    <w:rsid w:val="001F64ED"/>
    <w:rsid w:val="00200246"/>
    <w:rsid w:val="0020028F"/>
    <w:rsid w:val="00200462"/>
    <w:rsid w:val="00200A96"/>
    <w:rsid w:val="00200C7F"/>
    <w:rsid w:val="00201038"/>
    <w:rsid w:val="00202F88"/>
    <w:rsid w:val="00202FD9"/>
    <w:rsid w:val="00203793"/>
    <w:rsid w:val="00204348"/>
    <w:rsid w:val="002053DC"/>
    <w:rsid w:val="00206478"/>
    <w:rsid w:val="00207463"/>
    <w:rsid w:val="00207AEA"/>
    <w:rsid w:val="002115AE"/>
    <w:rsid w:val="002117EF"/>
    <w:rsid w:val="002117F5"/>
    <w:rsid w:val="00211EBD"/>
    <w:rsid w:val="00212E44"/>
    <w:rsid w:val="00214DAB"/>
    <w:rsid w:val="00214F10"/>
    <w:rsid w:val="002152C0"/>
    <w:rsid w:val="00215781"/>
    <w:rsid w:val="00216DC8"/>
    <w:rsid w:val="00217E55"/>
    <w:rsid w:val="002222B4"/>
    <w:rsid w:val="00222643"/>
    <w:rsid w:val="0022458D"/>
    <w:rsid w:val="00224CCD"/>
    <w:rsid w:val="00224F5B"/>
    <w:rsid w:val="0022726B"/>
    <w:rsid w:val="00227D25"/>
    <w:rsid w:val="0023048A"/>
    <w:rsid w:val="00230A54"/>
    <w:rsid w:val="00231A1F"/>
    <w:rsid w:val="0023376A"/>
    <w:rsid w:val="002346DA"/>
    <w:rsid w:val="00234FD8"/>
    <w:rsid w:val="00235356"/>
    <w:rsid w:val="0023601A"/>
    <w:rsid w:val="00240095"/>
    <w:rsid w:val="002407F4"/>
    <w:rsid w:val="002415E7"/>
    <w:rsid w:val="00241A12"/>
    <w:rsid w:val="002421A6"/>
    <w:rsid w:val="002425B9"/>
    <w:rsid w:val="00242C19"/>
    <w:rsid w:val="002440C3"/>
    <w:rsid w:val="00244312"/>
    <w:rsid w:val="002457BC"/>
    <w:rsid w:val="00246B1F"/>
    <w:rsid w:val="00247C06"/>
    <w:rsid w:val="00251306"/>
    <w:rsid w:val="00253D3E"/>
    <w:rsid w:val="00255021"/>
    <w:rsid w:val="0025684F"/>
    <w:rsid w:val="002575A9"/>
    <w:rsid w:val="00257B3A"/>
    <w:rsid w:val="00257EBA"/>
    <w:rsid w:val="002610FC"/>
    <w:rsid w:val="00261947"/>
    <w:rsid w:val="00262B5D"/>
    <w:rsid w:val="0026386D"/>
    <w:rsid w:val="00264BFC"/>
    <w:rsid w:val="00266876"/>
    <w:rsid w:val="00266878"/>
    <w:rsid w:val="00270ABF"/>
    <w:rsid w:val="00270D2B"/>
    <w:rsid w:val="00271152"/>
    <w:rsid w:val="0027257F"/>
    <w:rsid w:val="00274067"/>
    <w:rsid w:val="00274357"/>
    <w:rsid w:val="00274CB8"/>
    <w:rsid w:val="0027501E"/>
    <w:rsid w:val="002753C5"/>
    <w:rsid w:val="00276323"/>
    <w:rsid w:val="002768E6"/>
    <w:rsid w:val="00276A72"/>
    <w:rsid w:val="00277AC8"/>
    <w:rsid w:val="00277C59"/>
    <w:rsid w:val="0028004A"/>
    <w:rsid w:val="00280662"/>
    <w:rsid w:val="00281509"/>
    <w:rsid w:val="00281BAD"/>
    <w:rsid w:val="00284F37"/>
    <w:rsid w:val="00285E70"/>
    <w:rsid w:val="0028660C"/>
    <w:rsid w:val="00287710"/>
    <w:rsid w:val="00290AD9"/>
    <w:rsid w:val="00290D32"/>
    <w:rsid w:val="002916B4"/>
    <w:rsid w:val="00293D3B"/>
    <w:rsid w:val="002942A7"/>
    <w:rsid w:val="002946BD"/>
    <w:rsid w:val="00295254"/>
    <w:rsid w:val="00296191"/>
    <w:rsid w:val="00297501"/>
    <w:rsid w:val="002976A7"/>
    <w:rsid w:val="00297B23"/>
    <w:rsid w:val="002A12A6"/>
    <w:rsid w:val="002A254F"/>
    <w:rsid w:val="002A287A"/>
    <w:rsid w:val="002A696F"/>
    <w:rsid w:val="002A6F44"/>
    <w:rsid w:val="002B2E88"/>
    <w:rsid w:val="002B4219"/>
    <w:rsid w:val="002B4CF0"/>
    <w:rsid w:val="002B4D63"/>
    <w:rsid w:val="002B50F6"/>
    <w:rsid w:val="002B5BBF"/>
    <w:rsid w:val="002B69BF"/>
    <w:rsid w:val="002B76CB"/>
    <w:rsid w:val="002B7EF4"/>
    <w:rsid w:val="002C01D2"/>
    <w:rsid w:val="002C05D3"/>
    <w:rsid w:val="002C119D"/>
    <w:rsid w:val="002C3A47"/>
    <w:rsid w:val="002C4B55"/>
    <w:rsid w:val="002C4FF8"/>
    <w:rsid w:val="002C6DC7"/>
    <w:rsid w:val="002D12D8"/>
    <w:rsid w:val="002D1B2E"/>
    <w:rsid w:val="002D3BFE"/>
    <w:rsid w:val="002D5913"/>
    <w:rsid w:val="002D5CB6"/>
    <w:rsid w:val="002D7DCB"/>
    <w:rsid w:val="002E234F"/>
    <w:rsid w:val="002E3603"/>
    <w:rsid w:val="002E4156"/>
    <w:rsid w:val="002E4547"/>
    <w:rsid w:val="002E66B7"/>
    <w:rsid w:val="002E6FDE"/>
    <w:rsid w:val="002F0237"/>
    <w:rsid w:val="002F0270"/>
    <w:rsid w:val="002F03E5"/>
    <w:rsid w:val="002F078F"/>
    <w:rsid w:val="002F2E55"/>
    <w:rsid w:val="002F33A3"/>
    <w:rsid w:val="002F4D6E"/>
    <w:rsid w:val="002F677E"/>
    <w:rsid w:val="002F69AD"/>
    <w:rsid w:val="00301372"/>
    <w:rsid w:val="00304C63"/>
    <w:rsid w:val="003057FD"/>
    <w:rsid w:val="00310C65"/>
    <w:rsid w:val="00311735"/>
    <w:rsid w:val="00311D19"/>
    <w:rsid w:val="003146AC"/>
    <w:rsid w:val="003168D8"/>
    <w:rsid w:val="00316DB4"/>
    <w:rsid w:val="003173DB"/>
    <w:rsid w:val="00320C3F"/>
    <w:rsid w:val="00320EEA"/>
    <w:rsid w:val="00321456"/>
    <w:rsid w:val="003224B7"/>
    <w:rsid w:val="0032337E"/>
    <w:rsid w:val="00323A70"/>
    <w:rsid w:val="00324D5D"/>
    <w:rsid w:val="00324F43"/>
    <w:rsid w:val="00331257"/>
    <w:rsid w:val="00331A59"/>
    <w:rsid w:val="00334467"/>
    <w:rsid w:val="00334B91"/>
    <w:rsid w:val="003352B2"/>
    <w:rsid w:val="0033605D"/>
    <w:rsid w:val="00336C9C"/>
    <w:rsid w:val="00340747"/>
    <w:rsid w:val="003414E3"/>
    <w:rsid w:val="003418F2"/>
    <w:rsid w:val="00341AD2"/>
    <w:rsid w:val="00341B66"/>
    <w:rsid w:val="00342094"/>
    <w:rsid w:val="00342594"/>
    <w:rsid w:val="00342FDB"/>
    <w:rsid w:val="0034312B"/>
    <w:rsid w:val="00343219"/>
    <w:rsid w:val="00343BA8"/>
    <w:rsid w:val="00344301"/>
    <w:rsid w:val="00344457"/>
    <w:rsid w:val="003474DA"/>
    <w:rsid w:val="00347D71"/>
    <w:rsid w:val="00352068"/>
    <w:rsid w:val="00352369"/>
    <w:rsid w:val="00356743"/>
    <w:rsid w:val="003567C6"/>
    <w:rsid w:val="00357D08"/>
    <w:rsid w:val="00357DD5"/>
    <w:rsid w:val="00360CD2"/>
    <w:rsid w:val="0036172D"/>
    <w:rsid w:val="00361E11"/>
    <w:rsid w:val="00362220"/>
    <w:rsid w:val="0036268E"/>
    <w:rsid w:val="003638B8"/>
    <w:rsid w:val="00363B94"/>
    <w:rsid w:val="00363C51"/>
    <w:rsid w:val="00363F18"/>
    <w:rsid w:val="003643A4"/>
    <w:rsid w:val="00365D27"/>
    <w:rsid w:val="003673FC"/>
    <w:rsid w:val="00370A7B"/>
    <w:rsid w:val="0037226C"/>
    <w:rsid w:val="00374637"/>
    <w:rsid w:val="003749D5"/>
    <w:rsid w:val="00374C59"/>
    <w:rsid w:val="00375419"/>
    <w:rsid w:val="003761F7"/>
    <w:rsid w:val="003779EF"/>
    <w:rsid w:val="00377ECF"/>
    <w:rsid w:val="0038065E"/>
    <w:rsid w:val="0038109A"/>
    <w:rsid w:val="00381B93"/>
    <w:rsid w:val="00382BA1"/>
    <w:rsid w:val="00382FEA"/>
    <w:rsid w:val="00384046"/>
    <w:rsid w:val="00385807"/>
    <w:rsid w:val="00387AF7"/>
    <w:rsid w:val="00390014"/>
    <w:rsid w:val="00391302"/>
    <w:rsid w:val="003924AC"/>
    <w:rsid w:val="0039257E"/>
    <w:rsid w:val="00394857"/>
    <w:rsid w:val="00394D00"/>
    <w:rsid w:val="00397E8B"/>
    <w:rsid w:val="003A0C87"/>
    <w:rsid w:val="003A1D8D"/>
    <w:rsid w:val="003A2397"/>
    <w:rsid w:val="003A2DE9"/>
    <w:rsid w:val="003A2FA5"/>
    <w:rsid w:val="003A3AC2"/>
    <w:rsid w:val="003A44B0"/>
    <w:rsid w:val="003A455C"/>
    <w:rsid w:val="003A5863"/>
    <w:rsid w:val="003A5AA9"/>
    <w:rsid w:val="003A63BF"/>
    <w:rsid w:val="003B0022"/>
    <w:rsid w:val="003B0457"/>
    <w:rsid w:val="003B0B65"/>
    <w:rsid w:val="003B167D"/>
    <w:rsid w:val="003B1B94"/>
    <w:rsid w:val="003B2507"/>
    <w:rsid w:val="003B46AC"/>
    <w:rsid w:val="003B6623"/>
    <w:rsid w:val="003B78FD"/>
    <w:rsid w:val="003B7CEE"/>
    <w:rsid w:val="003C191D"/>
    <w:rsid w:val="003C6D00"/>
    <w:rsid w:val="003D2300"/>
    <w:rsid w:val="003D5631"/>
    <w:rsid w:val="003D5F6E"/>
    <w:rsid w:val="003D66FF"/>
    <w:rsid w:val="003D6B55"/>
    <w:rsid w:val="003D7A6E"/>
    <w:rsid w:val="003E0121"/>
    <w:rsid w:val="003E215F"/>
    <w:rsid w:val="003E3750"/>
    <w:rsid w:val="003E510B"/>
    <w:rsid w:val="003E5C50"/>
    <w:rsid w:val="003E7B27"/>
    <w:rsid w:val="003F0014"/>
    <w:rsid w:val="003F506B"/>
    <w:rsid w:val="003F5944"/>
    <w:rsid w:val="003F69C9"/>
    <w:rsid w:val="00402FF3"/>
    <w:rsid w:val="00403FF0"/>
    <w:rsid w:val="00404425"/>
    <w:rsid w:val="004045EC"/>
    <w:rsid w:val="00404E56"/>
    <w:rsid w:val="00406598"/>
    <w:rsid w:val="00407024"/>
    <w:rsid w:val="004111E4"/>
    <w:rsid w:val="00411AFB"/>
    <w:rsid w:val="004130A1"/>
    <w:rsid w:val="0041494D"/>
    <w:rsid w:val="00415BC6"/>
    <w:rsid w:val="004163E2"/>
    <w:rsid w:val="00417A06"/>
    <w:rsid w:val="004216E0"/>
    <w:rsid w:val="004217A8"/>
    <w:rsid w:val="004235BC"/>
    <w:rsid w:val="00424ED7"/>
    <w:rsid w:val="004251EF"/>
    <w:rsid w:val="00425ED8"/>
    <w:rsid w:val="004264C7"/>
    <w:rsid w:val="004267F1"/>
    <w:rsid w:val="004278EC"/>
    <w:rsid w:val="00427B5E"/>
    <w:rsid w:val="004303CC"/>
    <w:rsid w:val="00430F4E"/>
    <w:rsid w:val="0043233A"/>
    <w:rsid w:val="004327ED"/>
    <w:rsid w:val="00432830"/>
    <w:rsid w:val="00432E1A"/>
    <w:rsid w:val="00434AB4"/>
    <w:rsid w:val="00434B70"/>
    <w:rsid w:val="00434EA9"/>
    <w:rsid w:val="00435015"/>
    <w:rsid w:val="0043742E"/>
    <w:rsid w:val="0044173C"/>
    <w:rsid w:val="00441FF0"/>
    <w:rsid w:val="004429E9"/>
    <w:rsid w:val="00442AEE"/>
    <w:rsid w:val="004450FA"/>
    <w:rsid w:val="0044660C"/>
    <w:rsid w:val="004471A4"/>
    <w:rsid w:val="00447AEA"/>
    <w:rsid w:val="004523EE"/>
    <w:rsid w:val="00452F52"/>
    <w:rsid w:val="0045438B"/>
    <w:rsid w:val="00454C52"/>
    <w:rsid w:val="00455BD6"/>
    <w:rsid w:val="00461445"/>
    <w:rsid w:val="0046144F"/>
    <w:rsid w:val="004619B0"/>
    <w:rsid w:val="00462E4C"/>
    <w:rsid w:val="00463E09"/>
    <w:rsid w:val="00464277"/>
    <w:rsid w:val="00465A6A"/>
    <w:rsid w:val="00467365"/>
    <w:rsid w:val="004676E9"/>
    <w:rsid w:val="00472276"/>
    <w:rsid w:val="00472E37"/>
    <w:rsid w:val="00473621"/>
    <w:rsid w:val="0047465D"/>
    <w:rsid w:val="004756C5"/>
    <w:rsid w:val="00475BCE"/>
    <w:rsid w:val="00476257"/>
    <w:rsid w:val="004762F1"/>
    <w:rsid w:val="0047711E"/>
    <w:rsid w:val="0047772C"/>
    <w:rsid w:val="00477903"/>
    <w:rsid w:val="004800F2"/>
    <w:rsid w:val="00481A2D"/>
    <w:rsid w:val="00482825"/>
    <w:rsid w:val="00482859"/>
    <w:rsid w:val="00482BCC"/>
    <w:rsid w:val="00482D05"/>
    <w:rsid w:val="00483743"/>
    <w:rsid w:val="00483AC5"/>
    <w:rsid w:val="00483BA2"/>
    <w:rsid w:val="00485402"/>
    <w:rsid w:val="004867C9"/>
    <w:rsid w:val="00487E8B"/>
    <w:rsid w:val="00490524"/>
    <w:rsid w:val="00490B40"/>
    <w:rsid w:val="004910F9"/>
    <w:rsid w:val="004920FF"/>
    <w:rsid w:val="0049310A"/>
    <w:rsid w:val="004932E8"/>
    <w:rsid w:val="0049596A"/>
    <w:rsid w:val="004974CE"/>
    <w:rsid w:val="004A0574"/>
    <w:rsid w:val="004A0D49"/>
    <w:rsid w:val="004A1274"/>
    <w:rsid w:val="004A22E0"/>
    <w:rsid w:val="004A2D28"/>
    <w:rsid w:val="004A5AAD"/>
    <w:rsid w:val="004A6F8C"/>
    <w:rsid w:val="004A7126"/>
    <w:rsid w:val="004A7684"/>
    <w:rsid w:val="004A79E8"/>
    <w:rsid w:val="004A7CCD"/>
    <w:rsid w:val="004B0195"/>
    <w:rsid w:val="004B280A"/>
    <w:rsid w:val="004B2F1D"/>
    <w:rsid w:val="004B3004"/>
    <w:rsid w:val="004B3F03"/>
    <w:rsid w:val="004B469C"/>
    <w:rsid w:val="004B4BA2"/>
    <w:rsid w:val="004B4E44"/>
    <w:rsid w:val="004B6177"/>
    <w:rsid w:val="004B710A"/>
    <w:rsid w:val="004B72D7"/>
    <w:rsid w:val="004B7FB5"/>
    <w:rsid w:val="004C10D9"/>
    <w:rsid w:val="004C7EE0"/>
    <w:rsid w:val="004D09CE"/>
    <w:rsid w:val="004D0EC3"/>
    <w:rsid w:val="004D21CF"/>
    <w:rsid w:val="004D3933"/>
    <w:rsid w:val="004D3F81"/>
    <w:rsid w:val="004D4EC5"/>
    <w:rsid w:val="004D5B7A"/>
    <w:rsid w:val="004D600E"/>
    <w:rsid w:val="004D79D0"/>
    <w:rsid w:val="004E05BC"/>
    <w:rsid w:val="004E0C3E"/>
    <w:rsid w:val="004E0F06"/>
    <w:rsid w:val="004E11FF"/>
    <w:rsid w:val="004E35AD"/>
    <w:rsid w:val="004E36E4"/>
    <w:rsid w:val="004E3918"/>
    <w:rsid w:val="004E3EE8"/>
    <w:rsid w:val="004E5268"/>
    <w:rsid w:val="004E5272"/>
    <w:rsid w:val="004E59E1"/>
    <w:rsid w:val="004E6200"/>
    <w:rsid w:val="004E7738"/>
    <w:rsid w:val="004E7CB5"/>
    <w:rsid w:val="004F0A1B"/>
    <w:rsid w:val="004F0BD1"/>
    <w:rsid w:val="004F1F28"/>
    <w:rsid w:val="004F2CDC"/>
    <w:rsid w:val="004F3AF4"/>
    <w:rsid w:val="004F3B01"/>
    <w:rsid w:val="004F5163"/>
    <w:rsid w:val="005009E2"/>
    <w:rsid w:val="00502B07"/>
    <w:rsid w:val="00503EC7"/>
    <w:rsid w:val="005040C6"/>
    <w:rsid w:val="00504780"/>
    <w:rsid w:val="005048DE"/>
    <w:rsid w:val="0050529E"/>
    <w:rsid w:val="00506232"/>
    <w:rsid w:val="0050795C"/>
    <w:rsid w:val="00507AD1"/>
    <w:rsid w:val="00511605"/>
    <w:rsid w:val="005138C8"/>
    <w:rsid w:val="00516187"/>
    <w:rsid w:val="00516A51"/>
    <w:rsid w:val="00520674"/>
    <w:rsid w:val="00520AAC"/>
    <w:rsid w:val="0052133D"/>
    <w:rsid w:val="005220B8"/>
    <w:rsid w:val="00522891"/>
    <w:rsid w:val="00523387"/>
    <w:rsid w:val="00524DCC"/>
    <w:rsid w:val="005257EA"/>
    <w:rsid w:val="00525921"/>
    <w:rsid w:val="005265D1"/>
    <w:rsid w:val="00526E4E"/>
    <w:rsid w:val="005301D3"/>
    <w:rsid w:val="005302C5"/>
    <w:rsid w:val="00531F8D"/>
    <w:rsid w:val="005324A3"/>
    <w:rsid w:val="00532A6A"/>
    <w:rsid w:val="005331B4"/>
    <w:rsid w:val="00533BA8"/>
    <w:rsid w:val="00535970"/>
    <w:rsid w:val="0053638D"/>
    <w:rsid w:val="005368A6"/>
    <w:rsid w:val="00537BF0"/>
    <w:rsid w:val="00540432"/>
    <w:rsid w:val="00540C93"/>
    <w:rsid w:val="00540ED9"/>
    <w:rsid w:val="00541DDA"/>
    <w:rsid w:val="00542235"/>
    <w:rsid w:val="005437CD"/>
    <w:rsid w:val="005444AD"/>
    <w:rsid w:val="00544627"/>
    <w:rsid w:val="00544C7D"/>
    <w:rsid w:val="00545A16"/>
    <w:rsid w:val="00545CAA"/>
    <w:rsid w:val="00546DB0"/>
    <w:rsid w:val="00547157"/>
    <w:rsid w:val="00547CB8"/>
    <w:rsid w:val="005503AE"/>
    <w:rsid w:val="005504A5"/>
    <w:rsid w:val="00551224"/>
    <w:rsid w:val="005525E9"/>
    <w:rsid w:val="005529E8"/>
    <w:rsid w:val="00554DB9"/>
    <w:rsid w:val="0055657A"/>
    <w:rsid w:val="00556AC1"/>
    <w:rsid w:val="0055718B"/>
    <w:rsid w:val="00560965"/>
    <w:rsid w:val="005609ED"/>
    <w:rsid w:val="00562C84"/>
    <w:rsid w:val="005635F5"/>
    <w:rsid w:val="00565230"/>
    <w:rsid w:val="0056559D"/>
    <w:rsid w:val="00566708"/>
    <w:rsid w:val="005667C3"/>
    <w:rsid w:val="0056711E"/>
    <w:rsid w:val="0056718E"/>
    <w:rsid w:val="0056775B"/>
    <w:rsid w:val="005679FF"/>
    <w:rsid w:val="005701AE"/>
    <w:rsid w:val="005718D4"/>
    <w:rsid w:val="005722FA"/>
    <w:rsid w:val="00572496"/>
    <w:rsid w:val="0057314E"/>
    <w:rsid w:val="0057367A"/>
    <w:rsid w:val="005738B4"/>
    <w:rsid w:val="00573BA0"/>
    <w:rsid w:val="00574109"/>
    <w:rsid w:val="00576079"/>
    <w:rsid w:val="005771F5"/>
    <w:rsid w:val="00577709"/>
    <w:rsid w:val="005802D6"/>
    <w:rsid w:val="005808CB"/>
    <w:rsid w:val="00580A29"/>
    <w:rsid w:val="005811DA"/>
    <w:rsid w:val="00582D9F"/>
    <w:rsid w:val="00582F49"/>
    <w:rsid w:val="00584118"/>
    <w:rsid w:val="00591F79"/>
    <w:rsid w:val="00592A81"/>
    <w:rsid w:val="00594B0F"/>
    <w:rsid w:val="00594DE6"/>
    <w:rsid w:val="00595471"/>
    <w:rsid w:val="005A0ED4"/>
    <w:rsid w:val="005A10C6"/>
    <w:rsid w:val="005A17C1"/>
    <w:rsid w:val="005A1D03"/>
    <w:rsid w:val="005A1D35"/>
    <w:rsid w:val="005A1DEB"/>
    <w:rsid w:val="005A2043"/>
    <w:rsid w:val="005A23FC"/>
    <w:rsid w:val="005A240A"/>
    <w:rsid w:val="005A40C1"/>
    <w:rsid w:val="005A4682"/>
    <w:rsid w:val="005A6758"/>
    <w:rsid w:val="005A6837"/>
    <w:rsid w:val="005A799F"/>
    <w:rsid w:val="005A7EF2"/>
    <w:rsid w:val="005B0265"/>
    <w:rsid w:val="005B03AB"/>
    <w:rsid w:val="005B0EE2"/>
    <w:rsid w:val="005B1809"/>
    <w:rsid w:val="005B1D6F"/>
    <w:rsid w:val="005B2FCA"/>
    <w:rsid w:val="005B304E"/>
    <w:rsid w:val="005B34D5"/>
    <w:rsid w:val="005B35BA"/>
    <w:rsid w:val="005B669F"/>
    <w:rsid w:val="005B6EA3"/>
    <w:rsid w:val="005B71AC"/>
    <w:rsid w:val="005C01EA"/>
    <w:rsid w:val="005C04E8"/>
    <w:rsid w:val="005C2D07"/>
    <w:rsid w:val="005C3770"/>
    <w:rsid w:val="005C53E6"/>
    <w:rsid w:val="005C5A58"/>
    <w:rsid w:val="005C688E"/>
    <w:rsid w:val="005C6E69"/>
    <w:rsid w:val="005C720B"/>
    <w:rsid w:val="005C763C"/>
    <w:rsid w:val="005C7725"/>
    <w:rsid w:val="005C7850"/>
    <w:rsid w:val="005D0FC3"/>
    <w:rsid w:val="005D2E46"/>
    <w:rsid w:val="005D32E0"/>
    <w:rsid w:val="005D335F"/>
    <w:rsid w:val="005D3846"/>
    <w:rsid w:val="005D49BB"/>
    <w:rsid w:val="005D50A4"/>
    <w:rsid w:val="005D592F"/>
    <w:rsid w:val="005D6650"/>
    <w:rsid w:val="005D6E69"/>
    <w:rsid w:val="005D7533"/>
    <w:rsid w:val="005D78A4"/>
    <w:rsid w:val="005E010F"/>
    <w:rsid w:val="005E043C"/>
    <w:rsid w:val="005E3267"/>
    <w:rsid w:val="005E4D3E"/>
    <w:rsid w:val="005E5956"/>
    <w:rsid w:val="005E5E9E"/>
    <w:rsid w:val="005E6A4F"/>
    <w:rsid w:val="005F227C"/>
    <w:rsid w:val="005F303D"/>
    <w:rsid w:val="005F3F4C"/>
    <w:rsid w:val="005F4C38"/>
    <w:rsid w:val="005F4CC5"/>
    <w:rsid w:val="005F6288"/>
    <w:rsid w:val="005F6EF3"/>
    <w:rsid w:val="005F71FD"/>
    <w:rsid w:val="00600530"/>
    <w:rsid w:val="006018AB"/>
    <w:rsid w:val="0060383A"/>
    <w:rsid w:val="00603F52"/>
    <w:rsid w:val="00604A6C"/>
    <w:rsid w:val="006059BF"/>
    <w:rsid w:val="00606827"/>
    <w:rsid w:val="00606D04"/>
    <w:rsid w:val="00606E63"/>
    <w:rsid w:val="00610A92"/>
    <w:rsid w:val="00610E7F"/>
    <w:rsid w:val="00610F31"/>
    <w:rsid w:val="00611233"/>
    <w:rsid w:val="00612382"/>
    <w:rsid w:val="00612D54"/>
    <w:rsid w:val="00613741"/>
    <w:rsid w:val="00614507"/>
    <w:rsid w:val="00615E70"/>
    <w:rsid w:val="006162AF"/>
    <w:rsid w:val="00616954"/>
    <w:rsid w:val="00621EC2"/>
    <w:rsid w:val="0062222E"/>
    <w:rsid w:val="00623467"/>
    <w:rsid w:val="00624AA6"/>
    <w:rsid w:val="006256A4"/>
    <w:rsid w:val="00625FAC"/>
    <w:rsid w:val="0062667F"/>
    <w:rsid w:val="006266C9"/>
    <w:rsid w:val="00627317"/>
    <w:rsid w:val="006301F1"/>
    <w:rsid w:val="006302B7"/>
    <w:rsid w:val="00630637"/>
    <w:rsid w:val="00630C41"/>
    <w:rsid w:val="00632412"/>
    <w:rsid w:val="00632492"/>
    <w:rsid w:val="00633121"/>
    <w:rsid w:val="00636D8A"/>
    <w:rsid w:val="0064158B"/>
    <w:rsid w:val="006419D3"/>
    <w:rsid w:val="00641DE2"/>
    <w:rsid w:val="00643D25"/>
    <w:rsid w:val="00643FD4"/>
    <w:rsid w:val="00644EBD"/>
    <w:rsid w:val="0064566B"/>
    <w:rsid w:val="00645B68"/>
    <w:rsid w:val="006465E8"/>
    <w:rsid w:val="00651A97"/>
    <w:rsid w:val="00651BB6"/>
    <w:rsid w:val="0065220E"/>
    <w:rsid w:val="00652CC4"/>
    <w:rsid w:val="006535EE"/>
    <w:rsid w:val="0065362C"/>
    <w:rsid w:val="006551DF"/>
    <w:rsid w:val="00655BC8"/>
    <w:rsid w:val="006577DC"/>
    <w:rsid w:val="00660135"/>
    <w:rsid w:val="006604CA"/>
    <w:rsid w:val="006629E2"/>
    <w:rsid w:val="00664BF9"/>
    <w:rsid w:val="006655D5"/>
    <w:rsid w:val="00665A66"/>
    <w:rsid w:val="0066692D"/>
    <w:rsid w:val="0066705A"/>
    <w:rsid w:val="00667E0D"/>
    <w:rsid w:val="00670017"/>
    <w:rsid w:val="00670986"/>
    <w:rsid w:val="00670EBB"/>
    <w:rsid w:val="006713B0"/>
    <w:rsid w:val="00671F1C"/>
    <w:rsid w:val="00673242"/>
    <w:rsid w:val="0067484B"/>
    <w:rsid w:val="00676DFA"/>
    <w:rsid w:val="00677420"/>
    <w:rsid w:val="0068145F"/>
    <w:rsid w:val="00683DA9"/>
    <w:rsid w:val="00690536"/>
    <w:rsid w:val="00690728"/>
    <w:rsid w:val="0069088B"/>
    <w:rsid w:val="00691E3E"/>
    <w:rsid w:val="0069322D"/>
    <w:rsid w:val="00695498"/>
    <w:rsid w:val="00695E68"/>
    <w:rsid w:val="006965A3"/>
    <w:rsid w:val="0069663A"/>
    <w:rsid w:val="00697945"/>
    <w:rsid w:val="00697952"/>
    <w:rsid w:val="006A0C51"/>
    <w:rsid w:val="006A1E5A"/>
    <w:rsid w:val="006A2497"/>
    <w:rsid w:val="006A2A16"/>
    <w:rsid w:val="006B16ED"/>
    <w:rsid w:val="006B24A2"/>
    <w:rsid w:val="006B2979"/>
    <w:rsid w:val="006B3B32"/>
    <w:rsid w:val="006B55AD"/>
    <w:rsid w:val="006B5733"/>
    <w:rsid w:val="006B7406"/>
    <w:rsid w:val="006B7D07"/>
    <w:rsid w:val="006C0550"/>
    <w:rsid w:val="006C2A1D"/>
    <w:rsid w:val="006C5023"/>
    <w:rsid w:val="006D0595"/>
    <w:rsid w:val="006D1242"/>
    <w:rsid w:val="006D168A"/>
    <w:rsid w:val="006D2995"/>
    <w:rsid w:val="006D2DD4"/>
    <w:rsid w:val="006D30D8"/>
    <w:rsid w:val="006D337E"/>
    <w:rsid w:val="006D65AB"/>
    <w:rsid w:val="006D6B7C"/>
    <w:rsid w:val="006E0950"/>
    <w:rsid w:val="006E0C0D"/>
    <w:rsid w:val="006E1CDD"/>
    <w:rsid w:val="006E2B4F"/>
    <w:rsid w:val="006E3B58"/>
    <w:rsid w:val="006E4812"/>
    <w:rsid w:val="006E5A32"/>
    <w:rsid w:val="006E62F2"/>
    <w:rsid w:val="006E7410"/>
    <w:rsid w:val="006F1D55"/>
    <w:rsid w:val="006F2E02"/>
    <w:rsid w:val="006F48E2"/>
    <w:rsid w:val="006F51F8"/>
    <w:rsid w:val="006F5DE4"/>
    <w:rsid w:val="006F71C3"/>
    <w:rsid w:val="006F71F9"/>
    <w:rsid w:val="006F7B90"/>
    <w:rsid w:val="006F7E62"/>
    <w:rsid w:val="006F7E6A"/>
    <w:rsid w:val="0070022F"/>
    <w:rsid w:val="007004F6"/>
    <w:rsid w:val="00700F69"/>
    <w:rsid w:val="00701E88"/>
    <w:rsid w:val="00705A8B"/>
    <w:rsid w:val="00706C47"/>
    <w:rsid w:val="00706FA8"/>
    <w:rsid w:val="0070743E"/>
    <w:rsid w:val="0070777A"/>
    <w:rsid w:val="0071078F"/>
    <w:rsid w:val="00711E37"/>
    <w:rsid w:val="00711E53"/>
    <w:rsid w:val="00712395"/>
    <w:rsid w:val="0071296D"/>
    <w:rsid w:val="00713A5F"/>
    <w:rsid w:val="00714281"/>
    <w:rsid w:val="007151D8"/>
    <w:rsid w:val="0071522F"/>
    <w:rsid w:val="00715643"/>
    <w:rsid w:val="007204ED"/>
    <w:rsid w:val="0072090B"/>
    <w:rsid w:val="00722C54"/>
    <w:rsid w:val="00722DC8"/>
    <w:rsid w:val="00726962"/>
    <w:rsid w:val="00726AC1"/>
    <w:rsid w:val="007276E9"/>
    <w:rsid w:val="00731F66"/>
    <w:rsid w:val="00733FD2"/>
    <w:rsid w:val="00735292"/>
    <w:rsid w:val="00735808"/>
    <w:rsid w:val="00735E29"/>
    <w:rsid w:val="00741836"/>
    <w:rsid w:val="00741EB2"/>
    <w:rsid w:val="00742F5C"/>
    <w:rsid w:val="0074418D"/>
    <w:rsid w:val="007441F2"/>
    <w:rsid w:val="00744344"/>
    <w:rsid w:val="0074591E"/>
    <w:rsid w:val="00747095"/>
    <w:rsid w:val="00747CA4"/>
    <w:rsid w:val="00750971"/>
    <w:rsid w:val="007510C3"/>
    <w:rsid w:val="00753F8B"/>
    <w:rsid w:val="0075479F"/>
    <w:rsid w:val="007553E7"/>
    <w:rsid w:val="00755AF3"/>
    <w:rsid w:val="007561DB"/>
    <w:rsid w:val="007565EB"/>
    <w:rsid w:val="00757466"/>
    <w:rsid w:val="007625C5"/>
    <w:rsid w:val="00762B48"/>
    <w:rsid w:val="00762D1C"/>
    <w:rsid w:val="007638CA"/>
    <w:rsid w:val="00764E65"/>
    <w:rsid w:val="00765249"/>
    <w:rsid w:val="00765EC7"/>
    <w:rsid w:val="00765F65"/>
    <w:rsid w:val="007677AC"/>
    <w:rsid w:val="007678B2"/>
    <w:rsid w:val="00770056"/>
    <w:rsid w:val="00770D36"/>
    <w:rsid w:val="00770F9F"/>
    <w:rsid w:val="00771190"/>
    <w:rsid w:val="00772452"/>
    <w:rsid w:val="00773B8E"/>
    <w:rsid w:val="0077486A"/>
    <w:rsid w:val="00774CC4"/>
    <w:rsid w:val="0077552C"/>
    <w:rsid w:val="007763BA"/>
    <w:rsid w:val="00777087"/>
    <w:rsid w:val="007771AF"/>
    <w:rsid w:val="0078396F"/>
    <w:rsid w:val="00783EFA"/>
    <w:rsid w:val="00786A82"/>
    <w:rsid w:val="00790231"/>
    <w:rsid w:val="00790C2E"/>
    <w:rsid w:val="00790CF0"/>
    <w:rsid w:val="00792F64"/>
    <w:rsid w:val="007935FD"/>
    <w:rsid w:val="00795ACD"/>
    <w:rsid w:val="00795EDD"/>
    <w:rsid w:val="00797BCF"/>
    <w:rsid w:val="007A00EA"/>
    <w:rsid w:val="007A06B8"/>
    <w:rsid w:val="007A0AF0"/>
    <w:rsid w:val="007A48EF"/>
    <w:rsid w:val="007A5473"/>
    <w:rsid w:val="007A56D3"/>
    <w:rsid w:val="007A7B27"/>
    <w:rsid w:val="007A7B87"/>
    <w:rsid w:val="007A7CC6"/>
    <w:rsid w:val="007B2953"/>
    <w:rsid w:val="007B2EBB"/>
    <w:rsid w:val="007B40E6"/>
    <w:rsid w:val="007B4B16"/>
    <w:rsid w:val="007B67F5"/>
    <w:rsid w:val="007B740F"/>
    <w:rsid w:val="007B768A"/>
    <w:rsid w:val="007C0982"/>
    <w:rsid w:val="007C1307"/>
    <w:rsid w:val="007C25A8"/>
    <w:rsid w:val="007C6B80"/>
    <w:rsid w:val="007C77F1"/>
    <w:rsid w:val="007D2BC5"/>
    <w:rsid w:val="007D319E"/>
    <w:rsid w:val="007D51D8"/>
    <w:rsid w:val="007E158F"/>
    <w:rsid w:val="007E1E09"/>
    <w:rsid w:val="007E26FC"/>
    <w:rsid w:val="007E3C7D"/>
    <w:rsid w:val="007E70F8"/>
    <w:rsid w:val="007E7576"/>
    <w:rsid w:val="007F149F"/>
    <w:rsid w:val="007F271E"/>
    <w:rsid w:val="007F3676"/>
    <w:rsid w:val="007F44C2"/>
    <w:rsid w:val="007F5729"/>
    <w:rsid w:val="007F577F"/>
    <w:rsid w:val="007F5F2A"/>
    <w:rsid w:val="007F6DB5"/>
    <w:rsid w:val="007F78F4"/>
    <w:rsid w:val="007F79D0"/>
    <w:rsid w:val="007F7AB4"/>
    <w:rsid w:val="00801324"/>
    <w:rsid w:val="0080138D"/>
    <w:rsid w:val="00801982"/>
    <w:rsid w:val="00801EC0"/>
    <w:rsid w:val="008027AE"/>
    <w:rsid w:val="00803850"/>
    <w:rsid w:val="0080566A"/>
    <w:rsid w:val="00805842"/>
    <w:rsid w:val="008058B3"/>
    <w:rsid w:val="0080605A"/>
    <w:rsid w:val="00807393"/>
    <w:rsid w:val="00811F36"/>
    <w:rsid w:val="0081370D"/>
    <w:rsid w:val="00813C64"/>
    <w:rsid w:val="00814B55"/>
    <w:rsid w:val="00814BC8"/>
    <w:rsid w:val="008169BE"/>
    <w:rsid w:val="008175A8"/>
    <w:rsid w:val="0081788C"/>
    <w:rsid w:val="00817A41"/>
    <w:rsid w:val="00817B08"/>
    <w:rsid w:val="00820317"/>
    <w:rsid w:val="0082097C"/>
    <w:rsid w:val="00821780"/>
    <w:rsid w:val="00821F8F"/>
    <w:rsid w:val="00824F93"/>
    <w:rsid w:val="00825262"/>
    <w:rsid w:val="00825B36"/>
    <w:rsid w:val="0082644A"/>
    <w:rsid w:val="008268C8"/>
    <w:rsid w:val="00827012"/>
    <w:rsid w:val="00827CB5"/>
    <w:rsid w:val="008314E3"/>
    <w:rsid w:val="00832240"/>
    <w:rsid w:val="00833052"/>
    <w:rsid w:val="0083371A"/>
    <w:rsid w:val="00833E98"/>
    <w:rsid w:val="008346DD"/>
    <w:rsid w:val="00834772"/>
    <w:rsid w:val="008351B8"/>
    <w:rsid w:val="008354BA"/>
    <w:rsid w:val="00835704"/>
    <w:rsid w:val="00836EA4"/>
    <w:rsid w:val="00837808"/>
    <w:rsid w:val="008409F2"/>
    <w:rsid w:val="00840F9F"/>
    <w:rsid w:val="008430B3"/>
    <w:rsid w:val="008447DF"/>
    <w:rsid w:val="008458E6"/>
    <w:rsid w:val="0084627E"/>
    <w:rsid w:val="00846B1F"/>
    <w:rsid w:val="00846C61"/>
    <w:rsid w:val="00853381"/>
    <w:rsid w:val="008558B8"/>
    <w:rsid w:val="00855ED8"/>
    <w:rsid w:val="00856FC8"/>
    <w:rsid w:val="0086051E"/>
    <w:rsid w:val="00860AB9"/>
    <w:rsid w:val="00861042"/>
    <w:rsid w:val="00861BF9"/>
    <w:rsid w:val="008637DA"/>
    <w:rsid w:val="00866CC6"/>
    <w:rsid w:val="008674B9"/>
    <w:rsid w:val="00867D55"/>
    <w:rsid w:val="00871389"/>
    <w:rsid w:val="00873C2E"/>
    <w:rsid w:val="00873F19"/>
    <w:rsid w:val="0087680D"/>
    <w:rsid w:val="00877328"/>
    <w:rsid w:val="008778AE"/>
    <w:rsid w:val="008807E6"/>
    <w:rsid w:val="008828F0"/>
    <w:rsid w:val="00882DAF"/>
    <w:rsid w:val="00882F9D"/>
    <w:rsid w:val="0088452F"/>
    <w:rsid w:val="008846A7"/>
    <w:rsid w:val="00884953"/>
    <w:rsid w:val="00884B8C"/>
    <w:rsid w:val="00885229"/>
    <w:rsid w:val="0088560A"/>
    <w:rsid w:val="00885703"/>
    <w:rsid w:val="00886A6B"/>
    <w:rsid w:val="008905FC"/>
    <w:rsid w:val="00890978"/>
    <w:rsid w:val="00891978"/>
    <w:rsid w:val="00891C03"/>
    <w:rsid w:val="008949D2"/>
    <w:rsid w:val="00894D6D"/>
    <w:rsid w:val="00895008"/>
    <w:rsid w:val="0089766C"/>
    <w:rsid w:val="00897803"/>
    <w:rsid w:val="008A0059"/>
    <w:rsid w:val="008A0183"/>
    <w:rsid w:val="008A049C"/>
    <w:rsid w:val="008A1A94"/>
    <w:rsid w:val="008A1D05"/>
    <w:rsid w:val="008A231A"/>
    <w:rsid w:val="008A2C2A"/>
    <w:rsid w:val="008A4C74"/>
    <w:rsid w:val="008A5AFA"/>
    <w:rsid w:val="008A5CFC"/>
    <w:rsid w:val="008A5E39"/>
    <w:rsid w:val="008A71B1"/>
    <w:rsid w:val="008B084A"/>
    <w:rsid w:val="008B20FD"/>
    <w:rsid w:val="008B28BE"/>
    <w:rsid w:val="008B37A4"/>
    <w:rsid w:val="008B5114"/>
    <w:rsid w:val="008B624C"/>
    <w:rsid w:val="008B6629"/>
    <w:rsid w:val="008C17E1"/>
    <w:rsid w:val="008C2C1B"/>
    <w:rsid w:val="008C38B6"/>
    <w:rsid w:val="008C4BD7"/>
    <w:rsid w:val="008C5125"/>
    <w:rsid w:val="008C7CDE"/>
    <w:rsid w:val="008D029C"/>
    <w:rsid w:val="008D35D0"/>
    <w:rsid w:val="008D3C1A"/>
    <w:rsid w:val="008D3DE5"/>
    <w:rsid w:val="008D3F6A"/>
    <w:rsid w:val="008D551D"/>
    <w:rsid w:val="008D5BCB"/>
    <w:rsid w:val="008D665A"/>
    <w:rsid w:val="008D6775"/>
    <w:rsid w:val="008D70BE"/>
    <w:rsid w:val="008D7890"/>
    <w:rsid w:val="008D7C6A"/>
    <w:rsid w:val="008E022F"/>
    <w:rsid w:val="008E090D"/>
    <w:rsid w:val="008E0E3D"/>
    <w:rsid w:val="008E2081"/>
    <w:rsid w:val="008E2A0C"/>
    <w:rsid w:val="008E3139"/>
    <w:rsid w:val="008E51AD"/>
    <w:rsid w:val="008F1BAF"/>
    <w:rsid w:val="008F4672"/>
    <w:rsid w:val="008F5268"/>
    <w:rsid w:val="008F6DB8"/>
    <w:rsid w:val="00900286"/>
    <w:rsid w:val="009004F8"/>
    <w:rsid w:val="009013CA"/>
    <w:rsid w:val="009016EA"/>
    <w:rsid w:val="00901EBF"/>
    <w:rsid w:val="00903616"/>
    <w:rsid w:val="00903AD2"/>
    <w:rsid w:val="00903AE2"/>
    <w:rsid w:val="00904426"/>
    <w:rsid w:val="0090536A"/>
    <w:rsid w:val="009066BD"/>
    <w:rsid w:val="00906811"/>
    <w:rsid w:val="00906A55"/>
    <w:rsid w:val="00907A34"/>
    <w:rsid w:val="0091017F"/>
    <w:rsid w:val="00912449"/>
    <w:rsid w:val="009128D2"/>
    <w:rsid w:val="0091296F"/>
    <w:rsid w:val="00912F01"/>
    <w:rsid w:val="0091305B"/>
    <w:rsid w:val="00913EBE"/>
    <w:rsid w:val="00914273"/>
    <w:rsid w:val="00916022"/>
    <w:rsid w:val="009214F1"/>
    <w:rsid w:val="0092211B"/>
    <w:rsid w:val="009222BF"/>
    <w:rsid w:val="00922AAE"/>
    <w:rsid w:val="00922BB1"/>
    <w:rsid w:val="00922E34"/>
    <w:rsid w:val="00925C7F"/>
    <w:rsid w:val="00926010"/>
    <w:rsid w:val="009265A9"/>
    <w:rsid w:val="00926EC8"/>
    <w:rsid w:val="00926F75"/>
    <w:rsid w:val="00930000"/>
    <w:rsid w:val="00932237"/>
    <w:rsid w:val="00932893"/>
    <w:rsid w:val="009330ED"/>
    <w:rsid w:val="00933B36"/>
    <w:rsid w:val="009357C3"/>
    <w:rsid w:val="00936A77"/>
    <w:rsid w:val="00940FA0"/>
    <w:rsid w:val="00941820"/>
    <w:rsid w:val="00941D89"/>
    <w:rsid w:val="00945111"/>
    <w:rsid w:val="0094556D"/>
    <w:rsid w:val="00945C31"/>
    <w:rsid w:val="009464F6"/>
    <w:rsid w:val="00947C98"/>
    <w:rsid w:val="0095215F"/>
    <w:rsid w:val="009522C2"/>
    <w:rsid w:val="00952E0B"/>
    <w:rsid w:val="0095322F"/>
    <w:rsid w:val="00953661"/>
    <w:rsid w:val="0095579D"/>
    <w:rsid w:val="0095754C"/>
    <w:rsid w:val="00957E10"/>
    <w:rsid w:val="00960179"/>
    <w:rsid w:val="00961808"/>
    <w:rsid w:val="00961822"/>
    <w:rsid w:val="00963818"/>
    <w:rsid w:val="009643D1"/>
    <w:rsid w:val="009648B3"/>
    <w:rsid w:val="00967329"/>
    <w:rsid w:val="00967615"/>
    <w:rsid w:val="00971323"/>
    <w:rsid w:val="00971B64"/>
    <w:rsid w:val="00972402"/>
    <w:rsid w:val="00972CEF"/>
    <w:rsid w:val="009745CB"/>
    <w:rsid w:val="00974816"/>
    <w:rsid w:val="0097747E"/>
    <w:rsid w:val="009777D5"/>
    <w:rsid w:val="00981042"/>
    <w:rsid w:val="0098187B"/>
    <w:rsid w:val="009819FE"/>
    <w:rsid w:val="009848EE"/>
    <w:rsid w:val="00987102"/>
    <w:rsid w:val="00987160"/>
    <w:rsid w:val="00987F51"/>
    <w:rsid w:val="00990002"/>
    <w:rsid w:val="00990909"/>
    <w:rsid w:val="00991A9D"/>
    <w:rsid w:val="0099221E"/>
    <w:rsid w:val="009928EF"/>
    <w:rsid w:val="00994BC6"/>
    <w:rsid w:val="00994BD3"/>
    <w:rsid w:val="00995245"/>
    <w:rsid w:val="009954D6"/>
    <w:rsid w:val="009959A9"/>
    <w:rsid w:val="00996608"/>
    <w:rsid w:val="00996970"/>
    <w:rsid w:val="00997BAD"/>
    <w:rsid w:val="00997F1F"/>
    <w:rsid w:val="009A077B"/>
    <w:rsid w:val="009A1212"/>
    <w:rsid w:val="009A3F88"/>
    <w:rsid w:val="009A4E06"/>
    <w:rsid w:val="009A50B7"/>
    <w:rsid w:val="009A5411"/>
    <w:rsid w:val="009A7236"/>
    <w:rsid w:val="009A7984"/>
    <w:rsid w:val="009B2777"/>
    <w:rsid w:val="009B2CB9"/>
    <w:rsid w:val="009B37A3"/>
    <w:rsid w:val="009B3E59"/>
    <w:rsid w:val="009B5D6F"/>
    <w:rsid w:val="009B5F47"/>
    <w:rsid w:val="009B6FEB"/>
    <w:rsid w:val="009C063B"/>
    <w:rsid w:val="009C18EA"/>
    <w:rsid w:val="009C2D84"/>
    <w:rsid w:val="009C4480"/>
    <w:rsid w:val="009C47AD"/>
    <w:rsid w:val="009C5C91"/>
    <w:rsid w:val="009C620C"/>
    <w:rsid w:val="009C779C"/>
    <w:rsid w:val="009C7EB6"/>
    <w:rsid w:val="009D0539"/>
    <w:rsid w:val="009D0BCE"/>
    <w:rsid w:val="009D3A1D"/>
    <w:rsid w:val="009D3F3B"/>
    <w:rsid w:val="009D543F"/>
    <w:rsid w:val="009D578D"/>
    <w:rsid w:val="009D5CCF"/>
    <w:rsid w:val="009D7280"/>
    <w:rsid w:val="009E12DA"/>
    <w:rsid w:val="009E271C"/>
    <w:rsid w:val="009E2B7E"/>
    <w:rsid w:val="009E2B9A"/>
    <w:rsid w:val="009E44FC"/>
    <w:rsid w:val="009E4DD5"/>
    <w:rsid w:val="009E5006"/>
    <w:rsid w:val="009E5EE7"/>
    <w:rsid w:val="009E6C86"/>
    <w:rsid w:val="009F30A7"/>
    <w:rsid w:val="009F4F60"/>
    <w:rsid w:val="009F5F60"/>
    <w:rsid w:val="009F6FC6"/>
    <w:rsid w:val="009F7503"/>
    <w:rsid w:val="009F776A"/>
    <w:rsid w:val="00A00BF7"/>
    <w:rsid w:val="00A01648"/>
    <w:rsid w:val="00A02C68"/>
    <w:rsid w:val="00A03A9E"/>
    <w:rsid w:val="00A069E9"/>
    <w:rsid w:val="00A1024E"/>
    <w:rsid w:val="00A10A3B"/>
    <w:rsid w:val="00A12228"/>
    <w:rsid w:val="00A12ADC"/>
    <w:rsid w:val="00A12BBE"/>
    <w:rsid w:val="00A1459F"/>
    <w:rsid w:val="00A159C1"/>
    <w:rsid w:val="00A1704E"/>
    <w:rsid w:val="00A201C3"/>
    <w:rsid w:val="00A204A9"/>
    <w:rsid w:val="00A20D0F"/>
    <w:rsid w:val="00A2250E"/>
    <w:rsid w:val="00A24C4F"/>
    <w:rsid w:val="00A25974"/>
    <w:rsid w:val="00A26398"/>
    <w:rsid w:val="00A267B8"/>
    <w:rsid w:val="00A26F26"/>
    <w:rsid w:val="00A27E46"/>
    <w:rsid w:val="00A3059A"/>
    <w:rsid w:val="00A30FE5"/>
    <w:rsid w:val="00A31FBE"/>
    <w:rsid w:val="00A3238A"/>
    <w:rsid w:val="00A34044"/>
    <w:rsid w:val="00A36502"/>
    <w:rsid w:val="00A3688E"/>
    <w:rsid w:val="00A402B4"/>
    <w:rsid w:val="00A40A0B"/>
    <w:rsid w:val="00A42943"/>
    <w:rsid w:val="00A441BE"/>
    <w:rsid w:val="00A445B0"/>
    <w:rsid w:val="00A4555B"/>
    <w:rsid w:val="00A46952"/>
    <w:rsid w:val="00A4701A"/>
    <w:rsid w:val="00A47B53"/>
    <w:rsid w:val="00A502D9"/>
    <w:rsid w:val="00A51093"/>
    <w:rsid w:val="00A511E1"/>
    <w:rsid w:val="00A51479"/>
    <w:rsid w:val="00A5252C"/>
    <w:rsid w:val="00A5509A"/>
    <w:rsid w:val="00A554B2"/>
    <w:rsid w:val="00A56B78"/>
    <w:rsid w:val="00A56E1C"/>
    <w:rsid w:val="00A57109"/>
    <w:rsid w:val="00A578D0"/>
    <w:rsid w:val="00A578FB"/>
    <w:rsid w:val="00A61AB6"/>
    <w:rsid w:val="00A61F56"/>
    <w:rsid w:val="00A645EF"/>
    <w:rsid w:val="00A648D3"/>
    <w:rsid w:val="00A6599C"/>
    <w:rsid w:val="00A65C4A"/>
    <w:rsid w:val="00A66C88"/>
    <w:rsid w:val="00A70328"/>
    <w:rsid w:val="00A7147D"/>
    <w:rsid w:val="00A72171"/>
    <w:rsid w:val="00A73630"/>
    <w:rsid w:val="00A7454D"/>
    <w:rsid w:val="00A76ECB"/>
    <w:rsid w:val="00A80CF7"/>
    <w:rsid w:val="00A818A4"/>
    <w:rsid w:val="00A83C5F"/>
    <w:rsid w:val="00A842C9"/>
    <w:rsid w:val="00A852DE"/>
    <w:rsid w:val="00A85CD2"/>
    <w:rsid w:val="00A8657D"/>
    <w:rsid w:val="00A8696F"/>
    <w:rsid w:val="00A924E9"/>
    <w:rsid w:val="00A9312A"/>
    <w:rsid w:val="00A93DB9"/>
    <w:rsid w:val="00A942BB"/>
    <w:rsid w:val="00A94E59"/>
    <w:rsid w:val="00A959BE"/>
    <w:rsid w:val="00A97B06"/>
    <w:rsid w:val="00AA1A82"/>
    <w:rsid w:val="00AA2F64"/>
    <w:rsid w:val="00AA3513"/>
    <w:rsid w:val="00AA3DB8"/>
    <w:rsid w:val="00AA3FC8"/>
    <w:rsid w:val="00AA53AB"/>
    <w:rsid w:val="00AA64CF"/>
    <w:rsid w:val="00AA659B"/>
    <w:rsid w:val="00AB04E5"/>
    <w:rsid w:val="00AB0D6B"/>
    <w:rsid w:val="00AB16CB"/>
    <w:rsid w:val="00AB1836"/>
    <w:rsid w:val="00AB1C99"/>
    <w:rsid w:val="00AB1F0C"/>
    <w:rsid w:val="00AB1F5D"/>
    <w:rsid w:val="00AB6801"/>
    <w:rsid w:val="00AB6811"/>
    <w:rsid w:val="00AB6AED"/>
    <w:rsid w:val="00AB6FBA"/>
    <w:rsid w:val="00AB714F"/>
    <w:rsid w:val="00AC47C3"/>
    <w:rsid w:val="00AC4FB5"/>
    <w:rsid w:val="00AC6526"/>
    <w:rsid w:val="00AC69D9"/>
    <w:rsid w:val="00AC6D11"/>
    <w:rsid w:val="00AC6F57"/>
    <w:rsid w:val="00AC730B"/>
    <w:rsid w:val="00AC7E01"/>
    <w:rsid w:val="00AD04DB"/>
    <w:rsid w:val="00AD426C"/>
    <w:rsid w:val="00AD5CF3"/>
    <w:rsid w:val="00AD6A96"/>
    <w:rsid w:val="00AE0369"/>
    <w:rsid w:val="00AE0C44"/>
    <w:rsid w:val="00AE134F"/>
    <w:rsid w:val="00AE1C79"/>
    <w:rsid w:val="00AE1E9D"/>
    <w:rsid w:val="00AE1FFA"/>
    <w:rsid w:val="00AE2649"/>
    <w:rsid w:val="00AE27CD"/>
    <w:rsid w:val="00AE3AA3"/>
    <w:rsid w:val="00AE3CCF"/>
    <w:rsid w:val="00AE5270"/>
    <w:rsid w:val="00AE6137"/>
    <w:rsid w:val="00AE780E"/>
    <w:rsid w:val="00AE7A91"/>
    <w:rsid w:val="00AE7E84"/>
    <w:rsid w:val="00AF012F"/>
    <w:rsid w:val="00AF0228"/>
    <w:rsid w:val="00AF099D"/>
    <w:rsid w:val="00AF0F13"/>
    <w:rsid w:val="00AF166F"/>
    <w:rsid w:val="00AF23D8"/>
    <w:rsid w:val="00AF24CD"/>
    <w:rsid w:val="00AF42DA"/>
    <w:rsid w:val="00AF4457"/>
    <w:rsid w:val="00AF504E"/>
    <w:rsid w:val="00AF70E7"/>
    <w:rsid w:val="00B00E26"/>
    <w:rsid w:val="00B030B0"/>
    <w:rsid w:val="00B0360F"/>
    <w:rsid w:val="00B05228"/>
    <w:rsid w:val="00B059AC"/>
    <w:rsid w:val="00B06997"/>
    <w:rsid w:val="00B06F8B"/>
    <w:rsid w:val="00B076A1"/>
    <w:rsid w:val="00B0770A"/>
    <w:rsid w:val="00B116AE"/>
    <w:rsid w:val="00B12AE4"/>
    <w:rsid w:val="00B13521"/>
    <w:rsid w:val="00B14014"/>
    <w:rsid w:val="00B1558B"/>
    <w:rsid w:val="00B170ED"/>
    <w:rsid w:val="00B17B2B"/>
    <w:rsid w:val="00B211A0"/>
    <w:rsid w:val="00B21629"/>
    <w:rsid w:val="00B21E97"/>
    <w:rsid w:val="00B21F5B"/>
    <w:rsid w:val="00B238B3"/>
    <w:rsid w:val="00B24185"/>
    <w:rsid w:val="00B24F23"/>
    <w:rsid w:val="00B27267"/>
    <w:rsid w:val="00B276ED"/>
    <w:rsid w:val="00B31B79"/>
    <w:rsid w:val="00B32BE9"/>
    <w:rsid w:val="00B33324"/>
    <w:rsid w:val="00B33886"/>
    <w:rsid w:val="00B35D2D"/>
    <w:rsid w:val="00B406C2"/>
    <w:rsid w:val="00B41E50"/>
    <w:rsid w:val="00B421D6"/>
    <w:rsid w:val="00B4238E"/>
    <w:rsid w:val="00B42A2E"/>
    <w:rsid w:val="00B43FD7"/>
    <w:rsid w:val="00B463F7"/>
    <w:rsid w:val="00B46F34"/>
    <w:rsid w:val="00B47CEB"/>
    <w:rsid w:val="00B51002"/>
    <w:rsid w:val="00B51622"/>
    <w:rsid w:val="00B51EB7"/>
    <w:rsid w:val="00B52EB6"/>
    <w:rsid w:val="00B55A40"/>
    <w:rsid w:val="00B57C65"/>
    <w:rsid w:val="00B57C67"/>
    <w:rsid w:val="00B601F2"/>
    <w:rsid w:val="00B610ED"/>
    <w:rsid w:val="00B611E3"/>
    <w:rsid w:val="00B61609"/>
    <w:rsid w:val="00B61E42"/>
    <w:rsid w:val="00B63471"/>
    <w:rsid w:val="00B6386D"/>
    <w:rsid w:val="00B63F7C"/>
    <w:rsid w:val="00B646D5"/>
    <w:rsid w:val="00B6512D"/>
    <w:rsid w:val="00B669EC"/>
    <w:rsid w:val="00B671D7"/>
    <w:rsid w:val="00B6767C"/>
    <w:rsid w:val="00B67F61"/>
    <w:rsid w:val="00B700C1"/>
    <w:rsid w:val="00B70F11"/>
    <w:rsid w:val="00B70FE0"/>
    <w:rsid w:val="00B724E6"/>
    <w:rsid w:val="00B72534"/>
    <w:rsid w:val="00B72996"/>
    <w:rsid w:val="00B73655"/>
    <w:rsid w:val="00B73AE3"/>
    <w:rsid w:val="00B76077"/>
    <w:rsid w:val="00B761E0"/>
    <w:rsid w:val="00B7652D"/>
    <w:rsid w:val="00B80C9B"/>
    <w:rsid w:val="00B80D14"/>
    <w:rsid w:val="00B8351B"/>
    <w:rsid w:val="00B836E4"/>
    <w:rsid w:val="00B83868"/>
    <w:rsid w:val="00B861A4"/>
    <w:rsid w:val="00B86F82"/>
    <w:rsid w:val="00B904BD"/>
    <w:rsid w:val="00B90CBA"/>
    <w:rsid w:val="00B91384"/>
    <w:rsid w:val="00B92E60"/>
    <w:rsid w:val="00B92F12"/>
    <w:rsid w:val="00B93F80"/>
    <w:rsid w:val="00B9411E"/>
    <w:rsid w:val="00B94705"/>
    <w:rsid w:val="00B94E25"/>
    <w:rsid w:val="00B96AAB"/>
    <w:rsid w:val="00B97FB7"/>
    <w:rsid w:val="00BA5F01"/>
    <w:rsid w:val="00BB34AC"/>
    <w:rsid w:val="00BB3799"/>
    <w:rsid w:val="00BB4A51"/>
    <w:rsid w:val="00BB66D4"/>
    <w:rsid w:val="00BB737E"/>
    <w:rsid w:val="00BC0F9C"/>
    <w:rsid w:val="00BC1545"/>
    <w:rsid w:val="00BC16C3"/>
    <w:rsid w:val="00BC1743"/>
    <w:rsid w:val="00BC1BBC"/>
    <w:rsid w:val="00BC1DD1"/>
    <w:rsid w:val="00BC301F"/>
    <w:rsid w:val="00BC48B1"/>
    <w:rsid w:val="00BC49A0"/>
    <w:rsid w:val="00BC4EA7"/>
    <w:rsid w:val="00BC4F31"/>
    <w:rsid w:val="00BC5793"/>
    <w:rsid w:val="00BC6088"/>
    <w:rsid w:val="00BC759E"/>
    <w:rsid w:val="00BC7A63"/>
    <w:rsid w:val="00BC7DEE"/>
    <w:rsid w:val="00BC7F02"/>
    <w:rsid w:val="00BD0B4D"/>
    <w:rsid w:val="00BD1143"/>
    <w:rsid w:val="00BD11CC"/>
    <w:rsid w:val="00BD12DF"/>
    <w:rsid w:val="00BD1401"/>
    <w:rsid w:val="00BD1F63"/>
    <w:rsid w:val="00BD2352"/>
    <w:rsid w:val="00BD2674"/>
    <w:rsid w:val="00BD324A"/>
    <w:rsid w:val="00BD3530"/>
    <w:rsid w:val="00BD3580"/>
    <w:rsid w:val="00BD50FD"/>
    <w:rsid w:val="00BD54A2"/>
    <w:rsid w:val="00BD57CA"/>
    <w:rsid w:val="00BD5983"/>
    <w:rsid w:val="00BE16E0"/>
    <w:rsid w:val="00BE3AE8"/>
    <w:rsid w:val="00BE5F07"/>
    <w:rsid w:val="00BF1275"/>
    <w:rsid w:val="00BF4E02"/>
    <w:rsid w:val="00BF54DC"/>
    <w:rsid w:val="00BF5E46"/>
    <w:rsid w:val="00BF5ED8"/>
    <w:rsid w:val="00BF60F5"/>
    <w:rsid w:val="00BF621E"/>
    <w:rsid w:val="00BF69A1"/>
    <w:rsid w:val="00BF7E49"/>
    <w:rsid w:val="00C0447D"/>
    <w:rsid w:val="00C04ACF"/>
    <w:rsid w:val="00C04C66"/>
    <w:rsid w:val="00C1095D"/>
    <w:rsid w:val="00C113A6"/>
    <w:rsid w:val="00C1154C"/>
    <w:rsid w:val="00C125E3"/>
    <w:rsid w:val="00C1402F"/>
    <w:rsid w:val="00C1434E"/>
    <w:rsid w:val="00C14420"/>
    <w:rsid w:val="00C16C1C"/>
    <w:rsid w:val="00C17309"/>
    <w:rsid w:val="00C2073D"/>
    <w:rsid w:val="00C21594"/>
    <w:rsid w:val="00C21A26"/>
    <w:rsid w:val="00C21F7F"/>
    <w:rsid w:val="00C23872"/>
    <w:rsid w:val="00C245C6"/>
    <w:rsid w:val="00C252C2"/>
    <w:rsid w:val="00C30176"/>
    <w:rsid w:val="00C304B9"/>
    <w:rsid w:val="00C31189"/>
    <w:rsid w:val="00C31C78"/>
    <w:rsid w:val="00C32552"/>
    <w:rsid w:val="00C32FAA"/>
    <w:rsid w:val="00C336E7"/>
    <w:rsid w:val="00C359B1"/>
    <w:rsid w:val="00C36453"/>
    <w:rsid w:val="00C3690E"/>
    <w:rsid w:val="00C37C27"/>
    <w:rsid w:val="00C4273E"/>
    <w:rsid w:val="00C438FE"/>
    <w:rsid w:val="00C4686B"/>
    <w:rsid w:val="00C51FBF"/>
    <w:rsid w:val="00C521EE"/>
    <w:rsid w:val="00C52821"/>
    <w:rsid w:val="00C5486C"/>
    <w:rsid w:val="00C562E1"/>
    <w:rsid w:val="00C57563"/>
    <w:rsid w:val="00C578FF"/>
    <w:rsid w:val="00C57BC6"/>
    <w:rsid w:val="00C605C6"/>
    <w:rsid w:val="00C60E34"/>
    <w:rsid w:val="00C618F6"/>
    <w:rsid w:val="00C62367"/>
    <w:rsid w:val="00C63426"/>
    <w:rsid w:val="00C64ADD"/>
    <w:rsid w:val="00C65253"/>
    <w:rsid w:val="00C65E0B"/>
    <w:rsid w:val="00C66140"/>
    <w:rsid w:val="00C672FC"/>
    <w:rsid w:val="00C71559"/>
    <w:rsid w:val="00C71B1D"/>
    <w:rsid w:val="00C71FD6"/>
    <w:rsid w:val="00C72666"/>
    <w:rsid w:val="00C72EF9"/>
    <w:rsid w:val="00C73D8F"/>
    <w:rsid w:val="00C73E12"/>
    <w:rsid w:val="00C749BB"/>
    <w:rsid w:val="00C75AB3"/>
    <w:rsid w:val="00C820BE"/>
    <w:rsid w:val="00C824A4"/>
    <w:rsid w:val="00C83AE5"/>
    <w:rsid w:val="00C847DD"/>
    <w:rsid w:val="00C84D80"/>
    <w:rsid w:val="00C863EC"/>
    <w:rsid w:val="00C86E76"/>
    <w:rsid w:val="00C871D0"/>
    <w:rsid w:val="00C87981"/>
    <w:rsid w:val="00C9038D"/>
    <w:rsid w:val="00C9183E"/>
    <w:rsid w:val="00C918F8"/>
    <w:rsid w:val="00C92327"/>
    <w:rsid w:val="00C9258C"/>
    <w:rsid w:val="00C93A2F"/>
    <w:rsid w:val="00C94DE7"/>
    <w:rsid w:val="00C94EA0"/>
    <w:rsid w:val="00C9553E"/>
    <w:rsid w:val="00C95573"/>
    <w:rsid w:val="00C95AF1"/>
    <w:rsid w:val="00C95EAF"/>
    <w:rsid w:val="00C97757"/>
    <w:rsid w:val="00C97B5F"/>
    <w:rsid w:val="00CA06B9"/>
    <w:rsid w:val="00CA1206"/>
    <w:rsid w:val="00CA232D"/>
    <w:rsid w:val="00CA2E68"/>
    <w:rsid w:val="00CA42F9"/>
    <w:rsid w:val="00CA6D7B"/>
    <w:rsid w:val="00CB0E3B"/>
    <w:rsid w:val="00CB1C6F"/>
    <w:rsid w:val="00CB2FC2"/>
    <w:rsid w:val="00CB509D"/>
    <w:rsid w:val="00CB5ACF"/>
    <w:rsid w:val="00CB6210"/>
    <w:rsid w:val="00CB629F"/>
    <w:rsid w:val="00CB7C70"/>
    <w:rsid w:val="00CB7EF0"/>
    <w:rsid w:val="00CC0220"/>
    <w:rsid w:val="00CC0C22"/>
    <w:rsid w:val="00CC124F"/>
    <w:rsid w:val="00CC1DD2"/>
    <w:rsid w:val="00CC5D1D"/>
    <w:rsid w:val="00CC788C"/>
    <w:rsid w:val="00CC7CB7"/>
    <w:rsid w:val="00CD1BB0"/>
    <w:rsid w:val="00CD2018"/>
    <w:rsid w:val="00CD2AA3"/>
    <w:rsid w:val="00CD3BBA"/>
    <w:rsid w:val="00CD74C2"/>
    <w:rsid w:val="00CD7B96"/>
    <w:rsid w:val="00CE0EB3"/>
    <w:rsid w:val="00CE233B"/>
    <w:rsid w:val="00CE3992"/>
    <w:rsid w:val="00CE455C"/>
    <w:rsid w:val="00CE4BA4"/>
    <w:rsid w:val="00CE5253"/>
    <w:rsid w:val="00CE572E"/>
    <w:rsid w:val="00CE5B3C"/>
    <w:rsid w:val="00CE63C1"/>
    <w:rsid w:val="00CE74E8"/>
    <w:rsid w:val="00CF026F"/>
    <w:rsid w:val="00CF2045"/>
    <w:rsid w:val="00CF5AA3"/>
    <w:rsid w:val="00CF6854"/>
    <w:rsid w:val="00CF744C"/>
    <w:rsid w:val="00CF7743"/>
    <w:rsid w:val="00D03676"/>
    <w:rsid w:val="00D0383A"/>
    <w:rsid w:val="00D06B78"/>
    <w:rsid w:val="00D079F1"/>
    <w:rsid w:val="00D10138"/>
    <w:rsid w:val="00D1041B"/>
    <w:rsid w:val="00D10AB6"/>
    <w:rsid w:val="00D11011"/>
    <w:rsid w:val="00D11512"/>
    <w:rsid w:val="00D11F3C"/>
    <w:rsid w:val="00D13BFB"/>
    <w:rsid w:val="00D150CF"/>
    <w:rsid w:val="00D15965"/>
    <w:rsid w:val="00D16392"/>
    <w:rsid w:val="00D168C5"/>
    <w:rsid w:val="00D21597"/>
    <w:rsid w:val="00D21D95"/>
    <w:rsid w:val="00D23576"/>
    <w:rsid w:val="00D239E9"/>
    <w:rsid w:val="00D23F67"/>
    <w:rsid w:val="00D2411E"/>
    <w:rsid w:val="00D24C3E"/>
    <w:rsid w:val="00D27D9D"/>
    <w:rsid w:val="00D31CF9"/>
    <w:rsid w:val="00D32618"/>
    <w:rsid w:val="00D33616"/>
    <w:rsid w:val="00D34B84"/>
    <w:rsid w:val="00D35D87"/>
    <w:rsid w:val="00D360E5"/>
    <w:rsid w:val="00D36B56"/>
    <w:rsid w:val="00D3710A"/>
    <w:rsid w:val="00D37207"/>
    <w:rsid w:val="00D37A40"/>
    <w:rsid w:val="00D40210"/>
    <w:rsid w:val="00D41336"/>
    <w:rsid w:val="00D42168"/>
    <w:rsid w:val="00D43F4B"/>
    <w:rsid w:val="00D44BC6"/>
    <w:rsid w:val="00D450D6"/>
    <w:rsid w:val="00D45D8B"/>
    <w:rsid w:val="00D479F4"/>
    <w:rsid w:val="00D50161"/>
    <w:rsid w:val="00D50648"/>
    <w:rsid w:val="00D50752"/>
    <w:rsid w:val="00D50872"/>
    <w:rsid w:val="00D50942"/>
    <w:rsid w:val="00D50DC1"/>
    <w:rsid w:val="00D50EAA"/>
    <w:rsid w:val="00D51DB2"/>
    <w:rsid w:val="00D5268F"/>
    <w:rsid w:val="00D55E4C"/>
    <w:rsid w:val="00D56934"/>
    <w:rsid w:val="00D606B9"/>
    <w:rsid w:val="00D60FF9"/>
    <w:rsid w:val="00D61463"/>
    <w:rsid w:val="00D61C06"/>
    <w:rsid w:val="00D62362"/>
    <w:rsid w:val="00D62E68"/>
    <w:rsid w:val="00D632E0"/>
    <w:rsid w:val="00D635BE"/>
    <w:rsid w:val="00D636A2"/>
    <w:rsid w:val="00D63F7A"/>
    <w:rsid w:val="00D64609"/>
    <w:rsid w:val="00D64696"/>
    <w:rsid w:val="00D647D0"/>
    <w:rsid w:val="00D65EBA"/>
    <w:rsid w:val="00D661F7"/>
    <w:rsid w:val="00D67812"/>
    <w:rsid w:val="00D70351"/>
    <w:rsid w:val="00D710B8"/>
    <w:rsid w:val="00D71CF1"/>
    <w:rsid w:val="00D71E69"/>
    <w:rsid w:val="00D7252E"/>
    <w:rsid w:val="00D72F69"/>
    <w:rsid w:val="00D73283"/>
    <w:rsid w:val="00D733B3"/>
    <w:rsid w:val="00D73FE8"/>
    <w:rsid w:val="00D755DB"/>
    <w:rsid w:val="00D76020"/>
    <w:rsid w:val="00D7683B"/>
    <w:rsid w:val="00D76854"/>
    <w:rsid w:val="00D772A3"/>
    <w:rsid w:val="00D80AF0"/>
    <w:rsid w:val="00D80EF1"/>
    <w:rsid w:val="00D817DA"/>
    <w:rsid w:val="00D81F25"/>
    <w:rsid w:val="00D82490"/>
    <w:rsid w:val="00D866B9"/>
    <w:rsid w:val="00D867BC"/>
    <w:rsid w:val="00D86B64"/>
    <w:rsid w:val="00D90D93"/>
    <w:rsid w:val="00D9109C"/>
    <w:rsid w:val="00D91474"/>
    <w:rsid w:val="00D917E4"/>
    <w:rsid w:val="00D918DC"/>
    <w:rsid w:val="00D91BCD"/>
    <w:rsid w:val="00D93182"/>
    <w:rsid w:val="00D9356E"/>
    <w:rsid w:val="00D93913"/>
    <w:rsid w:val="00D947EC"/>
    <w:rsid w:val="00D954A1"/>
    <w:rsid w:val="00D95999"/>
    <w:rsid w:val="00D9617F"/>
    <w:rsid w:val="00D96696"/>
    <w:rsid w:val="00D968D6"/>
    <w:rsid w:val="00D97376"/>
    <w:rsid w:val="00DA1A83"/>
    <w:rsid w:val="00DA1FDB"/>
    <w:rsid w:val="00DA237C"/>
    <w:rsid w:val="00DA2E77"/>
    <w:rsid w:val="00DA3C95"/>
    <w:rsid w:val="00DA4C79"/>
    <w:rsid w:val="00DA626D"/>
    <w:rsid w:val="00DB2FD2"/>
    <w:rsid w:val="00DB3BBA"/>
    <w:rsid w:val="00DB4040"/>
    <w:rsid w:val="00DB4716"/>
    <w:rsid w:val="00DB4BC1"/>
    <w:rsid w:val="00DB67E3"/>
    <w:rsid w:val="00DB784C"/>
    <w:rsid w:val="00DB7888"/>
    <w:rsid w:val="00DB7FFB"/>
    <w:rsid w:val="00DC09C3"/>
    <w:rsid w:val="00DC1DDD"/>
    <w:rsid w:val="00DC1E7E"/>
    <w:rsid w:val="00DC49EF"/>
    <w:rsid w:val="00DD0B01"/>
    <w:rsid w:val="00DD1506"/>
    <w:rsid w:val="00DD17C3"/>
    <w:rsid w:val="00DD1FCB"/>
    <w:rsid w:val="00DD371C"/>
    <w:rsid w:val="00DD3A65"/>
    <w:rsid w:val="00DD40CA"/>
    <w:rsid w:val="00DD4701"/>
    <w:rsid w:val="00DD52E3"/>
    <w:rsid w:val="00DE0E72"/>
    <w:rsid w:val="00DE1B12"/>
    <w:rsid w:val="00DE2E88"/>
    <w:rsid w:val="00DE33B1"/>
    <w:rsid w:val="00DE4DD3"/>
    <w:rsid w:val="00DE506D"/>
    <w:rsid w:val="00DE706F"/>
    <w:rsid w:val="00DF0439"/>
    <w:rsid w:val="00DF102F"/>
    <w:rsid w:val="00DF3E94"/>
    <w:rsid w:val="00DF5753"/>
    <w:rsid w:val="00DF5E82"/>
    <w:rsid w:val="00DF61F4"/>
    <w:rsid w:val="00DF66CC"/>
    <w:rsid w:val="00DF75ED"/>
    <w:rsid w:val="00E007EA"/>
    <w:rsid w:val="00E00C65"/>
    <w:rsid w:val="00E02C82"/>
    <w:rsid w:val="00E03871"/>
    <w:rsid w:val="00E04D9C"/>
    <w:rsid w:val="00E05298"/>
    <w:rsid w:val="00E060BB"/>
    <w:rsid w:val="00E063F9"/>
    <w:rsid w:val="00E105EF"/>
    <w:rsid w:val="00E10B68"/>
    <w:rsid w:val="00E119B4"/>
    <w:rsid w:val="00E12C29"/>
    <w:rsid w:val="00E13C71"/>
    <w:rsid w:val="00E140BD"/>
    <w:rsid w:val="00E153F4"/>
    <w:rsid w:val="00E15BF6"/>
    <w:rsid w:val="00E17570"/>
    <w:rsid w:val="00E215F3"/>
    <w:rsid w:val="00E21DED"/>
    <w:rsid w:val="00E2258A"/>
    <w:rsid w:val="00E23830"/>
    <w:rsid w:val="00E23C36"/>
    <w:rsid w:val="00E264D7"/>
    <w:rsid w:val="00E26EDA"/>
    <w:rsid w:val="00E26F00"/>
    <w:rsid w:val="00E271E6"/>
    <w:rsid w:val="00E3083B"/>
    <w:rsid w:val="00E32639"/>
    <w:rsid w:val="00E328B3"/>
    <w:rsid w:val="00E3347F"/>
    <w:rsid w:val="00E33F93"/>
    <w:rsid w:val="00E34E8C"/>
    <w:rsid w:val="00E35D80"/>
    <w:rsid w:val="00E3623F"/>
    <w:rsid w:val="00E36CA8"/>
    <w:rsid w:val="00E403F9"/>
    <w:rsid w:val="00E40F16"/>
    <w:rsid w:val="00E41145"/>
    <w:rsid w:val="00E42B20"/>
    <w:rsid w:val="00E4448D"/>
    <w:rsid w:val="00E4478E"/>
    <w:rsid w:val="00E44FB3"/>
    <w:rsid w:val="00E45BDA"/>
    <w:rsid w:val="00E5012F"/>
    <w:rsid w:val="00E50BE1"/>
    <w:rsid w:val="00E513C1"/>
    <w:rsid w:val="00E5148B"/>
    <w:rsid w:val="00E523EA"/>
    <w:rsid w:val="00E52E3F"/>
    <w:rsid w:val="00E53AD7"/>
    <w:rsid w:val="00E54611"/>
    <w:rsid w:val="00E57FB4"/>
    <w:rsid w:val="00E60408"/>
    <w:rsid w:val="00E61648"/>
    <w:rsid w:val="00E6181F"/>
    <w:rsid w:val="00E6265E"/>
    <w:rsid w:val="00E63203"/>
    <w:rsid w:val="00E636CB"/>
    <w:rsid w:val="00E665B8"/>
    <w:rsid w:val="00E665D0"/>
    <w:rsid w:val="00E70552"/>
    <w:rsid w:val="00E705EE"/>
    <w:rsid w:val="00E710BA"/>
    <w:rsid w:val="00E73B90"/>
    <w:rsid w:val="00E73FD4"/>
    <w:rsid w:val="00E74665"/>
    <w:rsid w:val="00E7734D"/>
    <w:rsid w:val="00E82DC8"/>
    <w:rsid w:val="00E86034"/>
    <w:rsid w:val="00E86770"/>
    <w:rsid w:val="00E86796"/>
    <w:rsid w:val="00E867DB"/>
    <w:rsid w:val="00E86E19"/>
    <w:rsid w:val="00E90E4C"/>
    <w:rsid w:val="00E90F09"/>
    <w:rsid w:val="00E918F7"/>
    <w:rsid w:val="00E9251E"/>
    <w:rsid w:val="00E926EA"/>
    <w:rsid w:val="00E92B28"/>
    <w:rsid w:val="00E93DBC"/>
    <w:rsid w:val="00E940AD"/>
    <w:rsid w:val="00E94EA2"/>
    <w:rsid w:val="00E95554"/>
    <w:rsid w:val="00E96162"/>
    <w:rsid w:val="00E9638A"/>
    <w:rsid w:val="00EA023D"/>
    <w:rsid w:val="00EA0BC9"/>
    <w:rsid w:val="00EA10C3"/>
    <w:rsid w:val="00EA3AFE"/>
    <w:rsid w:val="00EA581C"/>
    <w:rsid w:val="00EA5A3A"/>
    <w:rsid w:val="00EA6251"/>
    <w:rsid w:val="00EA6A01"/>
    <w:rsid w:val="00EA7864"/>
    <w:rsid w:val="00EA7B4D"/>
    <w:rsid w:val="00EB0154"/>
    <w:rsid w:val="00EB0438"/>
    <w:rsid w:val="00EB0899"/>
    <w:rsid w:val="00EB1346"/>
    <w:rsid w:val="00EB1388"/>
    <w:rsid w:val="00EB1868"/>
    <w:rsid w:val="00EB2886"/>
    <w:rsid w:val="00EB2E9F"/>
    <w:rsid w:val="00EB3EB1"/>
    <w:rsid w:val="00EB4543"/>
    <w:rsid w:val="00EB4869"/>
    <w:rsid w:val="00EB48BC"/>
    <w:rsid w:val="00EB62D1"/>
    <w:rsid w:val="00EB6A12"/>
    <w:rsid w:val="00EB7F2A"/>
    <w:rsid w:val="00EC2771"/>
    <w:rsid w:val="00EC32AA"/>
    <w:rsid w:val="00EC3409"/>
    <w:rsid w:val="00EC4CA9"/>
    <w:rsid w:val="00EC5ED4"/>
    <w:rsid w:val="00EC62ED"/>
    <w:rsid w:val="00EC69DF"/>
    <w:rsid w:val="00EC7766"/>
    <w:rsid w:val="00EC7EED"/>
    <w:rsid w:val="00ED1851"/>
    <w:rsid w:val="00ED25BF"/>
    <w:rsid w:val="00ED34E6"/>
    <w:rsid w:val="00ED382F"/>
    <w:rsid w:val="00ED3BB9"/>
    <w:rsid w:val="00ED3BBF"/>
    <w:rsid w:val="00ED46CD"/>
    <w:rsid w:val="00ED6587"/>
    <w:rsid w:val="00ED738C"/>
    <w:rsid w:val="00ED751C"/>
    <w:rsid w:val="00EE1528"/>
    <w:rsid w:val="00EE499C"/>
    <w:rsid w:val="00EE6154"/>
    <w:rsid w:val="00EE66F0"/>
    <w:rsid w:val="00EE6D63"/>
    <w:rsid w:val="00EE7012"/>
    <w:rsid w:val="00EE78D6"/>
    <w:rsid w:val="00EF0A71"/>
    <w:rsid w:val="00EF2EC9"/>
    <w:rsid w:val="00EF3085"/>
    <w:rsid w:val="00EF5E36"/>
    <w:rsid w:val="00EF67CA"/>
    <w:rsid w:val="00EF6CBB"/>
    <w:rsid w:val="00EF7B36"/>
    <w:rsid w:val="00F01608"/>
    <w:rsid w:val="00F04440"/>
    <w:rsid w:val="00F04740"/>
    <w:rsid w:val="00F06809"/>
    <w:rsid w:val="00F06BEF"/>
    <w:rsid w:val="00F07A83"/>
    <w:rsid w:val="00F12F26"/>
    <w:rsid w:val="00F12FCA"/>
    <w:rsid w:val="00F1373B"/>
    <w:rsid w:val="00F1374B"/>
    <w:rsid w:val="00F138F1"/>
    <w:rsid w:val="00F16FFC"/>
    <w:rsid w:val="00F2055B"/>
    <w:rsid w:val="00F2290B"/>
    <w:rsid w:val="00F22A10"/>
    <w:rsid w:val="00F2331A"/>
    <w:rsid w:val="00F24D91"/>
    <w:rsid w:val="00F25A78"/>
    <w:rsid w:val="00F25E70"/>
    <w:rsid w:val="00F26463"/>
    <w:rsid w:val="00F30D0E"/>
    <w:rsid w:val="00F3108E"/>
    <w:rsid w:val="00F31BD1"/>
    <w:rsid w:val="00F321BE"/>
    <w:rsid w:val="00F321E4"/>
    <w:rsid w:val="00F3301D"/>
    <w:rsid w:val="00F34562"/>
    <w:rsid w:val="00F34B5B"/>
    <w:rsid w:val="00F401A0"/>
    <w:rsid w:val="00F41C96"/>
    <w:rsid w:val="00F41D76"/>
    <w:rsid w:val="00F423EA"/>
    <w:rsid w:val="00F42941"/>
    <w:rsid w:val="00F4460E"/>
    <w:rsid w:val="00F44CE6"/>
    <w:rsid w:val="00F45B75"/>
    <w:rsid w:val="00F470FB"/>
    <w:rsid w:val="00F47950"/>
    <w:rsid w:val="00F51FD4"/>
    <w:rsid w:val="00F52951"/>
    <w:rsid w:val="00F52C57"/>
    <w:rsid w:val="00F54182"/>
    <w:rsid w:val="00F549BF"/>
    <w:rsid w:val="00F54AAD"/>
    <w:rsid w:val="00F551D9"/>
    <w:rsid w:val="00F56D7C"/>
    <w:rsid w:val="00F570C8"/>
    <w:rsid w:val="00F61950"/>
    <w:rsid w:val="00F62FEE"/>
    <w:rsid w:val="00F6340B"/>
    <w:rsid w:val="00F63D31"/>
    <w:rsid w:val="00F63FD7"/>
    <w:rsid w:val="00F6470F"/>
    <w:rsid w:val="00F65447"/>
    <w:rsid w:val="00F65992"/>
    <w:rsid w:val="00F667EC"/>
    <w:rsid w:val="00F66EF3"/>
    <w:rsid w:val="00F70430"/>
    <w:rsid w:val="00F70781"/>
    <w:rsid w:val="00F70B7C"/>
    <w:rsid w:val="00F710A4"/>
    <w:rsid w:val="00F7171D"/>
    <w:rsid w:val="00F7315F"/>
    <w:rsid w:val="00F736EF"/>
    <w:rsid w:val="00F740DC"/>
    <w:rsid w:val="00F74B68"/>
    <w:rsid w:val="00F76093"/>
    <w:rsid w:val="00F777ED"/>
    <w:rsid w:val="00F84110"/>
    <w:rsid w:val="00F8563E"/>
    <w:rsid w:val="00F86EF6"/>
    <w:rsid w:val="00F87D8A"/>
    <w:rsid w:val="00F90272"/>
    <w:rsid w:val="00F90CF2"/>
    <w:rsid w:val="00F94668"/>
    <w:rsid w:val="00F95245"/>
    <w:rsid w:val="00F9580E"/>
    <w:rsid w:val="00F96132"/>
    <w:rsid w:val="00F97225"/>
    <w:rsid w:val="00F97654"/>
    <w:rsid w:val="00FA07B1"/>
    <w:rsid w:val="00FA0B14"/>
    <w:rsid w:val="00FA1E45"/>
    <w:rsid w:val="00FA1F4A"/>
    <w:rsid w:val="00FA2F58"/>
    <w:rsid w:val="00FA312E"/>
    <w:rsid w:val="00FA3AAF"/>
    <w:rsid w:val="00FA4999"/>
    <w:rsid w:val="00FA4B07"/>
    <w:rsid w:val="00FA4B37"/>
    <w:rsid w:val="00FA4D9F"/>
    <w:rsid w:val="00FA6A84"/>
    <w:rsid w:val="00FB003E"/>
    <w:rsid w:val="00FB1BEE"/>
    <w:rsid w:val="00FB20E5"/>
    <w:rsid w:val="00FB28F2"/>
    <w:rsid w:val="00FB2BDB"/>
    <w:rsid w:val="00FB33B1"/>
    <w:rsid w:val="00FB42A7"/>
    <w:rsid w:val="00FB4C10"/>
    <w:rsid w:val="00FB4DC9"/>
    <w:rsid w:val="00FB59D7"/>
    <w:rsid w:val="00FC0DF7"/>
    <w:rsid w:val="00FC10EE"/>
    <w:rsid w:val="00FC1A3E"/>
    <w:rsid w:val="00FC1EDA"/>
    <w:rsid w:val="00FC61C9"/>
    <w:rsid w:val="00FD27E3"/>
    <w:rsid w:val="00FD2B0C"/>
    <w:rsid w:val="00FD334A"/>
    <w:rsid w:val="00FD4096"/>
    <w:rsid w:val="00FD43A0"/>
    <w:rsid w:val="00FD4DC3"/>
    <w:rsid w:val="00FD6ADE"/>
    <w:rsid w:val="00FD6D3D"/>
    <w:rsid w:val="00FD71F5"/>
    <w:rsid w:val="00FD7DE0"/>
    <w:rsid w:val="00FE0256"/>
    <w:rsid w:val="00FE0334"/>
    <w:rsid w:val="00FE084E"/>
    <w:rsid w:val="00FE29AB"/>
    <w:rsid w:val="00FE369F"/>
    <w:rsid w:val="00FE4182"/>
    <w:rsid w:val="00FE42C2"/>
    <w:rsid w:val="00FE55FC"/>
    <w:rsid w:val="00FE7761"/>
    <w:rsid w:val="00FE7B7F"/>
    <w:rsid w:val="00FF0B0B"/>
    <w:rsid w:val="00FF0D4B"/>
    <w:rsid w:val="00FF1ECA"/>
    <w:rsid w:val="00FF2951"/>
    <w:rsid w:val="00FF3C97"/>
    <w:rsid w:val="00FF45D0"/>
    <w:rsid w:val="00FF4EE7"/>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9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1C"/>
    <w:pPr>
      <w:spacing w:after="0" w:line="240" w:lineRule="auto"/>
    </w:pPr>
    <w:rPr>
      <w:rFonts w:ascii="Times New Roman" w:eastAsia="Times New Roman" w:hAnsi="Times New Roman" w:cs="Times New Roman"/>
      <w:sz w:val="24"/>
      <w:szCs w:val="20"/>
      <w:lang w:val="es-ES_tradnl"/>
    </w:rPr>
  </w:style>
  <w:style w:type="paragraph" w:styleId="Heading1">
    <w:name w:val="heading 1"/>
    <w:aliases w:val="Heading 1.I,Capítulos,title 1,Document Header1,ClauseGroup_Title,ICSA 1,t&amp;,PDAPM_1,Chapitre"/>
    <w:basedOn w:val="Normal"/>
    <w:next w:val="Normal"/>
    <w:link w:val="Heading1Char"/>
    <w:qFormat/>
    <w:rsid w:val="00DD17C3"/>
    <w:pPr>
      <w:keepNext/>
      <w:tabs>
        <w:tab w:val="num" w:pos="360"/>
      </w:tabs>
      <w:spacing w:before="240" w:after="60"/>
      <w:outlineLvl w:val="0"/>
    </w:pPr>
    <w:rPr>
      <w:rFonts w:ascii="Arial" w:hAnsi="Arial"/>
      <w:b/>
      <w:kern w:val="28"/>
      <w:sz w:val="28"/>
    </w:rPr>
  </w:style>
  <w:style w:type="paragraph" w:styleId="Heading2">
    <w:name w:val="heading 2"/>
    <w:aliases w:val="Sub-capítulos Car,Sub-capítulos Car Car,title 2,Title Header2,Clause_No&amp;Name,ICSA 2,Heading 2.A"/>
    <w:basedOn w:val="Normal"/>
    <w:next w:val="Normal"/>
    <w:link w:val="Heading2Char"/>
    <w:qFormat/>
    <w:rsid w:val="00DD17C3"/>
    <w:pPr>
      <w:keepNext/>
      <w:tabs>
        <w:tab w:val="num" w:pos="1080"/>
      </w:tabs>
      <w:spacing w:before="240" w:after="60"/>
      <w:ind w:left="720"/>
      <w:outlineLvl w:val="1"/>
    </w:pPr>
    <w:rPr>
      <w:rFonts w:ascii="Arial" w:hAnsi="Arial"/>
      <w:b/>
      <w:i/>
    </w:rPr>
  </w:style>
  <w:style w:type="paragraph" w:styleId="Heading3">
    <w:name w:val="heading 3"/>
    <w:aliases w:val="Seccion,Section Header3,ClauseSub_No&amp;Name,ICSA 3,Heading 3.1"/>
    <w:basedOn w:val="Normal"/>
    <w:next w:val="Normal"/>
    <w:link w:val="Heading3Char"/>
    <w:qFormat/>
    <w:rsid w:val="003474DA"/>
    <w:pPr>
      <w:keepNext/>
      <w:spacing w:before="240" w:after="60"/>
      <w:outlineLvl w:val="2"/>
    </w:pPr>
    <w:rPr>
      <w:rFonts w:ascii="Arial" w:hAnsi="Arial"/>
    </w:rPr>
  </w:style>
  <w:style w:type="paragraph" w:styleId="Heading4">
    <w:name w:val="heading 4"/>
    <w:aliases w:val="Heading 4.a,Sub-seccion, Sub-Clause Sub-paragraph,ClauseSubSub_No&amp;Name,Sub-Clause Sub-paragraph,ICSA 4"/>
    <w:basedOn w:val="Normal"/>
    <w:next w:val="Normal"/>
    <w:link w:val="Heading4Char"/>
    <w:qFormat/>
    <w:rsid w:val="003474DA"/>
    <w:pPr>
      <w:keepNext/>
      <w:spacing w:before="240" w:after="60"/>
      <w:outlineLvl w:val="3"/>
    </w:pPr>
    <w:rPr>
      <w:rFonts w:ascii="Arial" w:hAnsi="Arial"/>
      <w:b/>
    </w:rPr>
  </w:style>
  <w:style w:type="paragraph" w:styleId="Heading5">
    <w:name w:val="heading 5"/>
    <w:aliases w:val="Heading 5.(i)"/>
    <w:basedOn w:val="Normal"/>
    <w:next w:val="Normal"/>
    <w:link w:val="Heading5Char"/>
    <w:unhideWhenUsed/>
    <w:qFormat/>
    <w:rsid w:val="00EB015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B015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B015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B0154"/>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B015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ED751C"/>
    <w:rPr>
      <w:caps/>
    </w:rPr>
  </w:style>
  <w:style w:type="paragraph" w:customStyle="1" w:styleId="ABBR">
    <w:name w:val="ABBR"/>
    <w:basedOn w:val="Annex"/>
    <w:rsid w:val="00ED751C"/>
  </w:style>
  <w:style w:type="paragraph" w:customStyle="1" w:styleId="AbbrDesc">
    <w:name w:val="AbbrDesc"/>
    <w:basedOn w:val="Normal"/>
    <w:rsid w:val="00ED751C"/>
    <w:pPr>
      <w:tabs>
        <w:tab w:val="left" w:pos="3060"/>
      </w:tabs>
      <w:jc w:val="both"/>
    </w:pPr>
  </w:style>
  <w:style w:type="paragraph" w:styleId="BodyText">
    <w:name w:val="Body Text"/>
    <w:basedOn w:val="Normal"/>
    <w:link w:val="BodyTextChar"/>
    <w:rsid w:val="00ED751C"/>
    <w:pPr>
      <w:tabs>
        <w:tab w:val="left" w:pos="3060"/>
      </w:tabs>
      <w:jc w:val="center"/>
    </w:pPr>
  </w:style>
  <w:style w:type="character" w:customStyle="1" w:styleId="BodyTextChar">
    <w:name w:val="Body Text Char"/>
    <w:basedOn w:val="DefaultParagraphFont"/>
    <w:link w:val="BodyText"/>
    <w:rsid w:val="00ED751C"/>
    <w:rPr>
      <w:rFonts w:ascii="Times New Roman" w:eastAsia="Times New Roman" w:hAnsi="Times New Roman" w:cs="Times New Roman"/>
      <w:sz w:val="24"/>
      <w:szCs w:val="20"/>
    </w:rPr>
  </w:style>
  <w:style w:type="paragraph" w:customStyle="1" w:styleId="Chapter">
    <w:name w:val="Chapter"/>
    <w:basedOn w:val="Normal"/>
    <w:next w:val="Normal"/>
    <w:rsid w:val="00EB0154"/>
    <w:pPr>
      <w:keepNext/>
      <w:numPr>
        <w:numId w:val="2"/>
      </w:numPr>
      <w:tabs>
        <w:tab w:val="clear" w:pos="1800"/>
        <w:tab w:val="num" w:pos="648"/>
        <w:tab w:val="left" w:pos="1440"/>
      </w:tabs>
      <w:spacing w:before="240" w:after="240"/>
      <w:ind w:left="0"/>
      <w:jc w:val="center"/>
    </w:pPr>
    <w:rPr>
      <w:b/>
      <w:smallCaps/>
      <w:lang w:val="es-ES"/>
    </w:rPr>
  </w:style>
  <w:style w:type="paragraph" w:customStyle="1" w:styleId="FirstHeading">
    <w:name w:val="FirstHeading"/>
    <w:basedOn w:val="Normal"/>
    <w:next w:val="Normal"/>
    <w:rsid w:val="00EB0154"/>
    <w:pPr>
      <w:keepNext/>
      <w:numPr>
        <w:numId w:val="1"/>
      </w:numPr>
      <w:tabs>
        <w:tab w:val="left" w:pos="0"/>
        <w:tab w:val="left" w:pos="86"/>
      </w:tabs>
      <w:spacing w:before="120" w:after="120"/>
    </w:pPr>
    <w:rPr>
      <w:b/>
      <w:lang w:val="es-ES"/>
    </w:rPr>
  </w:style>
  <w:style w:type="paragraph" w:styleId="Footer">
    <w:name w:val="footer"/>
    <w:basedOn w:val="Normal"/>
    <w:link w:val="FooterChar"/>
    <w:rsid w:val="00ED751C"/>
    <w:pPr>
      <w:tabs>
        <w:tab w:val="center" w:pos="4320"/>
        <w:tab w:val="right" w:pos="8640"/>
      </w:tabs>
    </w:pPr>
  </w:style>
  <w:style w:type="character" w:customStyle="1" w:styleId="FooterChar">
    <w:name w:val="Footer Char"/>
    <w:basedOn w:val="DefaultParagraphFont"/>
    <w:link w:val="Footer"/>
    <w:rsid w:val="00ED751C"/>
    <w:rPr>
      <w:rFonts w:ascii="Times New Roman" w:eastAsia="Times New Roman" w:hAnsi="Times New Roman" w:cs="Times New Roman"/>
      <w:sz w:val="24"/>
      <w:szCs w:val="20"/>
    </w:rPr>
  </w:style>
  <w:style w:type="paragraph" w:styleId="FootnoteText">
    <w:name w:val="footnote text"/>
    <w:aliases w:val="fn,ft,footnote,Texto de rodapé,nota_rodapé,nota de rodapé,single space,FOOTNOTES,Footnote Text Char Char,Texto,nota,pie,Ref.,al,footnote text,foottextfra,F,Texto nota pie Car Car,texto de nota al pie,Texto nota pie Car Car Car,FA Fu,ADB,f"/>
    <w:basedOn w:val="Normal"/>
    <w:link w:val="FootnoteTextChar"/>
    <w:qFormat/>
    <w:rsid w:val="00ED751C"/>
    <w:pPr>
      <w:keepNext/>
      <w:keepLines/>
      <w:spacing w:after="120"/>
      <w:ind w:left="288" w:hanging="288"/>
      <w:jc w:val="both"/>
    </w:pPr>
    <w:rPr>
      <w:spacing w:val="-3"/>
      <w:sz w:val="20"/>
    </w:rPr>
  </w:style>
  <w:style w:type="character" w:customStyle="1" w:styleId="FootnoteTextChar">
    <w:name w:val="Footnote Text Char"/>
    <w:aliases w:val="fn Char,ft Char,footnote Char,Texto de rodapé Char,nota_rodapé Char,nota de rodapé Char,single space Char,FOOTNOTES Char,Footnote Text Char Char Char,Texto Char,nota Char,pie Char,Ref. Char,al Char,footnote text Char,foottextfra Char"/>
    <w:basedOn w:val="DefaultParagraphFont"/>
    <w:link w:val="FootnoteText"/>
    <w:rsid w:val="00ED751C"/>
    <w:rPr>
      <w:rFonts w:ascii="Times New Roman" w:eastAsia="Times New Roman" w:hAnsi="Times New Roman" w:cs="Times New Roman"/>
      <w:spacing w:val="-3"/>
      <w:sz w:val="20"/>
      <w:szCs w:val="20"/>
      <w:lang w:val="es-ES_tradnl"/>
    </w:rPr>
  </w:style>
  <w:style w:type="paragraph" w:styleId="Header">
    <w:name w:val="header"/>
    <w:basedOn w:val="Normal"/>
    <w:link w:val="HeaderChar"/>
    <w:rsid w:val="00ED751C"/>
    <w:pPr>
      <w:tabs>
        <w:tab w:val="center" w:pos="4320"/>
        <w:tab w:val="right" w:pos="8640"/>
      </w:tabs>
    </w:pPr>
  </w:style>
  <w:style w:type="character" w:customStyle="1" w:styleId="HeaderChar">
    <w:name w:val="Header Char"/>
    <w:basedOn w:val="DefaultParagraphFont"/>
    <w:link w:val="Header"/>
    <w:rsid w:val="00ED751C"/>
    <w:rPr>
      <w:rFonts w:ascii="Times New Roman" w:eastAsia="Times New Roman" w:hAnsi="Times New Roman" w:cs="Times New Roman"/>
      <w:sz w:val="24"/>
      <w:szCs w:val="20"/>
    </w:rPr>
  </w:style>
  <w:style w:type="paragraph" w:customStyle="1" w:styleId="Newpage">
    <w:name w:val="Newpage"/>
    <w:basedOn w:val="Chapter"/>
    <w:rsid w:val="00ED751C"/>
    <w:pPr>
      <w:numPr>
        <w:numId w:val="0"/>
      </w:numPr>
      <w:tabs>
        <w:tab w:val="clear" w:pos="1440"/>
        <w:tab w:val="left" w:pos="3060"/>
      </w:tabs>
      <w:spacing w:after="0"/>
    </w:pPr>
  </w:style>
  <w:style w:type="character" w:styleId="PageNumber">
    <w:name w:val="page number"/>
    <w:basedOn w:val="DefaultParagraphFont"/>
    <w:rsid w:val="00ED751C"/>
  </w:style>
  <w:style w:type="paragraph" w:customStyle="1" w:styleId="Paragraph">
    <w:name w:val="Paragraph"/>
    <w:aliases w:val="paragraph,p,PARAGRAPH,PG,pa,at"/>
    <w:basedOn w:val="BodyTextIndent"/>
    <w:link w:val="ParagraphChar"/>
    <w:qFormat/>
    <w:rsid w:val="00EB0154"/>
    <w:pPr>
      <w:numPr>
        <w:ilvl w:val="1"/>
        <w:numId w:val="2"/>
      </w:numPr>
      <w:spacing w:before="120"/>
      <w:jc w:val="both"/>
      <w:outlineLvl w:val="1"/>
    </w:pPr>
    <w:rPr>
      <w:lang w:val="es-ES"/>
    </w:rPr>
  </w:style>
  <w:style w:type="paragraph" w:customStyle="1" w:styleId="RegheadTab">
    <w:name w:val="RegheadTab"/>
    <w:basedOn w:val="FirstHeading"/>
    <w:rsid w:val="00ED751C"/>
    <w:pPr>
      <w:numPr>
        <w:numId w:val="0"/>
      </w:numPr>
      <w:tabs>
        <w:tab w:val="num" w:pos="504"/>
      </w:tabs>
      <w:spacing w:after="0"/>
      <w:ind w:left="504" w:hanging="504"/>
      <w:jc w:val="center"/>
    </w:pPr>
  </w:style>
  <w:style w:type="paragraph" w:customStyle="1" w:styleId="SecHeading">
    <w:name w:val="SecHeading"/>
    <w:basedOn w:val="Normal"/>
    <w:next w:val="Paragraph"/>
    <w:rsid w:val="00EB0154"/>
    <w:pPr>
      <w:keepNext/>
      <w:numPr>
        <w:ilvl w:val="1"/>
        <w:numId w:val="1"/>
      </w:numPr>
      <w:tabs>
        <w:tab w:val="clear" w:pos="5400"/>
        <w:tab w:val="num" w:pos="1296"/>
      </w:tabs>
      <w:spacing w:before="120" w:after="120"/>
      <w:ind w:left="1296"/>
    </w:pPr>
    <w:rPr>
      <w:b/>
    </w:rPr>
  </w:style>
  <w:style w:type="paragraph" w:customStyle="1" w:styleId="SubHeading1">
    <w:name w:val="SubHeading1"/>
    <w:basedOn w:val="SecHeading"/>
    <w:rsid w:val="00EB0154"/>
    <w:pPr>
      <w:numPr>
        <w:ilvl w:val="2"/>
      </w:numPr>
      <w:tabs>
        <w:tab w:val="clear" w:pos="5976"/>
        <w:tab w:val="num" w:pos="1872"/>
      </w:tabs>
      <w:ind w:left="1872"/>
    </w:pPr>
  </w:style>
  <w:style w:type="paragraph" w:customStyle="1" w:styleId="Subheading2">
    <w:name w:val="Subheading2"/>
    <w:basedOn w:val="SecHeading"/>
    <w:link w:val="Subheading2Char"/>
    <w:rsid w:val="00EB0154"/>
    <w:pPr>
      <w:numPr>
        <w:ilvl w:val="3"/>
      </w:numPr>
      <w:tabs>
        <w:tab w:val="clear" w:pos="6480"/>
        <w:tab w:val="num" w:pos="2376"/>
      </w:tabs>
      <w:ind w:left="2376"/>
    </w:pPr>
  </w:style>
  <w:style w:type="paragraph" w:customStyle="1" w:styleId="subpar">
    <w:name w:val="subpar"/>
    <w:basedOn w:val="BodyTextIndent3"/>
    <w:rsid w:val="00EB0154"/>
    <w:pPr>
      <w:numPr>
        <w:ilvl w:val="2"/>
        <w:numId w:val="2"/>
      </w:numPr>
      <w:spacing w:before="120"/>
      <w:jc w:val="both"/>
      <w:outlineLvl w:val="2"/>
    </w:pPr>
    <w:rPr>
      <w:szCs w:val="20"/>
    </w:rPr>
  </w:style>
  <w:style w:type="paragraph" w:customStyle="1" w:styleId="SubSubPar">
    <w:name w:val="SubSubPar"/>
    <w:basedOn w:val="subpar"/>
    <w:uiPriority w:val="99"/>
    <w:rsid w:val="00EB0154"/>
    <w:pPr>
      <w:numPr>
        <w:ilvl w:val="3"/>
        <w:numId w:val="0"/>
      </w:numPr>
      <w:tabs>
        <w:tab w:val="left" w:pos="0"/>
        <w:tab w:val="num" w:pos="1296"/>
      </w:tabs>
      <w:ind w:left="1296"/>
    </w:pPr>
  </w:style>
  <w:style w:type="paragraph" w:styleId="TOC1">
    <w:name w:val="toc 1"/>
    <w:basedOn w:val="Normal"/>
    <w:next w:val="Normal"/>
    <w:autoRedefine/>
    <w:uiPriority w:val="39"/>
    <w:rsid w:val="00D10AB6"/>
    <w:pPr>
      <w:tabs>
        <w:tab w:val="left" w:pos="540"/>
        <w:tab w:val="right" w:leader="dot" w:pos="8741"/>
      </w:tabs>
      <w:spacing w:before="240" w:after="240"/>
      <w:ind w:left="547" w:hanging="547"/>
    </w:pPr>
    <w:rPr>
      <w:rFonts w:ascii="Arial" w:hAnsi="Arial" w:cs="Arial"/>
      <w:b/>
      <w:smallCaps/>
      <w:noProof/>
      <w:szCs w:val="24"/>
    </w:rPr>
  </w:style>
  <w:style w:type="paragraph" w:styleId="TOC2">
    <w:name w:val="toc 2"/>
    <w:basedOn w:val="Normal"/>
    <w:next w:val="Normal"/>
    <w:autoRedefine/>
    <w:uiPriority w:val="39"/>
    <w:rsid w:val="00ED751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ED751C"/>
    <w:pPr>
      <w:tabs>
        <w:tab w:val="left" w:pos="1728"/>
      </w:tabs>
      <w:ind w:left="1714" w:hanging="562"/>
    </w:pPr>
    <w:rPr>
      <w:lang w:val="es-ES"/>
    </w:rPr>
  </w:style>
  <w:style w:type="character" w:styleId="Hyperlink">
    <w:name w:val="Hyperlink"/>
    <w:basedOn w:val="DefaultParagraphFont"/>
    <w:uiPriority w:val="99"/>
    <w:rsid w:val="00ED751C"/>
    <w:rPr>
      <w:color w:val="0000FF"/>
      <w:u w:val="single"/>
    </w:rPr>
  </w:style>
  <w:style w:type="character" w:styleId="FootnoteReference">
    <w:name w:val="footnote reference"/>
    <w:aliases w:val="FC,referencia nota al pie,Stinking Styles11,Texto de nota al pie,Footnote symbol,Footnote,titulo 2,ftref,Style 24,pie pddes,Fußnotenzeichen DISS,Footnote Reference1,Ref,de nota al pie,16 Point,Superscript 6 Point,Знак сноски 1,SUPERS,fr"/>
    <w:basedOn w:val="DefaultParagraphFont"/>
    <w:link w:val="Char2"/>
    <w:uiPriority w:val="99"/>
    <w:qFormat/>
    <w:rsid w:val="00ED751C"/>
    <w:rPr>
      <w:vertAlign w:val="superscript"/>
    </w:rPr>
  </w:style>
  <w:style w:type="paragraph" w:styleId="BodyTextIndent">
    <w:name w:val="Body Text Indent"/>
    <w:basedOn w:val="Normal"/>
    <w:link w:val="BodyTextIndentChar"/>
    <w:uiPriority w:val="99"/>
    <w:semiHidden/>
    <w:unhideWhenUsed/>
    <w:rsid w:val="00ED751C"/>
    <w:pPr>
      <w:spacing w:after="120"/>
      <w:ind w:left="360"/>
    </w:pPr>
  </w:style>
  <w:style w:type="character" w:customStyle="1" w:styleId="BodyTextIndentChar">
    <w:name w:val="Body Text Indent Char"/>
    <w:basedOn w:val="DefaultParagraphFont"/>
    <w:link w:val="BodyTextIndent"/>
    <w:uiPriority w:val="99"/>
    <w:semiHidden/>
    <w:rsid w:val="00ED751C"/>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ED751C"/>
    <w:pPr>
      <w:spacing w:after="120"/>
      <w:ind w:left="360"/>
    </w:pPr>
    <w:rPr>
      <w:szCs w:val="16"/>
    </w:rPr>
  </w:style>
  <w:style w:type="character" w:customStyle="1" w:styleId="BodyTextIndent3Char">
    <w:name w:val="Body Text Indent 3 Char"/>
    <w:basedOn w:val="DefaultParagraphFont"/>
    <w:link w:val="BodyTextIndent3"/>
    <w:uiPriority w:val="99"/>
    <w:semiHidden/>
    <w:rsid w:val="00ED751C"/>
    <w:rPr>
      <w:rFonts w:ascii="Times New Roman" w:eastAsia="Times New Roman" w:hAnsi="Times New Roman" w:cs="Times New Roman"/>
      <w:sz w:val="24"/>
      <w:szCs w:val="16"/>
      <w:lang w:val="es-ES_tradnl"/>
    </w:rPr>
  </w:style>
  <w:style w:type="paragraph" w:customStyle="1" w:styleId="Regtable">
    <w:name w:val="Regtable"/>
    <w:basedOn w:val="Normal"/>
    <w:link w:val="RegtableChar"/>
    <w:rsid w:val="00EB0154"/>
    <w:pPr>
      <w:keepLines/>
      <w:framePr w:wrap="around" w:vAnchor="text" w:hAnchor="text" w:y="1"/>
      <w:spacing w:before="20" w:after="20"/>
    </w:pPr>
    <w:rPr>
      <w:sz w:val="20"/>
    </w:rPr>
  </w:style>
  <w:style w:type="character" w:customStyle="1" w:styleId="RegtableChar">
    <w:name w:val="Regtable Char"/>
    <w:basedOn w:val="DefaultParagraphFont"/>
    <w:link w:val="Regtable"/>
    <w:rsid w:val="00EB0154"/>
    <w:rPr>
      <w:rFonts w:ascii="Times New Roman" w:eastAsia="Times New Roman" w:hAnsi="Times New Roman" w:cs="Times New Roman"/>
      <w:sz w:val="20"/>
      <w:szCs w:val="20"/>
      <w:lang w:val="es-ES_tradnl"/>
    </w:rPr>
  </w:style>
  <w:style w:type="paragraph" w:customStyle="1" w:styleId="TableTitle">
    <w:name w:val="TableTitle"/>
    <w:basedOn w:val="Normal"/>
    <w:link w:val="TableTitleChar"/>
    <w:rsid w:val="00EB0154"/>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EB0154"/>
    <w:rPr>
      <w:rFonts w:ascii="Times New Roman Bold" w:eastAsia="Times New Roman" w:hAnsi="Times New Roman Bold" w:cs="Times New Roman"/>
      <w:b/>
      <w:spacing w:val="-3"/>
      <w:sz w:val="20"/>
      <w:szCs w:val="20"/>
      <w:lang w:val="es-ES_tradnl"/>
    </w:rPr>
  </w:style>
  <w:style w:type="character" w:customStyle="1" w:styleId="Heading5Char">
    <w:name w:val="Heading 5 Char"/>
    <w:aliases w:val="Heading 5.(i) Char"/>
    <w:basedOn w:val="DefaultParagraphFont"/>
    <w:link w:val="Heading5"/>
    <w:rsid w:val="00EB0154"/>
    <w:rPr>
      <w:rFonts w:asciiTheme="majorHAnsi" w:eastAsiaTheme="majorEastAsia" w:hAnsiTheme="majorHAnsi" w:cstheme="majorBidi"/>
      <w:color w:val="243F60" w:themeColor="accent1" w:themeShade="7F"/>
      <w:sz w:val="24"/>
      <w:szCs w:val="20"/>
      <w:lang w:val="es-ES_tradnl"/>
    </w:rPr>
  </w:style>
  <w:style w:type="character" w:customStyle="1" w:styleId="Heading6Char">
    <w:name w:val="Heading 6 Char"/>
    <w:basedOn w:val="DefaultParagraphFont"/>
    <w:link w:val="Heading6"/>
    <w:uiPriority w:val="9"/>
    <w:rsid w:val="00EB0154"/>
    <w:rPr>
      <w:rFonts w:asciiTheme="majorHAnsi" w:eastAsiaTheme="majorEastAsia" w:hAnsiTheme="majorHAnsi" w:cstheme="majorBidi"/>
      <w:i/>
      <w:iCs/>
      <w:color w:val="243F60" w:themeColor="accent1" w:themeShade="7F"/>
      <w:sz w:val="24"/>
      <w:szCs w:val="20"/>
      <w:lang w:val="es-ES_tradnl"/>
    </w:rPr>
  </w:style>
  <w:style w:type="character" w:customStyle="1" w:styleId="Heading7Char">
    <w:name w:val="Heading 7 Char"/>
    <w:basedOn w:val="DefaultParagraphFont"/>
    <w:link w:val="Heading7"/>
    <w:uiPriority w:val="9"/>
    <w:rsid w:val="00EB0154"/>
    <w:rPr>
      <w:rFonts w:asciiTheme="majorHAnsi" w:eastAsiaTheme="majorEastAsia" w:hAnsiTheme="majorHAnsi" w:cstheme="majorBidi"/>
      <w:i/>
      <w:iCs/>
      <w:color w:val="404040" w:themeColor="text1" w:themeTint="BF"/>
      <w:sz w:val="24"/>
      <w:szCs w:val="20"/>
      <w:lang w:val="es-ES_tradnl"/>
    </w:rPr>
  </w:style>
  <w:style w:type="character" w:customStyle="1" w:styleId="Heading8Char">
    <w:name w:val="Heading 8 Char"/>
    <w:basedOn w:val="DefaultParagraphFont"/>
    <w:link w:val="Heading8"/>
    <w:uiPriority w:val="9"/>
    <w:rsid w:val="00EB0154"/>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rsid w:val="00EB0154"/>
    <w:rPr>
      <w:rFonts w:asciiTheme="majorHAnsi" w:eastAsiaTheme="majorEastAsia" w:hAnsiTheme="majorHAnsi" w:cstheme="majorBidi"/>
      <w:i/>
      <w:iCs/>
      <w:color w:val="404040" w:themeColor="text1" w:themeTint="BF"/>
      <w:sz w:val="20"/>
      <w:szCs w:val="20"/>
      <w:lang w:val="es-ES_tradnl"/>
    </w:rPr>
  </w:style>
  <w:style w:type="character" w:customStyle="1" w:styleId="Heading1Char">
    <w:name w:val="Heading 1 Char"/>
    <w:aliases w:val="Heading 1.I Char,Capítulos Char,title 1 Char,Document Header1 Char,ClauseGroup_Title Char,ICSA 1 Char,t&amp; Char,PDAPM_1 Char,Chapitre Char"/>
    <w:basedOn w:val="DefaultParagraphFont"/>
    <w:link w:val="Heading1"/>
    <w:rsid w:val="00DD17C3"/>
    <w:rPr>
      <w:rFonts w:ascii="Arial" w:eastAsia="Times New Roman" w:hAnsi="Arial" w:cs="Times New Roman"/>
      <w:b/>
      <w:kern w:val="28"/>
      <w:sz w:val="28"/>
      <w:szCs w:val="20"/>
    </w:rPr>
  </w:style>
  <w:style w:type="character" w:customStyle="1" w:styleId="Heading2Char">
    <w:name w:val="Heading 2 Char"/>
    <w:aliases w:val="Sub-capítulos Car Char,Sub-capítulos Car Car Char,title 2 Char,Title Header2 Char,Clause_No&amp;Name Char,ICSA 2 Char,Heading 2.A Char"/>
    <w:basedOn w:val="DefaultParagraphFont"/>
    <w:link w:val="Heading2"/>
    <w:rsid w:val="00DD17C3"/>
    <w:rPr>
      <w:rFonts w:ascii="Arial" w:eastAsia="Times New Roman" w:hAnsi="Arial" w:cs="Times New Roman"/>
      <w:b/>
      <w:i/>
      <w:sz w:val="24"/>
      <w:szCs w:val="20"/>
    </w:rPr>
  </w:style>
  <w:style w:type="character" w:customStyle="1" w:styleId="Heading3Char">
    <w:name w:val="Heading 3 Char"/>
    <w:aliases w:val="Seccion Char,Section Header3 Char,ClauseSub_No&amp;Name Char,ICSA 3 Char,Heading 3.1 Char"/>
    <w:basedOn w:val="DefaultParagraphFont"/>
    <w:link w:val="Heading3"/>
    <w:rsid w:val="003474DA"/>
    <w:rPr>
      <w:rFonts w:ascii="Arial" w:eastAsia="Times New Roman" w:hAnsi="Arial" w:cs="Times New Roman"/>
      <w:sz w:val="24"/>
      <w:szCs w:val="20"/>
      <w:lang w:val="es-ES_tradnl"/>
    </w:rPr>
  </w:style>
  <w:style w:type="character" w:customStyle="1" w:styleId="Heading4Char">
    <w:name w:val="Heading 4 Char"/>
    <w:aliases w:val="Heading 4.a Char,Sub-seccion Char, Sub-Clause Sub-paragraph Char,ClauseSubSub_No&amp;Name Char,Sub-Clause Sub-paragraph Char,ICSA 4 Char"/>
    <w:basedOn w:val="DefaultParagraphFont"/>
    <w:link w:val="Heading4"/>
    <w:rsid w:val="003474DA"/>
    <w:rPr>
      <w:rFonts w:ascii="Arial" w:eastAsia="Times New Roman" w:hAnsi="Arial" w:cs="Times New Roman"/>
      <w:b/>
      <w:sz w:val="24"/>
      <w:szCs w:val="20"/>
      <w:lang w:val="es-ES_tradnl"/>
    </w:rPr>
  </w:style>
  <w:style w:type="paragraph" w:styleId="ListParagraph">
    <w:name w:val="List Paragraph"/>
    <w:aliases w:val="Título 2.,Fluvial1,Bullet list first level,tablas,Cuadros,figuras y gráficos,VIÑETAS,titulo 5"/>
    <w:basedOn w:val="Normal"/>
    <w:link w:val="ListParagraphChar"/>
    <w:uiPriority w:val="34"/>
    <w:qFormat/>
    <w:rsid w:val="00F138F1"/>
    <w:pPr>
      <w:ind w:left="720"/>
      <w:contextualSpacing/>
    </w:pPr>
  </w:style>
  <w:style w:type="paragraph" w:customStyle="1" w:styleId="xl29">
    <w:name w:val="xl29"/>
    <w:basedOn w:val="Normal"/>
    <w:rsid w:val="00E50BE1"/>
    <w:pPr>
      <w:pBdr>
        <w:left w:val="single" w:sz="4" w:space="0" w:color="auto"/>
        <w:bottom w:val="single" w:sz="4" w:space="0" w:color="auto"/>
      </w:pBdr>
      <w:spacing w:before="100" w:beforeAutospacing="1" w:after="100" w:afterAutospacing="1"/>
      <w:jc w:val="center"/>
    </w:pPr>
    <w:rPr>
      <w:rFonts w:ascii="Arial" w:eastAsia="Arial Unicode MS" w:hAnsi="Arial" w:cs="Arial"/>
      <w:b/>
      <w:bCs/>
      <w:szCs w:val="24"/>
      <w:lang w:val="en-US"/>
    </w:rPr>
  </w:style>
  <w:style w:type="table" w:styleId="TableGrid">
    <w:name w:val="Table Grid"/>
    <w:basedOn w:val="TableNormal"/>
    <w:uiPriority w:val="59"/>
    <w:rsid w:val="0051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E3"/>
    <w:rPr>
      <w:rFonts w:ascii="Tahoma" w:hAnsi="Tahoma" w:cs="Tahoma"/>
      <w:sz w:val="16"/>
      <w:szCs w:val="16"/>
    </w:rPr>
  </w:style>
  <w:style w:type="character" w:customStyle="1" w:styleId="BalloonTextChar">
    <w:name w:val="Balloon Text Char"/>
    <w:basedOn w:val="DefaultParagraphFont"/>
    <w:link w:val="BalloonText"/>
    <w:uiPriority w:val="99"/>
    <w:semiHidden/>
    <w:rsid w:val="003414E3"/>
    <w:rPr>
      <w:rFonts w:ascii="Tahoma" w:eastAsia="Times New Roman" w:hAnsi="Tahoma" w:cs="Tahoma"/>
      <w:sz w:val="16"/>
      <w:szCs w:val="16"/>
      <w:lang w:val="es-ES_tradnl"/>
    </w:rPr>
  </w:style>
  <w:style w:type="character" w:customStyle="1" w:styleId="FootnoteTextChar1">
    <w:name w:val="Footnote Text Char1"/>
    <w:aliases w:val="fn Char1,ft Char1,footnote Char1,Texto de rodapé Char1,nota_rodapé Char1,nota de rodapé Char1,single space Char1,FOOTNOTES Char1,Footnote Text Char Char Char1,Texto Char1,nota Char1,pie Char1,Ref. Char1,al Char1,footnote text Char1"/>
    <w:basedOn w:val="DefaultParagraphFont"/>
    <w:uiPriority w:val="99"/>
    <w:locked/>
    <w:rsid w:val="00960179"/>
    <w:rPr>
      <w:rFonts w:ascii="Times New Roman" w:eastAsia="Times New Roman" w:hAnsi="Times New Roman"/>
      <w:spacing w:val="-3"/>
    </w:rPr>
  </w:style>
  <w:style w:type="character" w:customStyle="1" w:styleId="ParagraphChar">
    <w:name w:val="Paragraph Char"/>
    <w:aliases w:val="p Char,PARAGRAPH Char,PG Char,pa Char,at Char,paragraph Char"/>
    <w:basedOn w:val="BodyTextIndentChar"/>
    <w:link w:val="Paragraph"/>
    <w:rsid w:val="00960179"/>
    <w:rPr>
      <w:rFonts w:ascii="Times New Roman" w:eastAsia="Times New Roman" w:hAnsi="Times New Roman" w:cs="Times New Roman"/>
      <w:sz w:val="24"/>
      <w:szCs w:val="20"/>
      <w:lang w:val="es-ES"/>
    </w:rPr>
  </w:style>
  <w:style w:type="character" w:customStyle="1" w:styleId="BalloonTextChar1">
    <w:name w:val="Balloon Text Char1"/>
    <w:basedOn w:val="DefaultParagraphFont"/>
    <w:uiPriority w:val="99"/>
    <w:semiHidden/>
    <w:rsid w:val="00960179"/>
    <w:rPr>
      <w:rFonts w:ascii="Tahoma" w:eastAsia="Times New Roman" w:hAnsi="Tahoma" w:cs="Tahoma"/>
      <w:sz w:val="16"/>
      <w:szCs w:val="16"/>
    </w:rPr>
  </w:style>
  <w:style w:type="character" w:styleId="CommentReference">
    <w:name w:val="annotation reference"/>
    <w:basedOn w:val="DefaultParagraphFont"/>
    <w:uiPriority w:val="99"/>
    <w:semiHidden/>
    <w:rsid w:val="001E4782"/>
    <w:rPr>
      <w:rFonts w:cs="Times New Roman"/>
      <w:sz w:val="16"/>
      <w:szCs w:val="16"/>
    </w:rPr>
  </w:style>
  <w:style w:type="character" w:customStyle="1" w:styleId="apple-converted-space">
    <w:name w:val="apple-converted-space"/>
    <w:basedOn w:val="DefaultParagraphFont"/>
    <w:rsid w:val="004D4EC5"/>
  </w:style>
  <w:style w:type="paragraph" w:customStyle="1" w:styleId="Default">
    <w:name w:val="Default"/>
    <w:rsid w:val="009A54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2">
    <w:name w:val="cuerpo2"/>
    <w:basedOn w:val="Normal"/>
    <w:rsid w:val="00B91384"/>
    <w:pPr>
      <w:spacing w:before="100" w:beforeAutospacing="1" w:after="100" w:afterAutospacing="1"/>
    </w:pPr>
    <w:rPr>
      <w:szCs w:val="24"/>
      <w:lang w:val="en-US"/>
    </w:rPr>
  </w:style>
  <w:style w:type="paragraph" w:styleId="CommentText">
    <w:name w:val="annotation text"/>
    <w:basedOn w:val="Normal"/>
    <w:link w:val="CommentTextChar"/>
    <w:uiPriority w:val="99"/>
    <w:unhideWhenUsed/>
    <w:rsid w:val="009E4DD5"/>
    <w:rPr>
      <w:sz w:val="20"/>
    </w:rPr>
  </w:style>
  <w:style w:type="character" w:customStyle="1" w:styleId="CommentTextChar">
    <w:name w:val="Comment Text Char"/>
    <w:basedOn w:val="DefaultParagraphFont"/>
    <w:link w:val="CommentText"/>
    <w:uiPriority w:val="99"/>
    <w:rsid w:val="009E4DD5"/>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E4DD5"/>
    <w:rPr>
      <w:b/>
      <w:bCs/>
    </w:rPr>
  </w:style>
  <w:style w:type="character" w:customStyle="1" w:styleId="CommentSubjectChar">
    <w:name w:val="Comment Subject Char"/>
    <w:basedOn w:val="CommentTextChar"/>
    <w:link w:val="CommentSubject"/>
    <w:uiPriority w:val="99"/>
    <w:semiHidden/>
    <w:rsid w:val="009E4DD5"/>
    <w:rPr>
      <w:rFonts w:ascii="Times New Roman" w:eastAsia="Times New Roman" w:hAnsi="Times New Roman" w:cs="Times New Roman"/>
      <w:b/>
      <w:bCs/>
      <w:sz w:val="20"/>
      <w:szCs w:val="20"/>
      <w:lang w:val="es-ES_tradnl"/>
    </w:rPr>
  </w:style>
  <w:style w:type="character" w:styleId="Emphasis">
    <w:name w:val="Emphasis"/>
    <w:basedOn w:val="DefaultParagraphFont"/>
    <w:uiPriority w:val="20"/>
    <w:qFormat/>
    <w:rsid w:val="00301372"/>
    <w:rPr>
      <w:i/>
      <w:iCs/>
    </w:rPr>
  </w:style>
  <w:style w:type="paragraph" w:customStyle="1" w:styleId="AutoNumpara">
    <w:name w:val="AutoNumpara"/>
    <w:basedOn w:val="BodyTextIndent"/>
    <w:rsid w:val="007C1307"/>
    <w:pPr>
      <w:tabs>
        <w:tab w:val="num" w:pos="360"/>
      </w:tabs>
      <w:spacing w:before="120"/>
      <w:jc w:val="both"/>
    </w:pPr>
    <w:rPr>
      <w:noProof/>
      <w:spacing w:val="-2"/>
    </w:rPr>
  </w:style>
  <w:style w:type="paragraph" w:customStyle="1" w:styleId="bullets">
    <w:name w:val="bullets"/>
    <w:rsid w:val="007C1307"/>
    <w:pPr>
      <w:tabs>
        <w:tab w:val="num" w:pos="810"/>
      </w:tabs>
      <w:spacing w:before="120" w:after="120" w:line="240" w:lineRule="auto"/>
      <w:ind w:left="810" w:hanging="720"/>
      <w:jc w:val="both"/>
    </w:pPr>
    <w:rPr>
      <w:rFonts w:ascii="Times New Roman" w:eastAsia="Times New Roman" w:hAnsi="Times New Roman" w:cs="Times New Roman"/>
      <w:spacing w:val="-2"/>
      <w:sz w:val="24"/>
      <w:szCs w:val="20"/>
    </w:rPr>
  </w:style>
  <w:style w:type="paragraph" w:customStyle="1" w:styleId="ColorfulList-Accent11">
    <w:name w:val="Colorful List - Accent 11"/>
    <w:basedOn w:val="Normal"/>
    <w:link w:val="ColorfulList-Accent1Char"/>
    <w:uiPriority w:val="34"/>
    <w:qFormat/>
    <w:rsid w:val="007C1307"/>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rsid w:val="007C1307"/>
    <w:rPr>
      <w:rFonts w:ascii="Calibri" w:eastAsia="Calibri" w:hAnsi="Calibri" w:cs="Times New Roman"/>
      <w:lang w:val="es-ES_tradnl"/>
    </w:rPr>
  </w:style>
  <w:style w:type="paragraph" w:customStyle="1" w:styleId="heading-b24">
    <w:name w:val="heading-b24"/>
    <w:basedOn w:val="Normal"/>
    <w:next w:val="Normal"/>
    <w:rsid w:val="007C1307"/>
    <w:pPr>
      <w:spacing w:after="600"/>
      <w:jc w:val="center"/>
    </w:pPr>
    <w:rPr>
      <w:rFonts w:ascii="Times New Roman Bold" w:hAnsi="Times New Roman Bold"/>
      <w:b/>
      <w:smallCaps/>
      <w:spacing w:val="-3"/>
    </w:rPr>
  </w:style>
  <w:style w:type="paragraph" w:styleId="NoSpacing">
    <w:name w:val="No Spacing"/>
    <w:link w:val="NoSpacingChar"/>
    <w:uiPriority w:val="1"/>
    <w:qFormat/>
    <w:rsid w:val="004327E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0E5E"/>
    <w:rPr>
      <w:color w:val="605E5C"/>
      <w:shd w:val="clear" w:color="auto" w:fill="E1DFDD"/>
    </w:rPr>
  </w:style>
  <w:style w:type="character" w:customStyle="1" w:styleId="ListParagraphChar">
    <w:name w:val="List Paragraph Char"/>
    <w:aliases w:val="Título 2. Char,Fluvial1 Char,Bullet list first level Char,tablas Char,Cuadros Char,figuras y gráficos Char,VIÑETAS Char,titulo 5 Char"/>
    <w:link w:val="ListParagraph"/>
    <w:uiPriority w:val="34"/>
    <w:locked/>
    <w:rsid w:val="009F6FC6"/>
    <w:rPr>
      <w:rFonts w:ascii="Times New Roman" w:eastAsia="Times New Roman" w:hAnsi="Times New Roman" w:cs="Times New Roman"/>
      <w:sz w:val="24"/>
      <w:szCs w:val="20"/>
      <w:lang w:val="es-ES_tradnl"/>
    </w:rPr>
  </w:style>
  <w:style w:type="paragraph" w:customStyle="1" w:styleId="Char2">
    <w:name w:val="Char2"/>
    <w:basedOn w:val="Normal"/>
    <w:link w:val="FootnoteReference"/>
    <w:uiPriority w:val="99"/>
    <w:rsid w:val="009F6FC6"/>
    <w:pPr>
      <w:spacing w:after="160" w:line="240" w:lineRule="exact"/>
    </w:pPr>
    <w:rPr>
      <w:rFonts w:asciiTheme="minorHAnsi" w:eastAsiaTheme="minorHAnsi" w:hAnsiTheme="minorHAnsi" w:cstheme="minorBidi"/>
      <w:sz w:val="22"/>
      <w:szCs w:val="22"/>
      <w:vertAlign w:val="superscript"/>
      <w:lang w:val="en-US"/>
    </w:rPr>
  </w:style>
  <w:style w:type="character" w:styleId="Strong">
    <w:name w:val="Strong"/>
    <w:basedOn w:val="DefaultParagraphFont"/>
    <w:uiPriority w:val="22"/>
    <w:qFormat/>
    <w:rsid w:val="00A578FB"/>
    <w:rPr>
      <w:b/>
      <w:bCs/>
    </w:rPr>
  </w:style>
  <w:style w:type="paragraph" w:styleId="Revision">
    <w:name w:val="Revision"/>
    <w:hidden/>
    <w:uiPriority w:val="99"/>
    <w:semiHidden/>
    <w:rsid w:val="00A80CF7"/>
    <w:pPr>
      <w:spacing w:after="0" w:line="240" w:lineRule="auto"/>
    </w:pPr>
    <w:rPr>
      <w:rFonts w:ascii="Times New Roman" w:eastAsia="Times New Roman" w:hAnsi="Times New Roman" w:cs="Times New Roman"/>
      <w:sz w:val="24"/>
      <w:szCs w:val="20"/>
      <w:lang w:val="es-ES_tradnl"/>
    </w:rPr>
  </w:style>
  <w:style w:type="character" w:customStyle="1" w:styleId="NoSpacingChar">
    <w:name w:val="No Spacing Char"/>
    <w:link w:val="NoSpacing"/>
    <w:uiPriority w:val="1"/>
    <w:rsid w:val="00276323"/>
    <w:rPr>
      <w:rFonts w:ascii="Times New Roman" w:eastAsia="Times New Roman" w:hAnsi="Times New Roman" w:cs="Times New Roman"/>
      <w:sz w:val="24"/>
      <w:szCs w:val="24"/>
    </w:rPr>
  </w:style>
  <w:style w:type="character" w:customStyle="1" w:styleId="Subheading2Char">
    <w:name w:val="Subheading2 Char"/>
    <w:basedOn w:val="DefaultParagraphFont"/>
    <w:link w:val="Subheading2"/>
    <w:rsid w:val="008D029C"/>
    <w:rPr>
      <w:rFonts w:ascii="Times New Roman" w:eastAsia="Times New Roman" w:hAnsi="Times New Roman" w:cs="Times New Roman"/>
      <w:b/>
      <w:sz w:val="24"/>
      <w:szCs w:val="20"/>
      <w:lang w:val="es-ES_tradnl"/>
    </w:rPr>
  </w:style>
  <w:style w:type="character" w:customStyle="1" w:styleId="normaltextrun">
    <w:name w:val="normaltextrun"/>
    <w:basedOn w:val="DefaultParagraphFont"/>
    <w:rsid w:val="00E6181F"/>
  </w:style>
  <w:style w:type="numbering" w:customStyle="1" w:styleId="WWOutlineListStyle1">
    <w:name w:val="WW_OutlineListStyle1"/>
    <w:basedOn w:val="NoList"/>
    <w:rsid w:val="001B161E"/>
    <w:pPr>
      <w:numPr>
        <w:numId w:val="12"/>
      </w:numPr>
    </w:pPr>
  </w:style>
  <w:style w:type="paragraph" w:styleId="HTMLPreformatted">
    <w:name w:val="HTML Preformatted"/>
    <w:basedOn w:val="Normal"/>
    <w:link w:val="HTMLPreformattedChar"/>
    <w:uiPriority w:val="99"/>
    <w:semiHidden/>
    <w:unhideWhenUsed/>
    <w:rsid w:val="0035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352068"/>
    <w:rPr>
      <w:rFonts w:ascii="Courier New" w:eastAsia="Times New Roman" w:hAnsi="Courier New" w:cs="Courier New"/>
      <w:sz w:val="20"/>
      <w:szCs w:val="20"/>
    </w:rPr>
  </w:style>
  <w:style w:type="paragraph" w:styleId="NormalWeb">
    <w:name w:val="Normal (Web)"/>
    <w:basedOn w:val="Normal"/>
    <w:uiPriority w:val="99"/>
    <w:unhideWhenUsed/>
    <w:rsid w:val="00DE33B1"/>
    <w:pPr>
      <w:spacing w:before="100" w:beforeAutospacing="1" w:after="100" w:afterAutospacing="1"/>
    </w:pPr>
    <w:rPr>
      <w:szCs w:val="24"/>
      <w:lang w:val="en-US"/>
    </w:rPr>
  </w:style>
  <w:style w:type="character" w:customStyle="1" w:styleId="eop">
    <w:name w:val="eop"/>
    <w:basedOn w:val="DefaultParagraphFont"/>
    <w:rsid w:val="00251306"/>
  </w:style>
  <w:style w:type="character" w:customStyle="1" w:styleId="spellingerror">
    <w:name w:val="spellingerror"/>
    <w:basedOn w:val="DefaultParagraphFont"/>
    <w:rsid w:val="00251306"/>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777087"/>
    <w:pPr>
      <w:spacing w:after="160" w:line="240" w:lineRule="exact"/>
    </w:pPr>
    <w:rPr>
      <w:rFonts w:ascii="Calibri" w:eastAsia="Calibri" w:hAnsi="Calibri"/>
      <w:sz w:val="20"/>
      <w:vertAlign w:val="superscript"/>
      <w:lang w:val="en-US" w:eastAsia="zh-CN"/>
    </w:rPr>
  </w:style>
  <w:style w:type="character" w:styleId="FollowedHyperlink">
    <w:name w:val="FollowedHyperlink"/>
    <w:basedOn w:val="DefaultParagraphFont"/>
    <w:uiPriority w:val="99"/>
    <w:semiHidden/>
    <w:unhideWhenUsed/>
    <w:rsid w:val="00F32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8643">
      <w:bodyDiv w:val="1"/>
      <w:marLeft w:val="0"/>
      <w:marRight w:val="0"/>
      <w:marTop w:val="0"/>
      <w:marBottom w:val="0"/>
      <w:divBdr>
        <w:top w:val="none" w:sz="0" w:space="0" w:color="auto"/>
        <w:left w:val="none" w:sz="0" w:space="0" w:color="auto"/>
        <w:bottom w:val="none" w:sz="0" w:space="0" w:color="auto"/>
        <w:right w:val="none" w:sz="0" w:space="0" w:color="auto"/>
      </w:divBdr>
    </w:div>
    <w:div w:id="521476636">
      <w:bodyDiv w:val="1"/>
      <w:marLeft w:val="0"/>
      <w:marRight w:val="0"/>
      <w:marTop w:val="0"/>
      <w:marBottom w:val="0"/>
      <w:divBdr>
        <w:top w:val="none" w:sz="0" w:space="0" w:color="auto"/>
        <w:left w:val="none" w:sz="0" w:space="0" w:color="auto"/>
        <w:bottom w:val="none" w:sz="0" w:space="0" w:color="auto"/>
        <w:right w:val="none" w:sz="0" w:space="0" w:color="auto"/>
      </w:divBdr>
      <w:divsChild>
        <w:div w:id="1007443655">
          <w:marLeft w:val="0"/>
          <w:marRight w:val="0"/>
          <w:marTop w:val="0"/>
          <w:marBottom w:val="0"/>
          <w:divBdr>
            <w:top w:val="none" w:sz="0" w:space="0" w:color="auto"/>
            <w:left w:val="none" w:sz="0" w:space="0" w:color="auto"/>
            <w:bottom w:val="none" w:sz="0" w:space="0" w:color="auto"/>
            <w:right w:val="none" w:sz="0" w:space="0" w:color="auto"/>
          </w:divBdr>
          <w:divsChild>
            <w:div w:id="1574924501">
              <w:marLeft w:val="0"/>
              <w:marRight w:val="0"/>
              <w:marTop w:val="0"/>
              <w:marBottom w:val="0"/>
              <w:divBdr>
                <w:top w:val="none" w:sz="0" w:space="0" w:color="auto"/>
                <w:left w:val="none" w:sz="0" w:space="0" w:color="auto"/>
                <w:bottom w:val="none" w:sz="0" w:space="0" w:color="auto"/>
                <w:right w:val="none" w:sz="0" w:space="0" w:color="auto"/>
              </w:divBdr>
              <w:divsChild>
                <w:div w:id="1262101699">
                  <w:marLeft w:val="0"/>
                  <w:marRight w:val="0"/>
                  <w:marTop w:val="0"/>
                  <w:marBottom w:val="0"/>
                  <w:divBdr>
                    <w:top w:val="none" w:sz="0" w:space="0" w:color="auto"/>
                    <w:left w:val="none" w:sz="0" w:space="0" w:color="auto"/>
                    <w:bottom w:val="none" w:sz="0" w:space="0" w:color="auto"/>
                    <w:right w:val="none" w:sz="0" w:space="0" w:color="auto"/>
                  </w:divBdr>
                  <w:divsChild>
                    <w:div w:id="1493527978">
                      <w:marLeft w:val="0"/>
                      <w:marRight w:val="0"/>
                      <w:marTop w:val="0"/>
                      <w:marBottom w:val="0"/>
                      <w:divBdr>
                        <w:top w:val="none" w:sz="0" w:space="0" w:color="auto"/>
                        <w:left w:val="none" w:sz="0" w:space="0" w:color="auto"/>
                        <w:bottom w:val="none" w:sz="0" w:space="0" w:color="auto"/>
                        <w:right w:val="none" w:sz="0" w:space="0" w:color="auto"/>
                      </w:divBdr>
                      <w:divsChild>
                        <w:div w:id="1974559853">
                          <w:marLeft w:val="0"/>
                          <w:marRight w:val="0"/>
                          <w:marTop w:val="0"/>
                          <w:marBottom w:val="0"/>
                          <w:divBdr>
                            <w:top w:val="none" w:sz="0" w:space="0" w:color="auto"/>
                            <w:left w:val="none" w:sz="0" w:space="0" w:color="auto"/>
                            <w:bottom w:val="none" w:sz="0" w:space="0" w:color="auto"/>
                            <w:right w:val="none" w:sz="0" w:space="0" w:color="auto"/>
                          </w:divBdr>
                          <w:divsChild>
                            <w:div w:id="2123302892">
                              <w:marLeft w:val="0"/>
                              <w:marRight w:val="0"/>
                              <w:marTop w:val="0"/>
                              <w:marBottom w:val="0"/>
                              <w:divBdr>
                                <w:top w:val="none" w:sz="0" w:space="0" w:color="auto"/>
                                <w:left w:val="none" w:sz="0" w:space="0" w:color="auto"/>
                                <w:bottom w:val="none" w:sz="0" w:space="0" w:color="auto"/>
                                <w:right w:val="none" w:sz="0" w:space="0" w:color="auto"/>
                              </w:divBdr>
                              <w:divsChild>
                                <w:div w:id="853540870">
                                  <w:marLeft w:val="0"/>
                                  <w:marRight w:val="0"/>
                                  <w:marTop w:val="0"/>
                                  <w:marBottom w:val="0"/>
                                  <w:divBdr>
                                    <w:top w:val="none" w:sz="0" w:space="0" w:color="auto"/>
                                    <w:left w:val="none" w:sz="0" w:space="0" w:color="auto"/>
                                    <w:bottom w:val="none" w:sz="0" w:space="0" w:color="auto"/>
                                    <w:right w:val="none" w:sz="0" w:space="0" w:color="auto"/>
                                  </w:divBdr>
                                  <w:divsChild>
                                    <w:div w:id="4826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348603">
      <w:bodyDiv w:val="1"/>
      <w:marLeft w:val="0"/>
      <w:marRight w:val="0"/>
      <w:marTop w:val="0"/>
      <w:marBottom w:val="0"/>
      <w:divBdr>
        <w:top w:val="none" w:sz="0" w:space="0" w:color="auto"/>
        <w:left w:val="none" w:sz="0" w:space="0" w:color="auto"/>
        <w:bottom w:val="none" w:sz="0" w:space="0" w:color="auto"/>
        <w:right w:val="none" w:sz="0" w:space="0" w:color="auto"/>
      </w:divBdr>
      <w:divsChild>
        <w:div w:id="1315065391">
          <w:marLeft w:val="0"/>
          <w:marRight w:val="0"/>
          <w:marTop w:val="0"/>
          <w:marBottom w:val="0"/>
          <w:divBdr>
            <w:top w:val="none" w:sz="0" w:space="0" w:color="auto"/>
            <w:left w:val="none" w:sz="0" w:space="0" w:color="auto"/>
            <w:bottom w:val="none" w:sz="0" w:space="0" w:color="auto"/>
            <w:right w:val="none" w:sz="0" w:space="0" w:color="auto"/>
          </w:divBdr>
        </w:div>
      </w:divsChild>
    </w:div>
    <w:div w:id="1394160924">
      <w:bodyDiv w:val="1"/>
      <w:marLeft w:val="0"/>
      <w:marRight w:val="0"/>
      <w:marTop w:val="0"/>
      <w:marBottom w:val="0"/>
      <w:divBdr>
        <w:top w:val="none" w:sz="0" w:space="0" w:color="auto"/>
        <w:left w:val="none" w:sz="0" w:space="0" w:color="auto"/>
        <w:bottom w:val="none" w:sz="0" w:space="0" w:color="auto"/>
        <w:right w:val="none" w:sz="0" w:space="0" w:color="auto"/>
      </w:divBdr>
      <w:divsChild>
        <w:div w:id="474951286">
          <w:marLeft w:val="0"/>
          <w:marRight w:val="0"/>
          <w:marTop w:val="0"/>
          <w:marBottom w:val="0"/>
          <w:divBdr>
            <w:top w:val="none" w:sz="0" w:space="0" w:color="auto"/>
            <w:left w:val="none" w:sz="0" w:space="0" w:color="auto"/>
            <w:bottom w:val="none" w:sz="0" w:space="0" w:color="auto"/>
            <w:right w:val="none" w:sz="0" w:space="0" w:color="auto"/>
          </w:divBdr>
        </w:div>
      </w:divsChild>
    </w:div>
    <w:div w:id="1495298052">
      <w:bodyDiv w:val="1"/>
      <w:marLeft w:val="0"/>
      <w:marRight w:val="0"/>
      <w:marTop w:val="0"/>
      <w:marBottom w:val="0"/>
      <w:divBdr>
        <w:top w:val="none" w:sz="0" w:space="0" w:color="auto"/>
        <w:left w:val="none" w:sz="0" w:space="0" w:color="auto"/>
        <w:bottom w:val="none" w:sz="0" w:space="0" w:color="auto"/>
        <w:right w:val="none" w:sz="0" w:space="0" w:color="auto"/>
      </w:divBdr>
      <w:divsChild>
        <w:div w:id="377776779">
          <w:marLeft w:val="0"/>
          <w:marRight w:val="0"/>
          <w:marTop w:val="0"/>
          <w:marBottom w:val="0"/>
          <w:divBdr>
            <w:top w:val="none" w:sz="0" w:space="0" w:color="auto"/>
            <w:left w:val="none" w:sz="0" w:space="0" w:color="auto"/>
            <w:bottom w:val="none" w:sz="0" w:space="0" w:color="auto"/>
            <w:right w:val="none" w:sz="0" w:space="0" w:color="auto"/>
          </w:divBdr>
        </w:div>
      </w:divsChild>
    </w:div>
    <w:div w:id="1511408039">
      <w:bodyDiv w:val="1"/>
      <w:marLeft w:val="0"/>
      <w:marRight w:val="0"/>
      <w:marTop w:val="0"/>
      <w:marBottom w:val="0"/>
      <w:divBdr>
        <w:top w:val="none" w:sz="0" w:space="0" w:color="auto"/>
        <w:left w:val="none" w:sz="0" w:space="0" w:color="auto"/>
        <w:bottom w:val="none" w:sz="0" w:space="0" w:color="auto"/>
        <w:right w:val="none" w:sz="0" w:space="0" w:color="auto"/>
      </w:divBdr>
    </w:div>
    <w:div w:id="1666278005">
      <w:bodyDiv w:val="1"/>
      <w:marLeft w:val="0"/>
      <w:marRight w:val="0"/>
      <w:marTop w:val="0"/>
      <w:marBottom w:val="0"/>
      <w:divBdr>
        <w:top w:val="none" w:sz="0" w:space="0" w:color="auto"/>
        <w:left w:val="none" w:sz="0" w:space="0" w:color="auto"/>
        <w:bottom w:val="none" w:sz="0" w:space="0" w:color="auto"/>
        <w:right w:val="none" w:sz="0" w:space="0" w:color="auto"/>
      </w:divBdr>
    </w:div>
    <w:div w:id="18620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ideas.repec.org/a/oup/qjecon/v130y2015i1p165-218.html" TargetMode="External"/><Relationship Id="rId26" Type="http://schemas.openxmlformats.org/officeDocument/2006/relationships/hyperlink" Target="mailto:mariosa@iadb.org" TargetMode="External"/><Relationship Id="rId3" Type="http://schemas.openxmlformats.org/officeDocument/2006/relationships/customXml" Target="../customXml/item3.xml"/><Relationship Id="rId21" Type="http://schemas.openxmlformats.org/officeDocument/2006/relationships/hyperlink" Target="https://doi.org/10.1002/14651858.CD011135.pub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iariooficial.gob.sv/diarios/do-2020/01-enero/23-01-2020.pdf"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3201/eid2605.19099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oi.org/10.1080/00220388.2020.171594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doi.org/10.1007/s00134-020-05979-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bservatoriocovid19.sv/" TargetMode="External"/><Relationship Id="rId1" Type="http://schemas.openxmlformats.org/officeDocument/2006/relationships/hyperlink" Target="https://observatoriocovid19.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4E925512DCFF34092E46748964BE4BC" ma:contentTypeVersion="0" ma:contentTypeDescription="A content type to manage public (operations) IDB documents" ma:contentTypeScope="" ma:versionID="e28c2647a347548fc92bd56674ed721f">
  <xsd:schema xmlns:xsd="http://www.w3.org/2001/XMLSchema" xmlns:xs="http://www.w3.org/2001/XMLSchema" xmlns:p="http://schemas.microsoft.com/office/2006/metadata/properties" xmlns:ns2="cdc7663a-08f0-4737-9e8c-148ce897a09c" targetNamespace="http://schemas.microsoft.com/office/2006/metadata/properties" ma:root="true" ma:fieldsID="164994c93a009b82eb555108d5d17d1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ES-L114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IFD/FMM</Division_x0020_or_x0020_Unit>
    <_dlc_DocId xmlns="cdc7663a-08f0-4737-9e8c-148ce897a09c">EZSHARE-1727757758-5</_dlc_DocId>
    <Document_x0020_Author xmlns="cdc7663a-08f0-4737-9e8c-148ce897a09c">Sangines Mario F.</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057b77a9-2761-48a1-b9dc-78a115c002df</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ES-L1143</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 - Simultaneous Disclosure</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RM-FIS</TermName>
          <TermId xmlns="http://schemas.microsoft.com/office/infopath/2007/PartnerControls">6e15b5e0-ae82-4b06-920a-eef6dd27cc8b</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_dlc_DocIdUrl xmlns="cdc7663a-08f0-4737-9e8c-148ce897a09c">
      <Url>https://idbg.sharepoint.com/teams/EZ-ES-LON/ES-L1143/_layouts/15/DocIdRedir.aspx?ID=EZSHARE-1727757758-5</Url>
      <Description>EZSHARE-1727757758-5</Description>
    </_dlc_DocIdUrl>
    <Phase xmlns="cdc7663a-08f0-4737-9e8c-148ce897a09c">ACTIVE</Phase>
    <Other_x0020_Author xmlns="cdc7663a-08f0-4737-9e8c-148ce897a09c">Susana Roman</Other_x0020_Author>
    <IDBDocs_x0020_Number xmlns="cdc7663a-08f0-4737-9e8c-148ce897a09c" xsi:nil="true"/>
    <TaxCatchAll xmlns="cdc7663a-08f0-4737-9e8c-148ce897a09c">
      <Value>24</Value>
      <Value>114</Value>
      <Value>37</Value>
      <Value>1</Value>
    </TaxCatchAll>
    <Fiscal_x0020_Year_x0020_IDB xmlns="cdc7663a-08f0-4737-9e8c-148ce897a09c">2020</Fiscal_x0020_Year_x0020_IDB>
    <Operation_x0020_Type xmlns="cdc7663a-08f0-4737-9e8c-148ce897a09c">LON</Operation_x0020_Typ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DB729090-4C36-4C85-B570-5E68CFE54CBB}"/>
</file>

<file path=customXml/itemProps2.xml><?xml version="1.0" encoding="utf-8"?>
<ds:datastoreItem xmlns:ds="http://schemas.openxmlformats.org/officeDocument/2006/customXml" ds:itemID="{17F6B338-EB7F-4F7D-9BEA-E2E2B1DF1873}"/>
</file>

<file path=customXml/itemProps3.xml><?xml version="1.0" encoding="utf-8"?>
<ds:datastoreItem xmlns:ds="http://schemas.openxmlformats.org/officeDocument/2006/customXml" ds:itemID="{82E90A2A-4AEC-4329-A48E-E1FFEF98ED47}">
  <ds:schemaRefs>
    <ds:schemaRef ds:uri="http://schemas.microsoft.com/sharepoint/v3/contenttype/forms"/>
  </ds:schemaRefs>
</ds:datastoreItem>
</file>

<file path=customXml/itemProps4.xml><?xml version="1.0" encoding="utf-8"?>
<ds:datastoreItem xmlns:ds="http://schemas.openxmlformats.org/officeDocument/2006/customXml" ds:itemID="{4165438E-5F60-43A1-877C-B055FFA7F6BC}">
  <ds:schemaRefs>
    <ds:schemaRef ds:uri="http://schemas.microsoft.com/sharepoint/events"/>
  </ds:schemaRefs>
</ds:datastoreItem>
</file>

<file path=customXml/itemProps5.xml><?xml version="1.0" encoding="utf-8"?>
<ds:datastoreItem xmlns:ds="http://schemas.openxmlformats.org/officeDocument/2006/customXml" ds:itemID="{623D2D0A-C307-43A0-94C0-9EDA757FE236}"/>
</file>

<file path=customXml/itemProps6.xml><?xml version="1.0" encoding="utf-8"?>
<ds:datastoreItem xmlns:ds="http://schemas.openxmlformats.org/officeDocument/2006/customXml" ds:itemID="{2BB305CE-8AFB-4F9D-BFD3-E8EBB9543A03}">
  <ds:schemaRefs>
    <ds:schemaRef ds:uri="http://schemas.microsoft.com/office/2006/documentManagement/types"/>
    <ds:schemaRef ds:uri="http://schemas.openxmlformats.org/package/2006/metadata/core-properties"/>
    <ds:schemaRef ds:uri="cdc7663a-08f0-4737-9e8c-148ce897a09c"/>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10342</Words>
  <Characters>58951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2020-04-29T13:56:00Z</dcterms:created>
  <dcterms:modified xsi:type="dcterms:W3CDTF">2020-05-18T20:22:00Z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114;#RM-FIS|6e15b5e0-ae82-4b06-920a-eef6dd27cc8b</vt:lpwstr>
  </property>
  <property fmtid="{D5CDD505-2E9C-101B-9397-08002B2CF9AE}" pid="6" name="Country">
    <vt:lpwstr>24;#ES|057b77a9-2761-48a1-b9dc-78a115c002df</vt:lpwstr>
  </property>
  <property fmtid="{D5CDD505-2E9C-101B-9397-08002B2CF9AE}" pid="7" name="_dlc_DocIdItemGuid">
    <vt:lpwstr>db6209f7-9295-49bd-a13d-8923eb00f936</vt:lpwstr>
  </property>
  <property fmtid="{D5CDD505-2E9C-101B-9397-08002B2CF9AE}" pid="8" name="Fund IDB">
    <vt:lpwstr/>
  </property>
  <property fmtid="{D5CDD505-2E9C-101B-9397-08002B2CF9AE}" pid="9" name="Sector IDB">
    <vt:lpwstr>37;#RM|c8fda4a7-691a-4c65-b227-9825197b5cd2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0x0101001A458A224826124E8B45B1D613300CFC0024E925512DCFF34092E46748964BE4BC</vt:lpwstr>
  </property>
</Properties>
</file>