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93" w:rsidRDefault="00DE7625" w:rsidP="00684193">
      <w:pPr>
        <w:pStyle w:val="AbbrDesc"/>
        <w:tabs>
          <w:tab w:val="left" w:pos="1440"/>
        </w:tabs>
        <w:jc w:val="center"/>
        <w:rPr>
          <w:b/>
          <w:smallCaps/>
          <w:szCs w:val="24"/>
          <w:lang w:val="es-ES_tradnl"/>
        </w:rPr>
      </w:pPr>
      <w:bookmarkStart w:id="0" w:name="_GoBack"/>
      <w:bookmarkEnd w:id="0"/>
      <w:r>
        <w:rPr>
          <w:b/>
          <w:smallCaps/>
          <w:szCs w:val="24"/>
          <w:lang w:val="es-ES_tradnl"/>
        </w:rPr>
        <w:t>Descripción</w:t>
      </w:r>
      <w:r w:rsidR="00684193" w:rsidRPr="006B440A">
        <w:rPr>
          <w:b/>
          <w:smallCaps/>
          <w:szCs w:val="24"/>
          <w:lang w:val="es-ES_tradnl"/>
        </w:rPr>
        <w:t xml:space="preserve"> del Proyecto</w:t>
      </w:r>
    </w:p>
    <w:p w:rsidR="00B94C39" w:rsidRPr="006B440A" w:rsidRDefault="00B94C39" w:rsidP="00684193">
      <w:pPr>
        <w:pStyle w:val="AbbrDesc"/>
        <w:tabs>
          <w:tab w:val="left" w:pos="1440"/>
        </w:tabs>
        <w:jc w:val="center"/>
        <w:rPr>
          <w:b/>
          <w:smallCaps/>
          <w:szCs w:val="24"/>
          <w:lang w:val="es-ES_tradnl"/>
        </w:rPr>
      </w:pPr>
    </w:p>
    <w:p w:rsidR="00684193" w:rsidRPr="006B440A" w:rsidRDefault="00B94C39" w:rsidP="00B94C39">
      <w:pPr>
        <w:pStyle w:val="AbbrDesc"/>
        <w:tabs>
          <w:tab w:val="left" w:pos="1440"/>
        </w:tabs>
        <w:jc w:val="center"/>
        <w:rPr>
          <w:b/>
          <w:smallCaps/>
          <w:szCs w:val="24"/>
          <w:lang w:val="es-ES_tradnl"/>
        </w:rPr>
      </w:pPr>
      <w:r w:rsidRPr="00B94C39">
        <w:rPr>
          <w:b/>
          <w:smallCaps/>
          <w:szCs w:val="24"/>
          <w:lang w:val="es-ES_tradnl"/>
        </w:rPr>
        <w:t>Acceso a Financiamiento para Pequeños y Medianos Productores a través de Canales Alternativos</w:t>
      </w:r>
    </w:p>
    <w:p w:rsidR="00684193" w:rsidRDefault="00684193" w:rsidP="00684193">
      <w:pPr>
        <w:pStyle w:val="Paragraph"/>
        <w:numPr>
          <w:ilvl w:val="0"/>
          <w:numId w:val="0"/>
        </w:numPr>
        <w:tabs>
          <w:tab w:val="left" w:pos="0"/>
          <w:tab w:val="num" w:pos="2952"/>
          <w:tab w:val="left" w:pos="9000"/>
        </w:tabs>
        <w:spacing w:before="0" w:after="0"/>
        <w:rPr>
          <w:rFonts w:eastAsia="Arial Unicode MS"/>
          <w:szCs w:val="24"/>
          <w:lang w:val="es-ES_tradnl"/>
        </w:rPr>
      </w:pPr>
    </w:p>
    <w:p w:rsidR="006118F2" w:rsidRPr="003E4B59" w:rsidRDefault="006118F2" w:rsidP="00307DEF">
      <w:pPr>
        <w:pStyle w:val="Paragraph"/>
        <w:numPr>
          <w:ilvl w:val="0"/>
          <w:numId w:val="0"/>
        </w:numPr>
        <w:tabs>
          <w:tab w:val="left" w:pos="0"/>
          <w:tab w:val="num" w:pos="2952"/>
          <w:tab w:val="left" w:pos="9000"/>
        </w:tabs>
        <w:spacing w:before="0" w:after="0"/>
        <w:rPr>
          <w:szCs w:val="24"/>
          <w:lang w:val="es-ES"/>
        </w:rPr>
      </w:pPr>
      <w:r w:rsidRPr="003E4B59">
        <w:rPr>
          <w:szCs w:val="24"/>
          <w:lang w:val="es-ES"/>
        </w:rPr>
        <w:t>En Ecuador, la actividad agrícola representa el 8% del Producto Interno Bruto (PIB)</w:t>
      </w:r>
      <w:r w:rsidRPr="003E4B59">
        <w:rPr>
          <w:rStyle w:val="FootnoteReference"/>
          <w:szCs w:val="24"/>
          <w:lang w:val="es-ES"/>
        </w:rPr>
        <w:footnoteReference w:id="1"/>
      </w:r>
      <w:r w:rsidRPr="003E4B59">
        <w:rPr>
          <w:szCs w:val="24"/>
          <w:lang w:val="es-ES"/>
        </w:rPr>
        <w:t xml:space="preserve"> y emplea a cerca del 26% de la Población Económicamente Activa (PEA)</w:t>
      </w:r>
      <w:r w:rsidRPr="003E4B59">
        <w:rPr>
          <w:rStyle w:val="FootnoteReference"/>
          <w:szCs w:val="24"/>
          <w:lang w:val="es-ES"/>
        </w:rPr>
        <w:footnoteReference w:id="2"/>
      </w:r>
      <w:r w:rsidRPr="003E4B59">
        <w:rPr>
          <w:szCs w:val="24"/>
          <w:lang w:val="es-ES"/>
        </w:rPr>
        <w:t xml:space="preserve">. En zonas rurales, la principal actividad económica es la </w:t>
      </w:r>
      <w:r w:rsidRPr="00307DEF">
        <w:rPr>
          <w:rFonts w:eastAsia="Arial Unicode MS"/>
          <w:szCs w:val="24"/>
          <w:lang w:val="es-ES_tradnl"/>
        </w:rPr>
        <w:t>agricultura</w:t>
      </w:r>
      <w:r w:rsidRPr="003E4B59">
        <w:rPr>
          <w:szCs w:val="24"/>
          <w:lang w:val="es-ES"/>
        </w:rPr>
        <w:t xml:space="preserve">, que concentra </w:t>
      </w:r>
      <w:r>
        <w:rPr>
          <w:szCs w:val="24"/>
          <w:lang w:val="es-ES"/>
        </w:rPr>
        <w:t>cerca de</w:t>
      </w:r>
      <w:r w:rsidRPr="003E4B59">
        <w:rPr>
          <w:szCs w:val="24"/>
          <w:lang w:val="es-ES"/>
        </w:rPr>
        <w:t xml:space="preserve"> 72% de la PEA</w:t>
      </w:r>
      <w:r w:rsidRPr="003E4B59">
        <w:rPr>
          <w:rStyle w:val="FootnoteReference"/>
          <w:szCs w:val="24"/>
          <w:lang w:val="es-ES"/>
        </w:rPr>
        <w:footnoteReference w:id="3"/>
      </w:r>
      <w:r w:rsidRPr="003E4B59">
        <w:rPr>
          <w:szCs w:val="24"/>
          <w:lang w:val="es-ES"/>
        </w:rPr>
        <w:t>. Por tanto, es una pieza clave para el desarrollo del sector rural, donde el porcentaje de la población que vive en condiciones de pobreza se encuentra alrededor del 53%</w:t>
      </w:r>
      <w:r w:rsidRPr="003E4B59">
        <w:rPr>
          <w:szCs w:val="24"/>
          <w:vertAlign w:val="superscript"/>
          <w:lang w:val="es-ES"/>
        </w:rPr>
        <w:footnoteReference w:id="4"/>
      </w:r>
      <w:r w:rsidRPr="003E4B59">
        <w:rPr>
          <w:szCs w:val="24"/>
          <w:lang w:val="es-ES"/>
        </w:rPr>
        <w:t>. Esto se debe</w:t>
      </w:r>
      <w:r w:rsidR="00955172">
        <w:rPr>
          <w:szCs w:val="24"/>
          <w:lang w:val="es-ES"/>
        </w:rPr>
        <w:t>,</w:t>
      </w:r>
      <w:r w:rsidRPr="003E4B59">
        <w:rPr>
          <w:szCs w:val="24"/>
          <w:lang w:val="es-ES"/>
        </w:rPr>
        <w:t xml:space="preserve"> en parte, a los bajos índices de productividad que típicamente caracterizan este sector, formado </w:t>
      </w:r>
      <w:r w:rsidR="00770E9D">
        <w:rPr>
          <w:szCs w:val="24"/>
          <w:lang w:val="es-ES"/>
        </w:rPr>
        <w:t>principalmente</w:t>
      </w:r>
      <w:r w:rsidRPr="003E4B59">
        <w:rPr>
          <w:szCs w:val="24"/>
          <w:lang w:val="es-ES"/>
        </w:rPr>
        <w:t xml:space="preserve"> por pequeños y medianos agricultores que carecen de acceso al conocimiento de mejores prácticas productivas, la tecnología y el financiamiento apropiado para incrementar su competitividad, tanto en productos de exportación como en aquellos que se destinan al mercado doméstico.</w:t>
      </w:r>
    </w:p>
    <w:p w:rsidR="006118F2" w:rsidRPr="00307DEF" w:rsidRDefault="006118F2" w:rsidP="00684193">
      <w:pPr>
        <w:pStyle w:val="Paragraph"/>
        <w:numPr>
          <w:ilvl w:val="0"/>
          <w:numId w:val="0"/>
        </w:numPr>
        <w:tabs>
          <w:tab w:val="left" w:pos="0"/>
          <w:tab w:val="num" w:pos="2952"/>
          <w:tab w:val="left" w:pos="9000"/>
        </w:tabs>
        <w:spacing w:before="0" w:after="0"/>
        <w:rPr>
          <w:rFonts w:eastAsia="Arial Unicode MS"/>
          <w:szCs w:val="24"/>
          <w:lang w:val="es-ES"/>
        </w:rPr>
      </w:pPr>
    </w:p>
    <w:p w:rsidR="00077C84" w:rsidRDefault="004107FC" w:rsidP="00684193">
      <w:pPr>
        <w:pStyle w:val="Paragraph"/>
        <w:numPr>
          <w:ilvl w:val="0"/>
          <w:numId w:val="0"/>
        </w:numPr>
        <w:tabs>
          <w:tab w:val="left" w:pos="0"/>
          <w:tab w:val="num" w:pos="2952"/>
          <w:tab w:val="left" w:pos="9000"/>
        </w:tabs>
        <w:spacing w:before="0" w:after="0"/>
        <w:rPr>
          <w:rFonts w:eastAsia="Arial Unicode MS"/>
          <w:szCs w:val="24"/>
          <w:lang w:val="es-ES_tradnl"/>
        </w:rPr>
      </w:pPr>
      <w:r w:rsidRPr="004107FC">
        <w:rPr>
          <w:rFonts w:eastAsia="Arial Unicode MS"/>
          <w:szCs w:val="24"/>
          <w:lang w:val="es-ES_tradnl"/>
        </w:rPr>
        <w:t xml:space="preserve">El objetivo del proyecto es incrementar el acceso a financiamiento para pequeños y medianos productores que forman parte de la cadena de valor de empresas anclas en el sector agroindustrial del Ecuador. </w:t>
      </w:r>
      <w:r w:rsidR="00077C84">
        <w:rPr>
          <w:rFonts w:eastAsia="Arial Unicode MS"/>
          <w:szCs w:val="24"/>
          <w:lang w:val="es-ES_tradnl"/>
        </w:rPr>
        <w:t xml:space="preserve">En </w:t>
      </w:r>
      <w:r w:rsidR="00F00880">
        <w:rPr>
          <w:rFonts w:eastAsia="Arial Unicode MS"/>
          <w:szCs w:val="24"/>
          <w:lang w:val="es-ES_tradnl"/>
        </w:rPr>
        <w:t xml:space="preserve">vías </w:t>
      </w:r>
      <w:r w:rsidR="00077C84">
        <w:rPr>
          <w:rFonts w:eastAsia="Arial Unicode MS"/>
          <w:szCs w:val="24"/>
          <w:lang w:val="es-ES_tradnl"/>
        </w:rPr>
        <w:t>de</w:t>
      </w:r>
      <w:r w:rsidR="00F00880">
        <w:rPr>
          <w:rFonts w:eastAsia="Arial Unicode MS"/>
          <w:szCs w:val="24"/>
          <w:lang w:val="es-ES_tradnl"/>
        </w:rPr>
        <w:t xml:space="preserve"> cumplir este objetivo, </w:t>
      </w:r>
      <w:r w:rsidR="00F00880" w:rsidRPr="00F00880">
        <w:rPr>
          <w:rFonts w:eastAsia="Arial Unicode MS"/>
          <w:szCs w:val="24"/>
          <w:lang w:val="es-ES_tradnl"/>
        </w:rPr>
        <w:t>el Banco Interamericano de Desarrollo (BID)</w:t>
      </w:r>
      <w:r w:rsidR="004A7BDE">
        <w:rPr>
          <w:rFonts w:eastAsia="Arial Unicode MS"/>
          <w:szCs w:val="24"/>
          <w:lang w:val="es-ES_tradnl"/>
        </w:rPr>
        <w:t>, a través de la División de Mercados Financieros</w:t>
      </w:r>
      <w:r w:rsidR="00670675">
        <w:rPr>
          <w:rFonts w:eastAsia="Arial Unicode MS"/>
          <w:szCs w:val="24"/>
          <w:lang w:val="es-ES_tradnl"/>
        </w:rPr>
        <w:t xml:space="preserve"> (FMK)</w:t>
      </w:r>
      <w:r w:rsidR="004A7BDE">
        <w:rPr>
          <w:rFonts w:eastAsia="Arial Unicode MS"/>
          <w:szCs w:val="24"/>
          <w:lang w:val="es-ES_tradnl"/>
        </w:rPr>
        <w:t xml:space="preserve"> del Departamento de Financiamiento Estructurado y Corporativo (SCF) y el Departamento de Oportunidades para la Mayoría (OMJ), </w:t>
      </w:r>
      <w:r w:rsidR="00F00880" w:rsidRPr="00F00880">
        <w:rPr>
          <w:rFonts w:eastAsia="Arial Unicode MS"/>
          <w:szCs w:val="24"/>
          <w:lang w:val="es-ES_tradnl"/>
        </w:rPr>
        <w:t>proveerá un préstamo de hasta US$50 millones al Banco de Guayaquil (BG), que estará a cargo de desarrollar alianzas con diferentes empresas anclas del sector agroindustrial</w:t>
      </w:r>
      <w:r w:rsidR="00077C84">
        <w:rPr>
          <w:rFonts w:eastAsia="Arial Unicode MS"/>
          <w:szCs w:val="24"/>
          <w:lang w:val="es-ES_tradnl"/>
        </w:rPr>
        <w:t xml:space="preserve"> ecuatoriano</w:t>
      </w:r>
      <w:r w:rsidR="00F00880" w:rsidRPr="00F00880">
        <w:rPr>
          <w:rFonts w:eastAsia="Arial Unicode MS"/>
          <w:szCs w:val="24"/>
          <w:lang w:val="es-ES_tradnl"/>
        </w:rPr>
        <w:t>, utilizando así un canal alternativo para llegar a productores con limitado acceso a fuentes de financiamiento formal</w:t>
      </w:r>
      <w:r w:rsidR="00F00880">
        <w:rPr>
          <w:rFonts w:eastAsia="Arial Unicode MS"/>
          <w:szCs w:val="24"/>
          <w:lang w:val="es-ES_tradnl"/>
        </w:rPr>
        <w:t>.</w:t>
      </w:r>
    </w:p>
    <w:p w:rsidR="004107FC" w:rsidRDefault="004107FC" w:rsidP="00684193">
      <w:pPr>
        <w:pStyle w:val="Paragraph"/>
        <w:numPr>
          <w:ilvl w:val="0"/>
          <w:numId w:val="0"/>
        </w:numPr>
        <w:tabs>
          <w:tab w:val="left" w:pos="0"/>
          <w:tab w:val="num" w:pos="2952"/>
          <w:tab w:val="left" w:pos="9000"/>
        </w:tabs>
        <w:spacing w:before="0" w:after="0"/>
        <w:rPr>
          <w:rFonts w:eastAsia="Arial Unicode MS"/>
          <w:szCs w:val="24"/>
          <w:lang w:val="es-ES_tradnl"/>
        </w:rPr>
      </w:pPr>
    </w:p>
    <w:p w:rsidR="00770E9D" w:rsidRDefault="00F00880" w:rsidP="00307DEF">
      <w:pPr>
        <w:pStyle w:val="Paragraph"/>
        <w:numPr>
          <w:ilvl w:val="0"/>
          <w:numId w:val="0"/>
        </w:numPr>
        <w:tabs>
          <w:tab w:val="left" w:pos="0"/>
          <w:tab w:val="num" w:pos="1296"/>
          <w:tab w:val="num" w:pos="1980"/>
        </w:tabs>
        <w:spacing w:before="0" w:after="0"/>
        <w:rPr>
          <w:rFonts w:eastAsia="Arial Unicode MS"/>
          <w:szCs w:val="24"/>
          <w:lang w:val="es-ES_tradnl"/>
        </w:rPr>
      </w:pPr>
      <w:r w:rsidRPr="00307DEF">
        <w:rPr>
          <w:rFonts w:eastAsia="Arial Unicode MS"/>
          <w:szCs w:val="24"/>
          <w:lang w:val="es-ES_tradnl"/>
        </w:rPr>
        <w:t>La ejecuci</w:t>
      </w:r>
      <w:r w:rsidR="00B94C39" w:rsidRPr="00307DEF">
        <w:rPr>
          <w:rFonts w:eastAsia="Arial Unicode MS"/>
          <w:szCs w:val="24"/>
          <w:lang w:val="es-ES_tradnl"/>
        </w:rPr>
        <w:t>ón de este programa</w:t>
      </w:r>
      <w:r w:rsidRPr="00307DEF">
        <w:rPr>
          <w:rFonts w:eastAsia="Arial Unicode MS"/>
          <w:szCs w:val="24"/>
          <w:lang w:val="es-ES_tradnl"/>
        </w:rPr>
        <w:t xml:space="preserve"> permitirá a BG crear su primera línea de crédito exclusiva para el sector agroindustrial. El uso de fondos del préstamo BID estará dirigido para créditos de inversión </w:t>
      </w:r>
      <w:r w:rsidR="00075720" w:rsidRPr="00307DEF">
        <w:rPr>
          <w:rFonts w:eastAsia="Arial Unicode MS"/>
          <w:szCs w:val="24"/>
          <w:lang w:val="es-ES_tradnl"/>
        </w:rPr>
        <w:t xml:space="preserve">y capital de trabajo </w:t>
      </w:r>
      <w:r w:rsidRPr="00307DEF">
        <w:rPr>
          <w:rFonts w:eastAsia="Arial Unicode MS"/>
          <w:szCs w:val="24"/>
          <w:lang w:val="es-ES_tradnl"/>
        </w:rPr>
        <w:t>para pequeños y medianos productores. Las empresas anclas, además de compartir con BG la base de datos de sus proveedores con necesidades de financiamiento, proporcionará</w:t>
      </w:r>
      <w:r w:rsidR="004A7BDE" w:rsidRPr="00307DEF">
        <w:rPr>
          <w:rFonts w:eastAsia="Arial Unicode MS"/>
          <w:szCs w:val="24"/>
          <w:lang w:val="es-ES_tradnl"/>
        </w:rPr>
        <w:t>n</w:t>
      </w:r>
      <w:r w:rsidRPr="00307DEF">
        <w:rPr>
          <w:rFonts w:eastAsia="Arial Unicode MS"/>
          <w:szCs w:val="24"/>
          <w:lang w:val="es-ES_tradnl"/>
        </w:rPr>
        <w:t xml:space="preserve"> la información relacionada a cada ciclo productivo para que los términos y condiciones de los créditos otorgados por BG sean adecuados. </w:t>
      </w:r>
      <w:r w:rsidR="00077C84">
        <w:rPr>
          <w:rFonts w:eastAsia="Arial Unicode MS"/>
          <w:szCs w:val="24"/>
          <w:lang w:val="es-ES_tradnl"/>
        </w:rPr>
        <w:t>Además</w:t>
      </w:r>
      <w:r w:rsidRPr="00307DEF">
        <w:rPr>
          <w:rFonts w:eastAsia="Arial Unicode MS"/>
          <w:szCs w:val="24"/>
          <w:lang w:val="es-ES_tradnl"/>
        </w:rPr>
        <w:t xml:space="preserve">, </w:t>
      </w:r>
      <w:r w:rsidR="00B94C39" w:rsidRPr="00307DEF">
        <w:rPr>
          <w:rFonts w:eastAsia="Arial Unicode MS"/>
          <w:szCs w:val="24"/>
          <w:lang w:val="es-ES_tradnl"/>
        </w:rPr>
        <w:t>proveerán</w:t>
      </w:r>
      <w:r w:rsidRPr="00307DEF">
        <w:rPr>
          <w:rFonts w:eastAsia="Arial Unicode MS"/>
          <w:szCs w:val="24"/>
          <w:lang w:val="es-ES_tradnl"/>
        </w:rPr>
        <w:t xml:space="preserve"> asistencia técnica en temas de mejores prácticas de producción a los proveedores/productores que conforman su cadena de valor. </w:t>
      </w:r>
      <w:r w:rsidR="006A6E0F" w:rsidRPr="00307DEF">
        <w:rPr>
          <w:rFonts w:eastAsia="Arial Unicode MS"/>
          <w:szCs w:val="24"/>
          <w:lang w:val="es-ES_tradnl"/>
        </w:rPr>
        <w:t>De esta manera, se espera incrementar los niveles de productividad de pequeños y medianos productores a través del acceso al crédito y asistencia técnica.</w:t>
      </w:r>
      <w:r w:rsidR="00077C84">
        <w:rPr>
          <w:rFonts w:eastAsia="Arial Unicode MS"/>
          <w:szCs w:val="24"/>
          <w:lang w:val="es-ES_tradnl"/>
        </w:rPr>
        <w:t xml:space="preserve"> </w:t>
      </w:r>
    </w:p>
    <w:p w:rsidR="00770E9D" w:rsidRDefault="00770E9D" w:rsidP="00307DEF">
      <w:pPr>
        <w:pStyle w:val="Paragraph"/>
        <w:numPr>
          <w:ilvl w:val="0"/>
          <w:numId w:val="0"/>
        </w:numPr>
        <w:tabs>
          <w:tab w:val="left" w:pos="0"/>
          <w:tab w:val="num" w:pos="1296"/>
          <w:tab w:val="num" w:pos="1980"/>
        </w:tabs>
        <w:spacing w:before="0" w:after="0"/>
        <w:rPr>
          <w:rFonts w:eastAsia="Arial Unicode MS"/>
          <w:szCs w:val="24"/>
          <w:lang w:val="es-ES_tradnl"/>
        </w:rPr>
      </w:pPr>
    </w:p>
    <w:p w:rsidR="00307DEF" w:rsidRDefault="00F00880" w:rsidP="00307DEF">
      <w:pPr>
        <w:pStyle w:val="Paragraph"/>
        <w:numPr>
          <w:ilvl w:val="0"/>
          <w:numId w:val="0"/>
        </w:numPr>
        <w:tabs>
          <w:tab w:val="left" w:pos="0"/>
          <w:tab w:val="num" w:pos="1296"/>
          <w:tab w:val="num" w:pos="1980"/>
        </w:tabs>
        <w:spacing w:before="0" w:after="0"/>
        <w:rPr>
          <w:rFonts w:eastAsia="Arial Unicode MS"/>
          <w:szCs w:val="24"/>
          <w:lang w:val="es-ES_tradnl"/>
        </w:rPr>
      </w:pPr>
      <w:r w:rsidRPr="00F00880">
        <w:rPr>
          <w:rFonts w:eastAsia="Arial Unicode MS"/>
          <w:szCs w:val="24"/>
          <w:lang w:val="es-ES_tradnl"/>
        </w:rPr>
        <w:t xml:space="preserve">Los sectores de producción que se han identificado para ser apoyados potencialmente con la ejecución de este programa son los de maíz, </w:t>
      </w:r>
      <w:r w:rsidR="00075720">
        <w:rPr>
          <w:rFonts w:eastAsia="Arial Unicode MS"/>
          <w:szCs w:val="24"/>
          <w:lang w:val="es-ES_tradnl"/>
        </w:rPr>
        <w:t>cacao</w:t>
      </w:r>
      <w:r w:rsidRPr="00F00880">
        <w:rPr>
          <w:rFonts w:eastAsia="Arial Unicode MS"/>
          <w:szCs w:val="24"/>
          <w:lang w:val="es-ES_tradnl"/>
        </w:rPr>
        <w:t xml:space="preserve">, </w:t>
      </w:r>
      <w:r w:rsidR="00075720" w:rsidRPr="00F00880">
        <w:rPr>
          <w:rFonts w:eastAsia="Arial Unicode MS"/>
          <w:szCs w:val="24"/>
          <w:lang w:val="es-ES_tradnl"/>
        </w:rPr>
        <w:t xml:space="preserve">azúcar, aceite de palma, </w:t>
      </w:r>
      <w:r w:rsidRPr="00F00880">
        <w:rPr>
          <w:rFonts w:eastAsia="Arial Unicode MS"/>
          <w:szCs w:val="24"/>
          <w:lang w:val="es-ES_tradnl"/>
        </w:rPr>
        <w:t xml:space="preserve">lácteos y </w:t>
      </w:r>
      <w:r w:rsidRPr="00F00880">
        <w:rPr>
          <w:rFonts w:eastAsia="Arial Unicode MS"/>
          <w:szCs w:val="24"/>
          <w:lang w:val="es-ES_tradnl"/>
        </w:rPr>
        <w:lastRenderedPageBreak/>
        <w:t xml:space="preserve">carnes. </w:t>
      </w:r>
      <w:r w:rsidR="009E5B31">
        <w:rPr>
          <w:rFonts w:eastAsia="Arial Unicode MS"/>
          <w:szCs w:val="24"/>
          <w:lang w:val="es-ES_tradnl"/>
        </w:rPr>
        <w:t xml:space="preserve">Se espera que BG desarrolle alianzas con empresas agroindustriales, cuyas operaciones se enfocan en los sectores arriba mencionados. </w:t>
      </w:r>
      <w:r w:rsidRPr="00F00880">
        <w:rPr>
          <w:rFonts w:eastAsia="Arial Unicode MS"/>
          <w:szCs w:val="24"/>
          <w:lang w:val="es-ES_tradnl"/>
        </w:rPr>
        <w:t>BG está en proceso de desarrollar su primera alianza con La Fabril S.A</w:t>
      </w:r>
      <w:r w:rsidR="00203321">
        <w:rPr>
          <w:rFonts w:eastAsia="Arial Unicode MS"/>
          <w:szCs w:val="24"/>
          <w:lang w:val="es-ES_tradnl"/>
        </w:rPr>
        <w:t>. (La Fabril)</w:t>
      </w:r>
      <w:r w:rsidRPr="00F00880">
        <w:rPr>
          <w:rFonts w:eastAsia="Arial Unicode MS"/>
          <w:szCs w:val="24"/>
          <w:lang w:val="es-ES_tradnl"/>
        </w:rPr>
        <w:t xml:space="preserve">, empresa agroindustrial refinadora de aceites y grasas vegetales. A través de esta alianza se plantea proveer financiamiento de capital de trabajo para los pequeños productores de palma que son proveedores de la Extractora Agrícola Rio Manso de La Fabril. El acceso a financiamiento permitirá a estos </w:t>
      </w:r>
      <w:proofErr w:type="spellStart"/>
      <w:r w:rsidRPr="00F00880">
        <w:rPr>
          <w:rFonts w:eastAsia="Arial Unicode MS"/>
          <w:szCs w:val="24"/>
          <w:lang w:val="es-ES_tradnl"/>
        </w:rPr>
        <w:t>palmicultores</w:t>
      </w:r>
      <w:proofErr w:type="spellEnd"/>
      <w:r w:rsidRPr="00F00880">
        <w:rPr>
          <w:rFonts w:eastAsia="Arial Unicode MS"/>
          <w:szCs w:val="24"/>
          <w:lang w:val="es-ES_tradnl"/>
        </w:rPr>
        <w:t xml:space="preserve"> renovar y/o incrementar las áreas de siembra de palma. Adicionalmente, a través de la utilización del excedente de producción de palma para la fabricación de biodiesel, La Fabril le permitirá al </w:t>
      </w:r>
      <w:proofErr w:type="spellStart"/>
      <w:r w:rsidRPr="00F00880">
        <w:rPr>
          <w:rFonts w:eastAsia="Arial Unicode MS"/>
          <w:szCs w:val="24"/>
          <w:lang w:val="es-ES_tradnl"/>
        </w:rPr>
        <w:t>palmicultor</w:t>
      </w:r>
      <w:proofErr w:type="spellEnd"/>
      <w:r w:rsidRPr="00F00880">
        <w:rPr>
          <w:rFonts w:eastAsia="Arial Unicode MS"/>
          <w:szCs w:val="24"/>
          <w:lang w:val="es-ES_tradnl"/>
        </w:rPr>
        <w:t xml:space="preserve"> incrementar su nivel de ventas y a la vez se crea un producto de valor agregado que contribuirá a incrementar la oferta de combustible renovable en el Ecuador. </w:t>
      </w:r>
    </w:p>
    <w:p w:rsidR="00307DEF" w:rsidRDefault="00307DEF" w:rsidP="00307DEF">
      <w:pPr>
        <w:pStyle w:val="Paragraph"/>
        <w:numPr>
          <w:ilvl w:val="0"/>
          <w:numId w:val="0"/>
        </w:numPr>
        <w:tabs>
          <w:tab w:val="left" w:pos="0"/>
          <w:tab w:val="num" w:pos="1296"/>
          <w:tab w:val="num" w:pos="1980"/>
        </w:tabs>
        <w:spacing w:before="0" w:after="0"/>
        <w:rPr>
          <w:rFonts w:eastAsia="Arial Unicode MS"/>
          <w:szCs w:val="24"/>
          <w:lang w:val="es-ES_tradnl"/>
        </w:rPr>
      </w:pPr>
    </w:p>
    <w:p w:rsidR="004A7BDE" w:rsidRPr="003E4B59" w:rsidRDefault="006118F2" w:rsidP="00307DEF">
      <w:pPr>
        <w:pStyle w:val="Paragraph"/>
        <w:numPr>
          <w:ilvl w:val="0"/>
          <w:numId w:val="0"/>
        </w:numPr>
        <w:tabs>
          <w:tab w:val="left" w:pos="0"/>
          <w:tab w:val="num" w:pos="1296"/>
          <w:tab w:val="num" w:pos="1980"/>
        </w:tabs>
        <w:spacing w:before="0" w:after="0"/>
        <w:rPr>
          <w:szCs w:val="24"/>
          <w:lang w:val="es-ES"/>
        </w:rPr>
      </w:pPr>
      <w:r w:rsidRPr="00670675">
        <w:rPr>
          <w:rFonts w:eastAsia="Arial Unicode MS"/>
          <w:szCs w:val="24"/>
          <w:lang w:val="es-ES_tradnl"/>
        </w:rPr>
        <w:t>Esta alianza es un medio eficaz para llevar a cabo las prioridades diseñadas en el Noveno Aumento General de Capital del BID (CGI-9), entre las que se encuentra</w:t>
      </w:r>
      <w:r w:rsidR="004A7BDE" w:rsidRPr="00670675">
        <w:rPr>
          <w:rFonts w:eastAsia="Arial Unicode MS"/>
          <w:szCs w:val="24"/>
          <w:lang w:val="es-ES_tradnl"/>
        </w:rPr>
        <w:t>n</w:t>
      </w:r>
      <w:r w:rsidRPr="00670675">
        <w:rPr>
          <w:rFonts w:eastAsia="Arial Unicode MS"/>
          <w:szCs w:val="24"/>
          <w:lang w:val="es-ES_tradnl"/>
        </w:rPr>
        <w:t xml:space="preserve"> la </w:t>
      </w:r>
      <w:r w:rsidR="004A7BDE" w:rsidRPr="00670675">
        <w:rPr>
          <w:szCs w:val="24"/>
          <w:lang w:val="es-ES"/>
        </w:rPr>
        <w:t>reducción de pobreza y</w:t>
      </w:r>
      <w:r w:rsidR="00077C84" w:rsidRPr="00670675">
        <w:rPr>
          <w:szCs w:val="24"/>
          <w:lang w:val="es-ES"/>
        </w:rPr>
        <w:t xml:space="preserve"> el</w:t>
      </w:r>
      <w:r w:rsidR="004A7BDE" w:rsidRPr="00670675">
        <w:rPr>
          <w:szCs w:val="24"/>
          <w:lang w:val="es-ES"/>
        </w:rPr>
        <w:t xml:space="preserve"> aumento de </w:t>
      </w:r>
      <w:r w:rsidR="00077C84" w:rsidRPr="00670675">
        <w:rPr>
          <w:szCs w:val="24"/>
          <w:lang w:val="es-ES"/>
        </w:rPr>
        <w:t xml:space="preserve">la </w:t>
      </w:r>
      <w:r w:rsidR="004A7BDE" w:rsidRPr="00670675">
        <w:rPr>
          <w:szCs w:val="24"/>
          <w:lang w:val="es-ES"/>
        </w:rPr>
        <w:t>equidad, en particular con el incremento de la proporción de préstamos para los países pequeños y vulnerables</w:t>
      </w:r>
      <w:r w:rsidRPr="00670675">
        <w:rPr>
          <w:rFonts w:eastAsia="Arial Unicode MS"/>
          <w:szCs w:val="24"/>
          <w:lang w:val="es-ES_tradnl"/>
        </w:rPr>
        <w:t xml:space="preserve">. Asimismo, responde a la Estrategia de País del BID para </w:t>
      </w:r>
      <w:r w:rsidR="008135C7" w:rsidRPr="00670675">
        <w:rPr>
          <w:rFonts w:eastAsia="Arial Unicode MS"/>
          <w:szCs w:val="24"/>
          <w:lang w:val="es-ES_tradnl"/>
        </w:rPr>
        <w:t xml:space="preserve">el </w:t>
      </w:r>
      <w:r w:rsidR="004A7BDE" w:rsidRPr="00670675">
        <w:rPr>
          <w:szCs w:val="24"/>
          <w:lang w:val="es-ES"/>
        </w:rPr>
        <w:t xml:space="preserve">Ecuador 2012-2017 (GN-2680) donde se menciona la importancia de la participación de las ventanillas del sector privado del BID en el sector rural a través de proyectos que fortalezcan la integración de pequeños productores en las cadenas productivas para mercados tanto nacionales como de exportación. </w:t>
      </w:r>
      <w:r w:rsidR="004A7BDE" w:rsidRPr="00670675">
        <w:rPr>
          <w:rFonts w:eastAsia="Calibri"/>
          <w:szCs w:val="24"/>
          <w:lang w:val="es-ES"/>
        </w:rPr>
        <w:t xml:space="preserve">El financiamiento </w:t>
      </w:r>
      <w:r w:rsidR="004A7BDE" w:rsidRPr="00670675">
        <w:rPr>
          <w:szCs w:val="24"/>
          <w:lang w:val="es-ES"/>
        </w:rPr>
        <w:t>responde</w:t>
      </w:r>
      <w:r w:rsidR="004A7BDE" w:rsidRPr="00670675">
        <w:rPr>
          <w:rFonts w:eastAsia="Calibri"/>
          <w:szCs w:val="24"/>
          <w:lang w:val="es-ES"/>
        </w:rPr>
        <w:t xml:space="preserve"> al enunciado de misión </w:t>
      </w:r>
      <w:r w:rsidR="00077C84" w:rsidRPr="00670675">
        <w:rPr>
          <w:rFonts w:eastAsia="Calibri"/>
          <w:szCs w:val="24"/>
          <w:lang w:val="es-ES"/>
        </w:rPr>
        <w:t xml:space="preserve">de </w:t>
      </w:r>
      <w:r w:rsidR="004A7BDE" w:rsidRPr="00670675">
        <w:rPr>
          <w:rFonts w:eastAsia="Calibri"/>
          <w:szCs w:val="24"/>
          <w:lang w:val="es-ES"/>
        </w:rPr>
        <w:t xml:space="preserve">SCF de crear oportunidades para las generaciones actuales y futuras de </w:t>
      </w:r>
      <w:r w:rsidR="00077C84" w:rsidRPr="00670675">
        <w:rPr>
          <w:rFonts w:eastAsia="Calibri"/>
          <w:szCs w:val="24"/>
          <w:lang w:val="es-ES"/>
        </w:rPr>
        <w:t xml:space="preserve">América Latina y el Caribe </w:t>
      </w:r>
      <w:r w:rsidR="004A7BDE" w:rsidRPr="00670675">
        <w:rPr>
          <w:rFonts w:eastAsia="Calibri"/>
          <w:szCs w:val="24"/>
          <w:lang w:val="es-ES"/>
        </w:rPr>
        <w:t>mediante inversiones sostenibles en el sector privado; y a su visión de apoyar las necesidades de financiamiento de 700</w:t>
      </w:r>
      <w:r w:rsidR="0024747F" w:rsidRPr="00670675">
        <w:rPr>
          <w:rFonts w:eastAsia="Calibri"/>
          <w:szCs w:val="24"/>
          <w:lang w:val="es-ES"/>
        </w:rPr>
        <w:t>.</w:t>
      </w:r>
      <w:r w:rsidR="004A7BDE" w:rsidRPr="00670675">
        <w:rPr>
          <w:rFonts w:eastAsia="Calibri"/>
          <w:szCs w:val="24"/>
          <w:lang w:val="es-ES"/>
        </w:rPr>
        <w:t xml:space="preserve">000 MIPYME para 2015, lo que también coincide con el pilar </w:t>
      </w:r>
      <w:r w:rsidR="004A7BDE" w:rsidRPr="00670675">
        <w:rPr>
          <w:rFonts w:eastAsia="Calibri"/>
          <w:i/>
          <w:szCs w:val="24"/>
          <w:lang w:val="es-ES"/>
        </w:rPr>
        <w:t xml:space="preserve">accessBanking </w:t>
      </w:r>
      <w:r w:rsidR="004A7BDE" w:rsidRPr="00670675">
        <w:rPr>
          <w:rFonts w:eastAsia="Calibri"/>
          <w:szCs w:val="24"/>
          <w:lang w:val="es-ES"/>
        </w:rPr>
        <w:t xml:space="preserve">de la estrategia </w:t>
      </w:r>
      <w:r w:rsidR="004A7BDE" w:rsidRPr="00670675">
        <w:rPr>
          <w:rFonts w:eastAsia="Calibri"/>
          <w:i/>
          <w:szCs w:val="24"/>
          <w:lang w:val="es-ES"/>
        </w:rPr>
        <w:t>beyondBanking</w:t>
      </w:r>
      <w:r w:rsidR="004A7BDE" w:rsidRPr="00670675">
        <w:rPr>
          <w:rFonts w:eastAsia="Calibri"/>
          <w:szCs w:val="24"/>
          <w:lang w:val="es-ES"/>
        </w:rPr>
        <w:t xml:space="preserve">, </w:t>
      </w:r>
      <w:r w:rsidR="008135C7" w:rsidRPr="00670675">
        <w:rPr>
          <w:rFonts w:eastAsia="Calibri"/>
          <w:szCs w:val="24"/>
          <w:lang w:val="es-ES"/>
        </w:rPr>
        <w:t xml:space="preserve">que busca impulsar </w:t>
      </w:r>
      <w:r w:rsidR="00670675">
        <w:rPr>
          <w:rFonts w:eastAsia="Calibri"/>
          <w:szCs w:val="24"/>
          <w:lang w:val="es-ES"/>
        </w:rPr>
        <w:t>la</w:t>
      </w:r>
      <w:r w:rsidR="008135C7" w:rsidRPr="00670675">
        <w:rPr>
          <w:rFonts w:eastAsia="Calibri"/>
          <w:szCs w:val="24"/>
          <w:lang w:val="es-ES"/>
        </w:rPr>
        <w:t xml:space="preserve"> inclusión financiera en la región</w:t>
      </w:r>
      <w:r w:rsidR="004A7BDE" w:rsidRPr="00670675">
        <w:rPr>
          <w:rFonts w:eastAsia="Calibri"/>
          <w:szCs w:val="24"/>
          <w:lang w:val="es-ES"/>
        </w:rPr>
        <w:t>.</w:t>
      </w:r>
      <w:r w:rsidR="004A7BDE" w:rsidRPr="00670675">
        <w:rPr>
          <w:szCs w:val="24"/>
          <w:lang w:val="es-ES"/>
        </w:rPr>
        <w:t xml:space="preserve"> Esta operación también está en línea con la iniciativa de OMJ porque: (i) facilita el acceso a financiamiento a pequeños productores de la </w:t>
      </w:r>
      <w:r w:rsidR="006A6E0F" w:rsidRPr="00670675">
        <w:rPr>
          <w:szCs w:val="24"/>
          <w:lang w:val="es-ES"/>
        </w:rPr>
        <w:t>Base de la Pirámide (</w:t>
      </w:r>
      <w:proofErr w:type="spellStart"/>
      <w:r w:rsidR="004A7BDE" w:rsidRPr="00670675">
        <w:rPr>
          <w:szCs w:val="24"/>
          <w:lang w:val="es-ES"/>
        </w:rPr>
        <w:t>BdP</w:t>
      </w:r>
      <w:proofErr w:type="spellEnd"/>
      <w:r w:rsidR="006A6E0F" w:rsidRPr="00670675">
        <w:rPr>
          <w:szCs w:val="24"/>
          <w:lang w:val="es-ES"/>
        </w:rPr>
        <w:t>)</w:t>
      </w:r>
      <w:r w:rsidR="004A7BDE" w:rsidRPr="00670675">
        <w:rPr>
          <w:szCs w:val="24"/>
          <w:lang w:val="es-ES"/>
        </w:rPr>
        <w:t xml:space="preserve"> que de otra manera no sería factible debido a que carecen de historial crediticio y/o no tienen garantías suficiente; (ii) es innovador</w:t>
      </w:r>
      <w:r w:rsidR="008135C7" w:rsidRPr="00670675">
        <w:rPr>
          <w:szCs w:val="24"/>
          <w:lang w:val="es-ES"/>
        </w:rPr>
        <w:t>,</w:t>
      </w:r>
      <w:r w:rsidR="004A7BDE" w:rsidRPr="00670675">
        <w:rPr>
          <w:szCs w:val="24"/>
          <w:lang w:val="es-ES"/>
        </w:rPr>
        <w:t xml:space="preserve"> ya que promueve el desarrollo de canales alternativos de acceso a financiamiento aprovechando la plataforma de empresas anclas en el sector agroindustrial; y (i</w:t>
      </w:r>
      <w:r w:rsidR="008135C7" w:rsidRPr="00670675">
        <w:rPr>
          <w:szCs w:val="24"/>
          <w:lang w:val="es-ES"/>
        </w:rPr>
        <w:t>ii</w:t>
      </w:r>
      <w:r w:rsidR="004A7BDE" w:rsidRPr="00670675">
        <w:rPr>
          <w:szCs w:val="24"/>
          <w:lang w:val="es-ES"/>
        </w:rPr>
        <w:t xml:space="preserve">) es un modelo que tiene el potencial de ser replicado y escalado por otros bancos en </w:t>
      </w:r>
      <w:r w:rsidR="008135C7" w:rsidRPr="00670675">
        <w:rPr>
          <w:szCs w:val="24"/>
          <w:lang w:val="es-ES"/>
        </w:rPr>
        <w:t xml:space="preserve">el </w:t>
      </w:r>
      <w:r w:rsidR="004A7BDE" w:rsidRPr="00670675">
        <w:rPr>
          <w:szCs w:val="24"/>
          <w:lang w:val="es-ES"/>
        </w:rPr>
        <w:t>Ecuador y en otros países de la Región.</w:t>
      </w:r>
    </w:p>
    <w:p w:rsidR="004A7BDE" w:rsidRPr="00DC06AC" w:rsidRDefault="004A7BDE" w:rsidP="00307DEF">
      <w:pPr>
        <w:pStyle w:val="Paragraph"/>
        <w:numPr>
          <w:ilvl w:val="0"/>
          <w:numId w:val="0"/>
        </w:numPr>
        <w:tabs>
          <w:tab w:val="left" w:pos="0"/>
        </w:tabs>
        <w:spacing w:before="0" w:after="60"/>
        <w:rPr>
          <w:szCs w:val="24"/>
          <w:lang w:val="es-ES"/>
        </w:rPr>
      </w:pPr>
    </w:p>
    <w:p w:rsidR="004A7BDE" w:rsidRDefault="004A7BDE" w:rsidP="00307DEF">
      <w:pPr>
        <w:pStyle w:val="Paragraph"/>
        <w:numPr>
          <w:ilvl w:val="0"/>
          <w:numId w:val="0"/>
        </w:numPr>
        <w:tabs>
          <w:tab w:val="left" w:pos="0"/>
          <w:tab w:val="num" w:pos="1296"/>
          <w:tab w:val="num" w:pos="1980"/>
        </w:tabs>
        <w:spacing w:before="0" w:after="0"/>
        <w:rPr>
          <w:szCs w:val="24"/>
          <w:lang w:val="es-ES"/>
        </w:rPr>
      </w:pPr>
    </w:p>
    <w:p w:rsidR="004A7BDE" w:rsidRDefault="004A7BDE" w:rsidP="00307DEF">
      <w:pPr>
        <w:pStyle w:val="Paragraph"/>
        <w:numPr>
          <w:ilvl w:val="0"/>
          <w:numId w:val="0"/>
        </w:numPr>
        <w:tabs>
          <w:tab w:val="left" w:pos="0"/>
          <w:tab w:val="num" w:pos="1296"/>
          <w:tab w:val="num" w:pos="1980"/>
        </w:tabs>
        <w:spacing w:before="0" w:after="0"/>
        <w:rPr>
          <w:szCs w:val="24"/>
          <w:lang w:val="es-ES"/>
        </w:rPr>
      </w:pPr>
    </w:p>
    <w:p w:rsidR="00FA03B8" w:rsidRPr="009E5B31" w:rsidRDefault="00FA03B8">
      <w:pPr>
        <w:rPr>
          <w:lang w:val="es-ES"/>
        </w:rPr>
      </w:pPr>
    </w:p>
    <w:sectPr w:rsidR="00FA03B8" w:rsidRPr="009E5B31" w:rsidSect="00DE76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2D" w:rsidRDefault="003D182D" w:rsidP="004107FC">
      <w:pPr>
        <w:spacing w:after="0" w:line="240" w:lineRule="auto"/>
      </w:pPr>
      <w:r>
        <w:separator/>
      </w:r>
    </w:p>
  </w:endnote>
  <w:endnote w:type="continuationSeparator" w:id="0">
    <w:p w:rsidR="003D182D" w:rsidRDefault="003D182D" w:rsidP="004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2D" w:rsidRDefault="003D182D" w:rsidP="004107FC">
      <w:pPr>
        <w:spacing w:after="0" w:line="240" w:lineRule="auto"/>
      </w:pPr>
      <w:r>
        <w:separator/>
      </w:r>
    </w:p>
  </w:footnote>
  <w:footnote w:type="continuationSeparator" w:id="0">
    <w:p w:rsidR="003D182D" w:rsidRDefault="003D182D" w:rsidP="004107FC">
      <w:pPr>
        <w:spacing w:after="0" w:line="240" w:lineRule="auto"/>
      </w:pPr>
      <w:r>
        <w:continuationSeparator/>
      </w:r>
    </w:p>
  </w:footnote>
  <w:footnote w:id="1">
    <w:p w:rsidR="006118F2" w:rsidRPr="00C50686" w:rsidRDefault="006118F2" w:rsidP="006118F2">
      <w:pPr>
        <w:pStyle w:val="FootnoteText"/>
        <w:ind w:left="360" w:hanging="360"/>
        <w:jc w:val="both"/>
        <w:rPr>
          <w:lang w:val="es-ES_tradnl"/>
        </w:rPr>
      </w:pPr>
      <w:r w:rsidRPr="00C50686">
        <w:rPr>
          <w:rStyle w:val="FootnoteReference"/>
        </w:rPr>
        <w:footnoteRef/>
      </w:r>
      <w:r w:rsidRPr="00C50686">
        <w:rPr>
          <w:lang w:val="es-ES_tradnl"/>
        </w:rPr>
        <w:t xml:space="preserve"> </w:t>
      </w:r>
      <w:r w:rsidRPr="00C50686">
        <w:rPr>
          <w:lang w:val="es-ES_tradnl"/>
        </w:rPr>
        <w:tab/>
        <w:t>BCE,</w:t>
      </w:r>
      <w:r w:rsidRPr="00C50686">
        <w:rPr>
          <w:lang w:val="es-ES"/>
        </w:rPr>
        <w:t xml:space="preserve"> </w:t>
      </w:r>
      <w:hyperlink r:id="rId1" w:history="1">
        <w:r w:rsidRPr="00C50686">
          <w:rPr>
            <w:rStyle w:val="Hyperlink"/>
            <w:lang w:val="es-ES"/>
          </w:rPr>
          <w:t>http://contenido.bce.fin.ec/home1/estadisticas/bolmensual/IEMensual.jsp</w:t>
        </w:r>
      </w:hyperlink>
      <w:r w:rsidRPr="00C50686">
        <w:rPr>
          <w:lang w:val="es-ES_tradnl"/>
        </w:rPr>
        <w:t>. Tabla 4.3.2 PIB por Industria.</w:t>
      </w:r>
    </w:p>
  </w:footnote>
  <w:footnote w:id="2">
    <w:p w:rsidR="006118F2" w:rsidRPr="00C50686" w:rsidRDefault="006118F2" w:rsidP="006118F2">
      <w:pPr>
        <w:pStyle w:val="FootnoteText"/>
        <w:ind w:left="360" w:hanging="360"/>
        <w:jc w:val="both"/>
        <w:rPr>
          <w:lang w:val="es-ES_tradnl"/>
        </w:rPr>
      </w:pPr>
      <w:r w:rsidRPr="00C50686">
        <w:rPr>
          <w:rStyle w:val="FootnoteReference"/>
        </w:rPr>
        <w:footnoteRef/>
      </w:r>
      <w:r w:rsidRPr="00C50686">
        <w:rPr>
          <w:lang w:val="es-ES_tradnl"/>
        </w:rPr>
        <w:t xml:space="preserve"> </w:t>
      </w:r>
      <w:r w:rsidRPr="00C50686">
        <w:rPr>
          <w:lang w:val="es-ES_tradnl"/>
        </w:rPr>
        <w:tab/>
        <w:t>Banco Central del Ecuador, Estadísticas 2012</w:t>
      </w:r>
      <w:r>
        <w:rPr>
          <w:lang w:val="es-ES_tradnl"/>
        </w:rPr>
        <w:t>.</w:t>
      </w:r>
      <w:r w:rsidRPr="00C50686">
        <w:rPr>
          <w:lang w:val="es-ES_tradnl"/>
        </w:rPr>
        <w:t xml:space="preserve"> </w:t>
      </w:r>
    </w:p>
  </w:footnote>
  <w:footnote w:id="3">
    <w:p w:rsidR="006118F2" w:rsidRPr="00C50686" w:rsidRDefault="006118F2" w:rsidP="006118F2">
      <w:pPr>
        <w:pStyle w:val="FootnoteText"/>
        <w:ind w:left="360" w:hanging="360"/>
        <w:jc w:val="both"/>
        <w:rPr>
          <w:lang w:val="es-ES_tradnl"/>
        </w:rPr>
      </w:pPr>
      <w:r w:rsidRPr="00C50686">
        <w:rPr>
          <w:rStyle w:val="FootnoteReference"/>
        </w:rPr>
        <w:footnoteRef/>
      </w:r>
      <w:r w:rsidRPr="00C50686">
        <w:rPr>
          <w:lang w:val="es-ES_tradnl"/>
        </w:rPr>
        <w:t xml:space="preserve"> </w:t>
      </w:r>
      <w:r w:rsidRPr="00C50686">
        <w:rPr>
          <w:lang w:val="es-ES_tradnl"/>
        </w:rPr>
        <w:tab/>
        <w:t>INEC, 2004.</w:t>
      </w:r>
    </w:p>
    <w:p w:rsidR="006118F2" w:rsidRPr="00C50686" w:rsidRDefault="00AC728B" w:rsidP="006118F2">
      <w:pPr>
        <w:pStyle w:val="FootnoteText"/>
        <w:ind w:left="360"/>
        <w:jc w:val="both"/>
        <w:rPr>
          <w:lang w:val="es-ES_tradnl"/>
        </w:rPr>
      </w:pPr>
      <w:hyperlink r:id="rId2" w:history="1">
        <w:r w:rsidR="006118F2" w:rsidRPr="00C50686">
          <w:rPr>
            <w:rStyle w:val="Hyperlink"/>
            <w:lang w:val="es-ES_tradnl"/>
          </w:rPr>
          <w:t>http://www.inec.gob.ec/inec/index.php?option=com_remository&amp;func=fileinfo&amp;id=945&amp;Itemid=420&amp;lang=es</w:t>
        </w:r>
      </w:hyperlink>
    </w:p>
  </w:footnote>
  <w:footnote w:id="4">
    <w:p w:rsidR="006118F2" w:rsidRPr="00C50686" w:rsidRDefault="006118F2" w:rsidP="006118F2">
      <w:pPr>
        <w:pStyle w:val="FootnoteText"/>
        <w:ind w:left="360" w:hanging="360"/>
        <w:jc w:val="both"/>
        <w:rPr>
          <w:lang w:val="es-ES_tradnl"/>
        </w:rPr>
      </w:pPr>
      <w:r w:rsidRPr="00C50686">
        <w:rPr>
          <w:rStyle w:val="FootnoteReference"/>
        </w:rPr>
        <w:footnoteRef/>
      </w:r>
      <w:r w:rsidRPr="00C50686">
        <w:rPr>
          <w:lang w:val="es-ES_tradnl"/>
        </w:rPr>
        <w:t xml:space="preserve"> </w:t>
      </w:r>
      <w:r w:rsidRPr="00C50686">
        <w:rPr>
          <w:lang w:val="es-ES_tradnl"/>
        </w:rPr>
        <w:tab/>
        <w:t>Estrategia País Ecuador 2012-2017(dato económico del 2010)</w:t>
      </w:r>
      <w:r>
        <w:rPr>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D35AD894"/>
    <w:lvl w:ilvl="0">
      <w:start w:val="1"/>
      <w:numFmt w:val="upperRoman"/>
      <w:lvlRestart w:val="0"/>
      <w:pStyle w:val="Chapter"/>
      <w:lvlText w:val="%1."/>
      <w:lvlJc w:val="center"/>
      <w:pPr>
        <w:tabs>
          <w:tab w:val="num" w:pos="3240"/>
        </w:tabs>
        <w:ind w:left="2592" w:firstLine="288"/>
      </w:pPr>
      <w:rPr>
        <w:b/>
        <w:i w:val="0"/>
      </w:rPr>
    </w:lvl>
    <w:lvl w:ilvl="1">
      <w:start w:val="1"/>
      <w:numFmt w:val="decimal"/>
      <w:pStyle w:val="Paragraph"/>
      <w:isLgl/>
      <w:lvlText w:val="%1.%2"/>
      <w:lvlJc w:val="left"/>
      <w:pPr>
        <w:tabs>
          <w:tab w:val="num" w:pos="8136"/>
        </w:tabs>
        <w:ind w:left="8136" w:hanging="1296"/>
      </w:pPr>
      <w:rPr>
        <w:b w:val="0"/>
      </w:rPr>
    </w:lvl>
    <w:lvl w:ilvl="2">
      <w:start w:val="1"/>
      <w:numFmt w:val="lowerLetter"/>
      <w:pStyle w:val="subpar"/>
      <w:lvlText w:val="%3."/>
      <w:lvlJc w:val="left"/>
      <w:pPr>
        <w:tabs>
          <w:tab w:val="num" w:pos="2484"/>
        </w:tabs>
        <w:ind w:left="2484" w:hanging="432"/>
      </w:pPr>
      <w:rPr>
        <w:lang w:val="es-ES"/>
      </w:rPr>
    </w:lvl>
    <w:lvl w:ilvl="3">
      <w:start w:val="1"/>
      <w:numFmt w:val="lowerRoman"/>
      <w:pStyle w:val="SubSubPar"/>
      <w:lvlText w:val="%4."/>
      <w:lvlJc w:val="right"/>
      <w:pPr>
        <w:tabs>
          <w:tab w:val="num" w:pos="2916"/>
        </w:tabs>
        <w:ind w:left="2916" w:hanging="288"/>
      </w:pPr>
    </w:lvl>
    <w:lvl w:ilvl="4">
      <w:start w:val="1"/>
      <w:numFmt w:val="decimal"/>
      <w:lvlText w:val="%1.%2.%3.%4.%5"/>
      <w:lvlJc w:val="left"/>
      <w:pPr>
        <w:ind w:left="2340" w:hanging="1008"/>
      </w:pPr>
    </w:lvl>
    <w:lvl w:ilvl="5">
      <w:start w:val="1"/>
      <w:numFmt w:val="decimal"/>
      <w:lvlText w:val="%1.%2.%3.%4.%5.%6"/>
      <w:lvlJc w:val="left"/>
      <w:pPr>
        <w:ind w:left="2484" w:hanging="1152"/>
      </w:pPr>
    </w:lvl>
    <w:lvl w:ilvl="6">
      <w:start w:val="1"/>
      <w:numFmt w:val="decimal"/>
      <w:lvlText w:val="%1.%2.%3.%4.%5.%6.%7"/>
      <w:lvlJc w:val="left"/>
      <w:pPr>
        <w:ind w:left="2628" w:hanging="1296"/>
      </w:pPr>
    </w:lvl>
    <w:lvl w:ilvl="7">
      <w:start w:val="1"/>
      <w:numFmt w:val="decimal"/>
      <w:lvlText w:val="%1.%2.%3.%4.%5.%6.%7.%8"/>
      <w:lvlJc w:val="left"/>
      <w:pPr>
        <w:ind w:left="2772" w:hanging="1440"/>
      </w:pPr>
    </w:lvl>
    <w:lvl w:ilvl="8">
      <w:start w:val="1"/>
      <w:numFmt w:val="decimal"/>
      <w:lvlText w:val="%1.%2.%3.%4.%5.%6.%7.%8.%9"/>
      <w:lvlJc w:val="left"/>
      <w:pPr>
        <w:ind w:left="2916"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93"/>
    <w:rsid w:val="00075720"/>
    <w:rsid w:val="00077C84"/>
    <w:rsid w:val="00203321"/>
    <w:rsid w:val="0024747F"/>
    <w:rsid w:val="00307DEF"/>
    <w:rsid w:val="003D182D"/>
    <w:rsid w:val="004107FC"/>
    <w:rsid w:val="004A7BDE"/>
    <w:rsid w:val="005B55C1"/>
    <w:rsid w:val="006118F2"/>
    <w:rsid w:val="00670675"/>
    <w:rsid w:val="00684193"/>
    <w:rsid w:val="006A6E0F"/>
    <w:rsid w:val="00770E9D"/>
    <w:rsid w:val="008135C7"/>
    <w:rsid w:val="00886579"/>
    <w:rsid w:val="008E5B01"/>
    <w:rsid w:val="00955172"/>
    <w:rsid w:val="009E364D"/>
    <w:rsid w:val="009E5B31"/>
    <w:rsid w:val="00A92CC5"/>
    <w:rsid w:val="00AC728B"/>
    <w:rsid w:val="00B94C39"/>
    <w:rsid w:val="00CE69FE"/>
    <w:rsid w:val="00DE7625"/>
    <w:rsid w:val="00E8456D"/>
    <w:rsid w:val="00EE5AFA"/>
    <w:rsid w:val="00F00880"/>
    <w:rsid w:val="00FA03B8"/>
    <w:rsid w:val="00FD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Desc">
    <w:name w:val="AbbrDesc"/>
    <w:basedOn w:val="Normal"/>
    <w:rsid w:val="00684193"/>
    <w:pPr>
      <w:tabs>
        <w:tab w:val="left" w:pos="3060"/>
      </w:tabs>
      <w:spacing w:after="0" w:line="240" w:lineRule="auto"/>
      <w:jc w:val="both"/>
    </w:pPr>
    <w:rPr>
      <w:rFonts w:ascii="Times New Roman" w:eastAsia="Times New Roman" w:hAnsi="Times New Roman" w:cs="Times New Roman"/>
      <w:sz w:val="24"/>
      <w:szCs w:val="20"/>
    </w:rPr>
  </w:style>
  <w:style w:type="paragraph" w:customStyle="1" w:styleId="Chapter">
    <w:name w:val="Chapter"/>
    <w:basedOn w:val="Normal"/>
    <w:next w:val="Normal"/>
    <w:rsid w:val="00684193"/>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x-none" w:eastAsia="x-none"/>
    </w:rPr>
  </w:style>
  <w:style w:type="paragraph" w:customStyle="1" w:styleId="Paragraph">
    <w:name w:val="Paragraph"/>
    <w:aliases w:val="p,PARAGRAPH,PG,pa,at,paragraph"/>
    <w:basedOn w:val="BodyTextIndent"/>
    <w:link w:val="ParagraphChar"/>
    <w:rsid w:val="00684193"/>
    <w:pPr>
      <w:numPr>
        <w:ilvl w:val="1"/>
        <w:numId w:val="1"/>
      </w:numPr>
      <w:spacing w:before="120" w:line="240" w:lineRule="auto"/>
      <w:jc w:val="both"/>
      <w:outlineLvl w:val="1"/>
    </w:pPr>
    <w:rPr>
      <w:rFonts w:ascii="Times New Roman" w:eastAsia="Times New Roman" w:hAnsi="Times New Roman" w:cs="Times New Roman"/>
      <w:sz w:val="24"/>
      <w:szCs w:val="20"/>
      <w:lang w:val="x-none" w:eastAsia="x-none"/>
    </w:rPr>
  </w:style>
  <w:style w:type="paragraph" w:customStyle="1" w:styleId="subpar">
    <w:name w:val="subpar"/>
    <w:basedOn w:val="BodyTextIndent3"/>
    <w:rsid w:val="00684193"/>
    <w:pPr>
      <w:numPr>
        <w:ilvl w:val="2"/>
        <w:numId w:val="1"/>
      </w:numPr>
      <w:tabs>
        <w:tab w:val="clear" w:pos="2484"/>
        <w:tab w:val="num" w:pos="360"/>
      </w:tabs>
      <w:spacing w:before="120" w:line="240" w:lineRule="auto"/>
      <w:ind w:left="360"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684193"/>
    <w:pPr>
      <w:numPr>
        <w:ilvl w:val="3"/>
      </w:numPr>
      <w:tabs>
        <w:tab w:val="clear" w:pos="2916"/>
        <w:tab w:val="left" w:pos="0"/>
        <w:tab w:val="num" w:pos="360"/>
      </w:tabs>
    </w:pPr>
  </w:style>
  <w:style w:type="character" w:customStyle="1" w:styleId="ParagraphChar">
    <w:name w:val="Paragraph Char"/>
    <w:link w:val="Paragraph"/>
    <w:rsid w:val="00684193"/>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iPriority w:val="99"/>
    <w:semiHidden/>
    <w:unhideWhenUsed/>
    <w:rsid w:val="00684193"/>
    <w:pPr>
      <w:spacing w:after="120"/>
      <w:ind w:left="360"/>
    </w:pPr>
  </w:style>
  <w:style w:type="character" w:customStyle="1" w:styleId="BodyTextIndentChar">
    <w:name w:val="Body Text Indent Char"/>
    <w:basedOn w:val="DefaultParagraphFont"/>
    <w:link w:val="BodyTextIndent"/>
    <w:uiPriority w:val="99"/>
    <w:semiHidden/>
    <w:rsid w:val="00684193"/>
  </w:style>
  <w:style w:type="paragraph" w:styleId="BodyTextIndent3">
    <w:name w:val="Body Text Indent 3"/>
    <w:basedOn w:val="Normal"/>
    <w:link w:val="BodyTextIndent3Char"/>
    <w:uiPriority w:val="99"/>
    <w:semiHidden/>
    <w:unhideWhenUsed/>
    <w:rsid w:val="006841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4193"/>
    <w:rPr>
      <w:sz w:val="16"/>
      <w:szCs w:val="16"/>
    </w:rPr>
  </w:style>
  <w:style w:type="paragraph" w:styleId="EndnoteText">
    <w:name w:val="endnote text"/>
    <w:basedOn w:val="Normal"/>
    <w:link w:val="EndnoteTextChar"/>
    <w:uiPriority w:val="99"/>
    <w:semiHidden/>
    <w:unhideWhenUsed/>
    <w:rsid w:val="00F008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0880"/>
    <w:rPr>
      <w:rFonts w:ascii="Times New Roman" w:eastAsia="Times New Roman" w:hAnsi="Times New Roman" w:cs="Times New Roman"/>
      <w:sz w:val="20"/>
      <w:szCs w:val="20"/>
    </w:rPr>
  </w:style>
  <w:style w:type="character" w:styleId="EndnoteReference">
    <w:name w:val="endnote reference"/>
    <w:uiPriority w:val="99"/>
    <w:semiHidden/>
    <w:unhideWhenUsed/>
    <w:rsid w:val="00F00880"/>
    <w:rPr>
      <w:vertAlign w:val="superscript"/>
    </w:rPr>
  </w:style>
  <w:style w:type="paragraph" w:styleId="FootnoteText">
    <w:name w:val="footnote text"/>
    <w:aliases w:val="F,Style 25"/>
    <w:basedOn w:val="Normal"/>
    <w:link w:val="FootnoteTextChar"/>
    <w:uiPriority w:val="99"/>
    <w:rsid w:val="006118F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 Char,Style 25 Char"/>
    <w:basedOn w:val="DefaultParagraphFont"/>
    <w:link w:val="FootnoteText"/>
    <w:uiPriority w:val="99"/>
    <w:rsid w:val="006118F2"/>
    <w:rPr>
      <w:rFonts w:ascii="Times New Roman" w:eastAsia="Times New Roman" w:hAnsi="Times New Roman" w:cs="Times New Roman"/>
      <w:sz w:val="20"/>
      <w:szCs w:val="20"/>
      <w:lang w:val="x-none" w:eastAsia="x-none"/>
    </w:rPr>
  </w:style>
  <w:style w:type="character" w:styleId="Hyperlink">
    <w:name w:val="Hyperlink"/>
    <w:uiPriority w:val="99"/>
    <w:rsid w:val="006118F2"/>
    <w:rPr>
      <w:color w:val="0000FF"/>
      <w:u w:val="single"/>
    </w:rPr>
  </w:style>
  <w:style w:type="character" w:styleId="FootnoteReference">
    <w:name w:val="footnote reference"/>
    <w:aliases w:val="Style 24"/>
    <w:uiPriority w:val="99"/>
    <w:rsid w:val="006118F2"/>
    <w:rPr>
      <w:vertAlign w:val="superscript"/>
    </w:rPr>
  </w:style>
  <w:style w:type="paragraph" w:styleId="BalloonText">
    <w:name w:val="Balloon Text"/>
    <w:basedOn w:val="Normal"/>
    <w:link w:val="BalloonTextChar"/>
    <w:uiPriority w:val="99"/>
    <w:semiHidden/>
    <w:unhideWhenUsed/>
    <w:rsid w:val="0061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2"/>
    <w:rPr>
      <w:rFonts w:ascii="Tahoma" w:hAnsi="Tahoma" w:cs="Tahoma"/>
      <w:sz w:val="16"/>
      <w:szCs w:val="16"/>
    </w:rPr>
  </w:style>
  <w:style w:type="character" w:styleId="CommentReference">
    <w:name w:val="annotation reference"/>
    <w:basedOn w:val="DefaultParagraphFont"/>
    <w:uiPriority w:val="99"/>
    <w:semiHidden/>
    <w:unhideWhenUsed/>
    <w:rsid w:val="006A6E0F"/>
    <w:rPr>
      <w:sz w:val="16"/>
      <w:szCs w:val="16"/>
    </w:rPr>
  </w:style>
  <w:style w:type="paragraph" w:styleId="CommentText">
    <w:name w:val="annotation text"/>
    <w:basedOn w:val="Normal"/>
    <w:link w:val="CommentTextChar"/>
    <w:uiPriority w:val="99"/>
    <w:semiHidden/>
    <w:unhideWhenUsed/>
    <w:rsid w:val="006A6E0F"/>
    <w:pPr>
      <w:spacing w:line="240" w:lineRule="auto"/>
    </w:pPr>
    <w:rPr>
      <w:sz w:val="20"/>
      <w:szCs w:val="20"/>
    </w:rPr>
  </w:style>
  <w:style w:type="character" w:customStyle="1" w:styleId="CommentTextChar">
    <w:name w:val="Comment Text Char"/>
    <w:basedOn w:val="DefaultParagraphFont"/>
    <w:link w:val="CommentText"/>
    <w:uiPriority w:val="99"/>
    <w:semiHidden/>
    <w:rsid w:val="006A6E0F"/>
    <w:rPr>
      <w:sz w:val="20"/>
      <w:szCs w:val="20"/>
    </w:rPr>
  </w:style>
  <w:style w:type="paragraph" w:styleId="CommentSubject">
    <w:name w:val="annotation subject"/>
    <w:basedOn w:val="CommentText"/>
    <w:next w:val="CommentText"/>
    <w:link w:val="CommentSubjectChar"/>
    <w:uiPriority w:val="99"/>
    <w:semiHidden/>
    <w:unhideWhenUsed/>
    <w:rsid w:val="006A6E0F"/>
    <w:rPr>
      <w:b/>
      <w:bCs/>
    </w:rPr>
  </w:style>
  <w:style w:type="character" w:customStyle="1" w:styleId="CommentSubjectChar">
    <w:name w:val="Comment Subject Char"/>
    <w:basedOn w:val="CommentTextChar"/>
    <w:link w:val="CommentSubject"/>
    <w:uiPriority w:val="99"/>
    <w:semiHidden/>
    <w:rsid w:val="006A6E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Desc">
    <w:name w:val="AbbrDesc"/>
    <w:basedOn w:val="Normal"/>
    <w:rsid w:val="00684193"/>
    <w:pPr>
      <w:tabs>
        <w:tab w:val="left" w:pos="3060"/>
      </w:tabs>
      <w:spacing w:after="0" w:line="240" w:lineRule="auto"/>
      <w:jc w:val="both"/>
    </w:pPr>
    <w:rPr>
      <w:rFonts w:ascii="Times New Roman" w:eastAsia="Times New Roman" w:hAnsi="Times New Roman" w:cs="Times New Roman"/>
      <w:sz w:val="24"/>
      <w:szCs w:val="20"/>
    </w:rPr>
  </w:style>
  <w:style w:type="paragraph" w:customStyle="1" w:styleId="Chapter">
    <w:name w:val="Chapter"/>
    <w:basedOn w:val="Normal"/>
    <w:next w:val="Normal"/>
    <w:rsid w:val="00684193"/>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x-none" w:eastAsia="x-none"/>
    </w:rPr>
  </w:style>
  <w:style w:type="paragraph" w:customStyle="1" w:styleId="Paragraph">
    <w:name w:val="Paragraph"/>
    <w:aliases w:val="p,PARAGRAPH,PG,pa,at,paragraph"/>
    <w:basedOn w:val="BodyTextIndent"/>
    <w:link w:val="ParagraphChar"/>
    <w:rsid w:val="00684193"/>
    <w:pPr>
      <w:numPr>
        <w:ilvl w:val="1"/>
        <w:numId w:val="1"/>
      </w:numPr>
      <w:spacing w:before="120" w:line="240" w:lineRule="auto"/>
      <w:jc w:val="both"/>
      <w:outlineLvl w:val="1"/>
    </w:pPr>
    <w:rPr>
      <w:rFonts w:ascii="Times New Roman" w:eastAsia="Times New Roman" w:hAnsi="Times New Roman" w:cs="Times New Roman"/>
      <w:sz w:val="24"/>
      <w:szCs w:val="20"/>
      <w:lang w:val="x-none" w:eastAsia="x-none"/>
    </w:rPr>
  </w:style>
  <w:style w:type="paragraph" w:customStyle="1" w:styleId="subpar">
    <w:name w:val="subpar"/>
    <w:basedOn w:val="BodyTextIndent3"/>
    <w:rsid w:val="00684193"/>
    <w:pPr>
      <w:numPr>
        <w:ilvl w:val="2"/>
        <w:numId w:val="1"/>
      </w:numPr>
      <w:tabs>
        <w:tab w:val="clear" w:pos="2484"/>
        <w:tab w:val="num" w:pos="360"/>
      </w:tabs>
      <w:spacing w:before="120" w:line="240" w:lineRule="auto"/>
      <w:ind w:left="360"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684193"/>
    <w:pPr>
      <w:numPr>
        <w:ilvl w:val="3"/>
      </w:numPr>
      <w:tabs>
        <w:tab w:val="clear" w:pos="2916"/>
        <w:tab w:val="left" w:pos="0"/>
        <w:tab w:val="num" w:pos="360"/>
      </w:tabs>
    </w:pPr>
  </w:style>
  <w:style w:type="character" w:customStyle="1" w:styleId="ParagraphChar">
    <w:name w:val="Paragraph Char"/>
    <w:link w:val="Paragraph"/>
    <w:rsid w:val="00684193"/>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iPriority w:val="99"/>
    <w:semiHidden/>
    <w:unhideWhenUsed/>
    <w:rsid w:val="00684193"/>
    <w:pPr>
      <w:spacing w:after="120"/>
      <w:ind w:left="360"/>
    </w:pPr>
  </w:style>
  <w:style w:type="character" w:customStyle="1" w:styleId="BodyTextIndentChar">
    <w:name w:val="Body Text Indent Char"/>
    <w:basedOn w:val="DefaultParagraphFont"/>
    <w:link w:val="BodyTextIndent"/>
    <w:uiPriority w:val="99"/>
    <w:semiHidden/>
    <w:rsid w:val="00684193"/>
  </w:style>
  <w:style w:type="paragraph" w:styleId="BodyTextIndent3">
    <w:name w:val="Body Text Indent 3"/>
    <w:basedOn w:val="Normal"/>
    <w:link w:val="BodyTextIndent3Char"/>
    <w:uiPriority w:val="99"/>
    <w:semiHidden/>
    <w:unhideWhenUsed/>
    <w:rsid w:val="006841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4193"/>
    <w:rPr>
      <w:sz w:val="16"/>
      <w:szCs w:val="16"/>
    </w:rPr>
  </w:style>
  <w:style w:type="paragraph" w:styleId="EndnoteText">
    <w:name w:val="endnote text"/>
    <w:basedOn w:val="Normal"/>
    <w:link w:val="EndnoteTextChar"/>
    <w:uiPriority w:val="99"/>
    <w:semiHidden/>
    <w:unhideWhenUsed/>
    <w:rsid w:val="00F008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0880"/>
    <w:rPr>
      <w:rFonts w:ascii="Times New Roman" w:eastAsia="Times New Roman" w:hAnsi="Times New Roman" w:cs="Times New Roman"/>
      <w:sz w:val="20"/>
      <w:szCs w:val="20"/>
    </w:rPr>
  </w:style>
  <w:style w:type="character" w:styleId="EndnoteReference">
    <w:name w:val="endnote reference"/>
    <w:uiPriority w:val="99"/>
    <w:semiHidden/>
    <w:unhideWhenUsed/>
    <w:rsid w:val="00F00880"/>
    <w:rPr>
      <w:vertAlign w:val="superscript"/>
    </w:rPr>
  </w:style>
  <w:style w:type="paragraph" w:styleId="FootnoteText">
    <w:name w:val="footnote text"/>
    <w:aliases w:val="F,Style 25"/>
    <w:basedOn w:val="Normal"/>
    <w:link w:val="FootnoteTextChar"/>
    <w:uiPriority w:val="99"/>
    <w:rsid w:val="006118F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 Char,Style 25 Char"/>
    <w:basedOn w:val="DefaultParagraphFont"/>
    <w:link w:val="FootnoteText"/>
    <w:uiPriority w:val="99"/>
    <w:rsid w:val="006118F2"/>
    <w:rPr>
      <w:rFonts w:ascii="Times New Roman" w:eastAsia="Times New Roman" w:hAnsi="Times New Roman" w:cs="Times New Roman"/>
      <w:sz w:val="20"/>
      <w:szCs w:val="20"/>
      <w:lang w:val="x-none" w:eastAsia="x-none"/>
    </w:rPr>
  </w:style>
  <w:style w:type="character" w:styleId="Hyperlink">
    <w:name w:val="Hyperlink"/>
    <w:uiPriority w:val="99"/>
    <w:rsid w:val="006118F2"/>
    <w:rPr>
      <w:color w:val="0000FF"/>
      <w:u w:val="single"/>
    </w:rPr>
  </w:style>
  <w:style w:type="character" w:styleId="FootnoteReference">
    <w:name w:val="footnote reference"/>
    <w:aliases w:val="Style 24"/>
    <w:uiPriority w:val="99"/>
    <w:rsid w:val="006118F2"/>
    <w:rPr>
      <w:vertAlign w:val="superscript"/>
    </w:rPr>
  </w:style>
  <w:style w:type="paragraph" w:styleId="BalloonText">
    <w:name w:val="Balloon Text"/>
    <w:basedOn w:val="Normal"/>
    <w:link w:val="BalloonTextChar"/>
    <w:uiPriority w:val="99"/>
    <w:semiHidden/>
    <w:unhideWhenUsed/>
    <w:rsid w:val="0061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2"/>
    <w:rPr>
      <w:rFonts w:ascii="Tahoma" w:hAnsi="Tahoma" w:cs="Tahoma"/>
      <w:sz w:val="16"/>
      <w:szCs w:val="16"/>
    </w:rPr>
  </w:style>
  <w:style w:type="character" w:styleId="CommentReference">
    <w:name w:val="annotation reference"/>
    <w:basedOn w:val="DefaultParagraphFont"/>
    <w:uiPriority w:val="99"/>
    <w:semiHidden/>
    <w:unhideWhenUsed/>
    <w:rsid w:val="006A6E0F"/>
    <w:rPr>
      <w:sz w:val="16"/>
      <w:szCs w:val="16"/>
    </w:rPr>
  </w:style>
  <w:style w:type="paragraph" w:styleId="CommentText">
    <w:name w:val="annotation text"/>
    <w:basedOn w:val="Normal"/>
    <w:link w:val="CommentTextChar"/>
    <w:uiPriority w:val="99"/>
    <w:semiHidden/>
    <w:unhideWhenUsed/>
    <w:rsid w:val="006A6E0F"/>
    <w:pPr>
      <w:spacing w:line="240" w:lineRule="auto"/>
    </w:pPr>
    <w:rPr>
      <w:sz w:val="20"/>
      <w:szCs w:val="20"/>
    </w:rPr>
  </w:style>
  <w:style w:type="character" w:customStyle="1" w:styleId="CommentTextChar">
    <w:name w:val="Comment Text Char"/>
    <w:basedOn w:val="DefaultParagraphFont"/>
    <w:link w:val="CommentText"/>
    <w:uiPriority w:val="99"/>
    <w:semiHidden/>
    <w:rsid w:val="006A6E0F"/>
    <w:rPr>
      <w:sz w:val="20"/>
      <w:szCs w:val="20"/>
    </w:rPr>
  </w:style>
  <w:style w:type="paragraph" w:styleId="CommentSubject">
    <w:name w:val="annotation subject"/>
    <w:basedOn w:val="CommentText"/>
    <w:next w:val="CommentText"/>
    <w:link w:val="CommentSubjectChar"/>
    <w:uiPriority w:val="99"/>
    <w:semiHidden/>
    <w:unhideWhenUsed/>
    <w:rsid w:val="006A6E0F"/>
    <w:rPr>
      <w:b/>
      <w:bCs/>
    </w:rPr>
  </w:style>
  <w:style w:type="character" w:customStyle="1" w:styleId="CommentSubjectChar">
    <w:name w:val="Comment Subject Char"/>
    <w:basedOn w:val="CommentTextChar"/>
    <w:link w:val="CommentSubject"/>
    <w:uiPriority w:val="99"/>
    <w:semiHidden/>
    <w:rsid w:val="006A6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ec.gob.ec/inec/index.php?option=com_remository&amp;func=fileinfo&amp;id=945&amp;Itemid=420&amp;lang=es" TargetMode="External"/><Relationship Id="rId1" Type="http://schemas.openxmlformats.org/officeDocument/2006/relationships/hyperlink" Target="http://contenido.bce.fin.ec/home1/estadisticas/bolmensual/IEMensual.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Inter-American Development Bank</cp:lastModifiedBy>
  <cp:revision>2</cp:revision>
  <cp:lastPrinted>2014-05-06T15:41:00Z</cp:lastPrinted>
  <dcterms:created xsi:type="dcterms:W3CDTF">2014-05-15T15:57:00Z</dcterms:created>
  <dcterms:modified xsi:type="dcterms:W3CDTF">2014-05-15T15:57:00Z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gFAAbtDMpgn6UhqOrQJgOR0YHMopAF15tMOdEY1q3fiQ3imMH6SjuQTVhm7IMvalwxzyWy+jkUuIJasv
Jy4PRcKXXc0nj8RyKZQBZNCuFEBlyYquKI/k7aY1rTIP5k//2BWXHciNi5k+JlX7wrKjzAGQU+g4
8ZI7bkrPrZajMOdRmxkTooBdAmOAdRXPPr+oa5dMitsPgH5Z29N2ZEukSdUIL7Lg/QHHSqcN6M2c
Sc9EEHiaWJI7I45HS</vt:lpwstr>
  </property>
  <property fmtid="{D5CDD505-2E9C-101B-9397-08002B2CF9AE}" pid="3" name="MAIL_MSG_ID2">
    <vt:lpwstr>6fB2R7Qy3MvtF09YZ91KI6LKQGXim26gQPwSMaNlZ3QzJ3ahDDL26X63YvM
OJcqURhAaU++dlk4lopUeYKeloqqyTI16DX5qQ==</vt:lpwstr>
  </property>
  <property fmtid="{D5CDD505-2E9C-101B-9397-08002B2CF9AE}" pid="4" name="RESPONSE_SENDER_NAME">
    <vt:lpwstr>ABAAJXrvhtoYpC4BBlwF3v+jVUSXewlBME7KqjBbvLV5x1m9BD3wM82yguwSE+FKbege</vt:lpwstr>
  </property>
  <property fmtid="{D5CDD505-2E9C-101B-9397-08002B2CF9AE}" pid="5" name="EMAIL_OWNER_ADDRESS">
    <vt:lpwstr>sAAAE9kkUq3pEoLxshcz5RZ13QkXBR9VvxFEVyuxa/LaRms=</vt:lpwstr>
  </property>
</Properties>
</file>