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10" w:rsidRPr="005E60EA" w:rsidRDefault="00470810" w:rsidP="00470810">
      <w:pPr>
        <w:jc w:val="center"/>
        <w:rPr>
          <w:b/>
          <w:lang w:val="en-US"/>
        </w:rPr>
      </w:pPr>
      <w:r w:rsidRPr="005E60EA">
        <w:rPr>
          <w:b/>
          <w:lang w:val="en-US"/>
        </w:rPr>
        <w:t>SURINAME: Support to the Institutional and Operational Strengthening of the Energy Sector III (SU-L1036)</w:t>
      </w:r>
    </w:p>
    <w:p w:rsidR="00470810" w:rsidRPr="005E60EA" w:rsidRDefault="00470810" w:rsidP="00470810">
      <w:pPr>
        <w:tabs>
          <w:tab w:val="center" w:pos="6480"/>
          <w:tab w:val="left" w:pos="8272"/>
        </w:tabs>
        <w:rPr>
          <w:b/>
          <w:lang w:val="en-US"/>
        </w:rPr>
      </w:pPr>
      <w:r w:rsidRPr="005E60EA">
        <w:rPr>
          <w:b/>
          <w:lang w:val="en-US"/>
        </w:rPr>
        <w:tab/>
      </w:r>
    </w:p>
    <w:p w:rsidR="00470810" w:rsidRPr="005E60EA" w:rsidRDefault="00470810" w:rsidP="00470810">
      <w:pPr>
        <w:tabs>
          <w:tab w:val="center" w:pos="6480"/>
          <w:tab w:val="left" w:pos="8272"/>
        </w:tabs>
        <w:jc w:val="center"/>
        <w:rPr>
          <w:b/>
          <w:lang w:val="en-US"/>
        </w:rPr>
      </w:pPr>
      <w:r w:rsidRPr="005E60EA">
        <w:rPr>
          <w:b/>
          <w:lang w:val="en-US"/>
        </w:rPr>
        <w:t>RESULTS MATRIX</w:t>
      </w:r>
    </w:p>
    <w:p w:rsidR="00470810" w:rsidRPr="005E60EA" w:rsidRDefault="00470810" w:rsidP="00470810">
      <w:pPr>
        <w:jc w:val="center"/>
        <w:rPr>
          <w:b/>
          <w:lang w:val="en-US"/>
        </w:rPr>
      </w:pPr>
    </w:p>
    <w:p w:rsidR="00470810" w:rsidRPr="005E60EA" w:rsidRDefault="00470810" w:rsidP="00470810">
      <w:pPr>
        <w:rPr>
          <w:lang w:val="en-US"/>
        </w:rPr>
      </w:pPr>
    </w:p>
    <w:tbl>
      <w:tblPr>
        <w:tblW w:w="54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634"/>
        <w:gridCol w:w="2741"/>
        <w:gridCol w:w="2323"/>
        <w:gridCol w:w="2301"/>
        <w:gridCol w:w="33"/>
        <w:gridCol w:w="1532"/>
        <w:gridCol w:w="31"/>
        <w:gridCol w:w="1905"/>
      </w:tblGrid>
      <w:tr w:rsidR="00470810" w:rsidRPr="005E60EA" w:rsidTr="0086624F">
        <w:trPr>
          <w:cantSplit/>
          <w:trHeight w:val="126"/>
          <w:tblHeader/>
          <w:jc w:val="center"/>
        </w:trPr>
        <w:tc>
          <w:tcPr>
            <w:tcW w:w="2634" w:type="dxa"/>
            <w:shd w:val="clear" w:color="auto" w:fill="BFBFBF" w:themeFill="background1" w:themeFillShade="BF"/>
            <w:vAlign w:val="center"/>
          </w:tcPr>
          <w:p w:rsidR="00470810" w:rsidRPr="005E60EA" w:rsidRDefault="00470810" w:rsidP="0086624F">
            <w:pPr>
              <w:spacing w:before="40" w:after="40"/>
              <w:rPr>
                <w:b/>
                <w:bCs/>
                <w:lang w:val="en-US"/>
              </w:rPr>
            </w:pPr>
            <w:r w:rsidRPr="005E60EA">
              <w:rPr>
                <w:b/>
                <w:bCs/>
                <w:lang w:val="en-US"/>
              </w:rPr>
              <w:t>Objectives</w:t>
            </w:r>
          </w:p>
        </w:tc>
        <w:tc>
          <w:tcPr>
            <w:tcW w:w="2741" w:type="dxa"/>
            <w:shd w:val="clear" w:color="auto" w:fill="BFBFBF" w:themeFill="background1" w:themeFillShade="BF"/>
            <w:vAlign w:val="center"/>
          </w:tcPr>
          <w:p w:rsidR="00470810" w:rsidRPr="005E60EA" w:rsidRDefault="00470810" w:rsidP="0086624F">
            <w:pPr>
              <w:spacing w:before="40" w:after="40"/>
              <w:rPr>
                <w:b/>
                <w:bCs/>
                <w:lang w:val="en-US"/>
              </w:rPr>
            </w:pPr>
            <w:r w:rsidRPr="005E60EA">
              <w:rPr>
                <w:b/>
                <w:bCs/>
                <w:lang w:val="en-US"/>
              </w:rPr>
              <w:t>Results</w:t>
            </w:r>
          </w:p>
        </w:tc>
        <w:tc>
          <w:tcPr>
            <w:tcW w:w="2323" w:type="dxa"/>
            <w:shd w:val="clear" w:color="auto" w:fill="BFBFBF" w:themeFill="background1" w:themeFillShade="BF"/>
            <w:vAlign w:val="center"/>
          </w:tcPr>
          <w:p w:rsidR="00470810" w:rsidRPr="005E60EA" w:rsidRDefault="00470810" w:rsidP="0086624F">
            <w:pPr>
              <w:spacing w:before="40" w:after="40"/>
              <w:rPr>
                <w:b/>
                <w:bCs/>
                <w:lang w:val="en-US"/>
              </w:rPr>
            </w:pPr>
            <w:r w:rsidRPr="005E60EA">
              <w:rPr>
                <w:b/>
                <w:bCs/>
                <w:lang w:val="en-US"/>
              </w:rPr>
              <w:t>Indicators</w:t>
            </w:r>
          </w:p>
        </w:tc>
        <w:tc>
          <w:tcPr>
            <w:tcW w:w="2334" w:type="dxa"/>
            <w:gridSpan w:val="2"/>
            <w:shd w:val="clear" w:color="auto" w:fill="BFBFBF" w:themeFill="background1" w:themeFillShade="BF"/>
            <w:vAlign w:val="center"/>
          </w:tcPr>
          <w:p w:rsidR="00470810" w:rsidRPr="005E60EA" w:rsidRDefault="00470810" w:rsidP="0086624F">
            <w:pPr>
              <w:spacing w:before="40" w:after="40"/>
              <w:rPr>
                <w:b/>
                <w:bCs/>
                <w:lang w:val="en-US"/>
              </w:rPr>
            </w:pPr>
            <w:r w:rsidRPr="005E60EA">
              <w:rPr>
                <w:b/>
                <w:bCs/>
                <w:lang w:val="en-US"/>
              </w:rPr>
              <w:t>Baseline</w:t>
            </w:r>
          </w:p>
        </w:tc>
        <w:tc>
          <w:tcPr>
            <w:tcW w:w="1563" w:type="dxa"/>
            <w:gridSpan w:val="2"/>
            <w:shd w:val="clear" w:color="auto" w:fill="BFBFBF" w:themeFill="background1" w:themeFillShade="BF"/>
            <w:vAlign w:val="center"/>
          </w:tcPr>
          <w:p w:rsidR="00470810" w:rsidRPr="005E60EA" w:rsidRDefault="00470810" w:rsidP="008F3EA0">
            <w:pPr>
              <w:spacing w:before="40" w:after="40"/>
              <w:rPr>
                <w:b/>
                <w:bCs/>
                <w:lang w:val="en-US"/>
              </w:rPr>
            </w:pPr>
            <w:r w:rsidRPr="005E60EA">
              <w:rPr>
                <w:b/>
                <w:bCs/>
                <w:lang w:val="en-US"/>
              </w:rPr>
              <w:t>Target (201</w:t>
            </w:r>
            <w:r w:rsidR="008F3EA0">
              <w:rPr>
                <w:b/>
                <w:bCs/>
                <w:lang w:val="en-US"/>
              </w:rPr>
              <w:t>6</w:t>
            </w:r>
            <w:r w:rsidRPr="005E60EA">
              <w:rPr>
                <w:b/>
                <w:bCs/>
                <w:lang w:val="en-US"/>
              </w:rPr>
              <w:t>)</w:t>
            </w:r>
          </w:p>
        </w:tc>
        <w:tc>
          <w:tcPr>
            <w:tcW w:w="1905" w:type="dxa"/>
            <w:shd w:val="clear" w:color="auto" w:fill="BFBFBF" w:themeFill="background1" w:themeFillShade="BF"/>
            <w:vAlign w:val="center"/>
          </w:tcPr>
          <w:p w:rsidR="00470810" w:rsidRPr="005E60EA" w:rsidRDefault="00470810" w:rsidP="0086624F">
            <w:pPr>
              <w:spacing w:before="40" w:after="40"/>
              <w:rPr>
                <w:b/>
                <w:bCs/>
                <w:lang w:val="en-US"/>
              </w:rPr>
            </w:pPr>
            <w:r w:rsidRPr="005E60EA">
              <w:rPr>
                <w:b/>
                <w:bCs/>
                <w:lang w:val="en-US"/>
              </w:rPr>
              <w:t>Verification Means</w:t>
            </w:r>
          </w:p>
        </w:tc>
      </w:tr>
      <w:tr w:rsidR="00470810" w:rsidRPr="005E60EA" w:rsidTr="0086624F">
        <w:trPr>
          <w:cantSplit/>
          <w:trHeight w:val="30"/>
          <w:jc w:val="center"/>
        </w:trPr>
        <w:tc>
          <w:tcPr>
            <w:tcW w:w="10032" w:type="dxa"/>
            <w:gridSpan w:val="5"/>
            <w:vAlign w:val="center"/>
          </w:tcPr>
          <w:p w:rsidR="00470810" w:rsidRPr="005E60EA" w:rsidRDefault="00470810" w:rsidP="0086624F">
            <w:pPr>
              <w:pStyle w:val="Default"/>
              <w:tabs>
                <w:tab w:val="center" w:pos="4320"/>
                <w:tab w:val="right" w:pos="8640"/>
              </w:tabs>
              <w:spacing w:before="96" w:after="96"/>
              <w:rPr>
                <w:color w:val="auto"/>
                <w:sz w:val="20"/>
                <w:szCs w:val="20"/>
                <w:highlight w:val="yellow"/>
              </w:rPr>
            </w:pPr>
            <w:r w:rsidRPr="005E60EA">
              <w:rPr>
                <w:b/>
                <w:sz w:val="20"/>
                <w:szCs w:val="20"/>
              </w:rPr>
              <w:t>I. Macroeconomic Stability</w:t>
            </w:r>
          </w:p>
        </w:tc>
        <w:tc>
          <w:tcPr>
            <w:tcW w:w="1563" w:type="dxa"/>
            <w:gridSpan w:val="2"/>
            <w:vAlign w:val="center"/>
          </w:tcPr>
          <w:p w:rsidR="00470810" w:rsidRPr="005E60EA" w:rsidRDefault="00470810" w:rsidP="0086624F">
            <w:pPr>
              <w:pStyle w:val="Default"/>
              <w:tabs>
                <w:tab w:val="center" w:pos="4320"/>
                <w:tab w:val="right" w:pos="8640"/>
              </w:tabs>
              <w:spacing w:before="96" w:after="96"/>
              <w:rPr>
                <w:b/>
                <w:sz w:val="20"/>
                <w:szCs w:val="20"/>
              </w:rPr>
            </w:pPr>
          </w:p>
        </w:tc>
        <w:tc>
          <w:tcPr>
            <w:tcW w:w="1905" w:type="dxa"/>
            <w:vAlign w:val="center"/>
          </w:tcPr>
          <w:p w:rsidR="00470810" w:rsidRPr="005E60EA" w:rsidRDefault="00470810" w:rsidP="0086624F">
            <w:pPr>
              <w:pStyle w:val="Default"/>
              <w:tabs>
                <w:tab w:val="center" w:pos="4320"/>
                <w:tab w:val="right" w:pos="8640"/>
              </w:tabs>
              <w:spacing w:before="96" w:after="96"/>
              <w:rPr>
                <w:b/>
                <w:sz w:val="20"/>
                <w:szCs w:val="20"/>
              </w:rPr>
            </w:pPr>
          </w:p>
        </w:tc>
      </w:tr>
      <w:tr w:rsidR="00470810" w:rsidRPr="0066211A" w:rsidTr="0086624F">
        <w:trPr>
          <w:cantSplit/>
          <w:trHeight w:val="920"/>
          <w:jc w:val="center"/>
        </w:trPr>
        <w:tc>
          <w:tcPr>
            <w:tcW w:w="2634" w:type="dxa"/>
            <w:vAlign w:val="center"/>
          </w:tcPr>
          <w:p w:rsidR="00470810" w:rsidRPr="005E60EA" w:rsidRDefault="00470810" w:rsidP="0086624F">
            <w:pPr>
              <w:pStyle w:val="Header"/>
              <w:spacing w:beforeLines="40" w:before="96" w:afterLines="40" w:after="96"/>
              <w:rPr>
                <w:lang w:val="en-US"/>
              </w:rPr>
            </w:pPr>
            <w:r w:rsidRPr="005E60EA">
              <w:rPr>
                <w:lang w:val="en-US"/>
              </w:rPr>
              <w:t>I.1. Maintain a stable general Macroeconomic Framework</w:t>
            </w:r>
          </w:p>
        </w:tc>
        <w:tc>
          <w:tcPr>
            <w:tcW w:w="2741" w:type="dxa"/>
            <w:vAlign w:val="center"/>
          </w:tcPr>
          <w:p w:rsidR="00470810" w:rsidRPr="005E60EA" w:rsidRDefault="00470810" w:rsidP="0086624F">
            <w:pPr>
              <w:pStyle w:val="ListParagraph"/>
              <w:numPr>
                <w:ilvl w:val="0"/>
                <w:numId w:val="14"/>
              </w:numPr>
              <w:ind w:left="344" w:hanging="270"/>
              <w:rPr>
                <w:lang w:val="en-US"/>
              </w:rPr>
            </w:pPr>
            <w:r w:rsidRPr="005E60EA">
              <w:rPr>
                <w:lang w:val="en-US"/>
              </w:rPr>
              <w:t>Macroeconomic framework is consistent with the objectives of the program and with policy letter.</w:t>
            </w:r>
          </w:p>
        </w:tc>
        <w:tc>
          <w:tcPr>
            <w:tcW w:w="2323" w:type="dxa"/>
            <w:vAlign w:val="center"/>
          </w:tcPr>
          <w:p w:rsidR="00470810" w:rsidRPr="005E60EA" w:rsidRDefault="00470810" w:rsidP="0086624F">
            <w:pPr>
              <w:pStyle w:val="Default"/>
              <w:tabs>
                <w:tab w:val="center" w:pos="4320"/>
                <w:tab w:val="right" w:pos="8640"/>
              </w:tabs>
              <w:spacing w:beforeLines="40" w:before="96" w:afterLines="40" w:after="96"/>
              <w:rPr>
                <w:color w:val="auto"/>
                <w:sz w:val="20"/>
                <w:szCs w:val="20"/>
              </w:rPr>
            </w:pPr>
            <w:r w:rsidRPr="005E60EA">
              <w:rPr>
                <w:color w:val="auto"/>
                <w:sz w:val="20"/>
                <w:szCs w:val="20"/>
              </w:rPr>
              <w:t xml:space="preserve">Technical opinion IAMC – </w:t>
            </w:r>
            <w:r w:rsidRPr="005E60EA">
              <w:rPr>
                <w:sz w:val="20"/>
                <w:szCs w:val="20"/>
              </w:rPr>
              <w:t>Stable macroeconomic framework</w:t>
            </w:r>
          </w:p>
        </w:tc>
        <w:tc>
          <w:tcPr>
            <w:tcW w:w="2334" w:type="dxa"/>
            <w:gridSpan w:val="2"/>
            <w:vAlign w:val="center"/>
          </w:tcPr>
          <w:p w:rsidR="00470810" w:rsidRPr="005E60EA" w:rsidRDefault="00470810" w:rsidP="0086624F">
            <w:pPr>
              <w:keepNext/>
              <w:spacing w:before="60" w:after="60"/>
              <w:ind w:left="-18"/>
              <w:jc w:val="center"/>
              <w:rPr>
                <w:i/>
                <w:lang w:val="en-US"/>
              </w:rPr>
            </w:pPr>
            <w:r w:rsidRPr="00695F3F">
              <w:rPr>
                <w:i/>
                <w:lang w:val="en-US"/>
              </w:rPr>
              <w:t xml:space="preserve">Baseline  </w:t>
            </w:r>
            <w:r w:rsidRPr="005E60EA">
              <w:rPr>
                <w:i/>
                <w:lang w:val="en-US"/>
              </w:rPr>
              <w:t>(2011): 1</w:t>
            </w:r>
          </w:p>
        </w:tc>
        <w:tc>
          <w:tcPr>
            <w:tcW w:w="1563" w:type="dxa"/>
            <w:gridSpan w:val="2"/>
            <w:vAlign w:val="center"/>
          </w:tcPr>
          <w:p w:rsidR="00470810" w:rsidRPr="005E60EA" w:rsidRDefault="00470810" w:rsidP="0086624F">
            <w:pPr>
              <w:keepNext/>
              <w:spacing w:before="60" w:after="60"/>
              <w:ind w:left="-18"/>
              <w:jc w:val="center"/>
              <w:rPr>
                <w:lang w:val="en-US"/>
              </w:rPr>
            </w:pPr>
            <w:r w:rsidRPr="005E60EA">
              <w:rPr>
                <w:lang w:val="en-US"/>
              </w:rPr>
              <w:t>1</w:t>
            </w:r>
          </w:p>
        </w:tc>
        <w:tc>
          <w:tcPr>
            <w:tcW w:w="1905" w:type="dxa"/>
            <w:vAlign w:val="center"/>
          </w:tcPr>
          <w:p w:rsidR="00470810" w:rsidRPr="005E60EA" w:rsidRDefault="00470810" w:rsidP="0086624F">
            <w:pPr>
              <w:keepNext/>
              <w:spacing w:before="60" w:after="60"/>
              <w:rPr>
                <w:lang w:val="en-US"/>
              </w:rPr>
            </w:pPr>
            <w:r w:rsidRPr="005E60EA">
              <w:rPr>
                <w:bCs/>
                <w:lang w:val="en-US"/>
              </w:rPr>
              <w:t>Valid Independent Assessment of Macroeconomic Conditions (IAMC).</w:t>
            </w:r>
          </w:p>
        </w:tc>
      </w:tr>
      <w:tr w:rsidR="00470810" w:rsidRPr="0066211A" w:rsidTr="0086624F">
        <w:trPr>
          <w:cantSplit/>
          <w:trHeight w:val="78"/>
          <w:jc w:val="center"/>
        </w:trPr>
        <w:tc>
          <w:tcPr>
            <w:tcW w:w="13500" w:type="dxa"/>
            <w:gridSpan w:val="8"/>
            <w:vAlign w:val="center"/>
          </w:tcPr>
          <w:p w:rsidR="00470810" w:rsidRPr="005E60EA" w:rsidRDefault="00470810" w:rsidP="0086624F">
            <w:pPr>
              <w:pStyle w:val="Default"/>
              <w:tabs>
                <w:tab w:val="center" w:pos="4320"/>
                <w:tab w:val="right" w:pos="8640"/>
              </w:tabs>
              <w:spacing w:before="96" w:after="96"/>
              <w:rPr>
                <w:b/>
                <w:color w:val="auto"/>
                <w:sz w:val="20"/>
                <w:szCs w:val="20"/>
              </w:rPr>
            </w:pPr>
            <w:r w:rsidRPr="005E60EA">
              <w:rPr>
                <w:b/>
                <w:color w:val="auto"/>
                <w:sz w:val="20"/>
                <w:szCs w:val="20"/>
              </w:rPr>
              <w:t>II. Development of a Sustainable Energy Framework</w:t>
            </w:r>
          </w:p>
        </w:tc>
      </w:tr>
      <w:tr w:rsidR="00470810" w:rsidRPr="005E60EA" w:rsidTr="0086624F">
        <w:trPr>
          <w:cantSplit/>
          <w:trHeight w:val="1158"/>
          <w:jc w:val="center"/>
        </w:trPr>
        <w:tc>
          <w:tcPr>
            <w:tcW w:w="2634" w:type="dxa"/>
            <w:vMerge w:val="restart"/>
            <w:vAlign w:val="center"/>
          </w:tcPr>
          <w:p w:rsidR="00470810" w:rsidRPr="005E60EA" w:rsidRDefault="00470810" w:rsidP="0086624F">
            <w:pPr>
              <w:pStyle w:val="Header"/>
              <w:spacing w:beforeLines="40" w:before="96" w:afterLines="40" w:after="96"/>
              <w:rPr>
                <w:lang w:val="en-US"/>
              </w:rPr>
            </w:pPr>
            <w:r w:rsidRPr="005E60EA">
              <w:rPr>
                <w:lang w:val="en-US"/>
              </w:rPr>
              <w:t xml:space="preserve">II.1. </w:t>
            </w:r>
            <w:r w:rsidRPr="005E60EA">
              <w:rPr>
                <w:bCs/>
                <w:lang w:val="en-US"/>
              </w:rPr>
              <w:t>Define the regulatory and legal framework to contribute to a more effective power sector with increased efficiency, transparency and accountability.</w:t>
            </w:r>
          </w:p>
        </w:tc>
        <w:tc>
          <w:tcPr>
            <w:tcW w:w="2741" w:type="dxa"/>
            <w:vAlign w:val="center"/>
          </w:tcPr>
          <w:p w:rsidR="00470810" w:rsidRPr="005E60EA" w:rsidRDefault="00470810" w:rsidP="00386CA6">
            <w:pPr>
              <w:pStyle w:val="Default"/>
              <w:numPr>
                <w:ilvl w:val="0"/>
                <w:numId w:val="14"/>
              </w:numPr>
              <w:spacing w:before="60" w:after="60"/>
              <w:rPr>
                <w:color w:val="auto"/>
                <w:sz w:val="20"/>
                <w:szCs w:val="20"/>
              </w:rPr>
            </w:pPr>
            <w:r w:rsidRPr="005A5FE3">
              <w:rPr>
                <w:color w:val="auto"/>
                <w:sz w:val="20"/>
                <w:szCs w:val="20"/>
              </w:rPr>
              <w:t xml:space="preserve">Electricity Law </w:t>
            </w:r>
            <w:r w:rsidR="00386CA6">
              <w:rPr>
                <w:color w:val="auto"/>
                <w:sz w:val="20"/>
                <w:szCs w:val="20"/>
              </w:rPr>
              <w:t xml:space="preserve">sent to parliament for </w:t>
            </w:r>
            <w:r w:rsidRPr="005A5FE3">
              <w:rPr>
                <w:color w:val="auto"/>
                <w:sz w:val="20"/>
                <w:szCs w:val="20"/>
              </w:rPr>
              <w:t>approv</w:t>
            </w:r>
            <w:r w:rsidR="00386CA6">
              <w:rPr>
                <w:color w:val="auto"/>
                <w:sz w:val="20"/>
                <w:szCs w:val="20"/>
              </w:rPr>
              <w:t>al</w:t>
            </w:r>
            <w:r w:rsidRPr="005A5FE3">
              <w:rPr>
                <w:color w:val="auto"/>
                <w:sz w:val="20"/>
                <w:szCs w:val="20"/>
              </w:rPr>
              <w:t xml:space="preserve"> by Parliament.</w:t>
            </w:r>
          </w:p>
        </w:tc>
        <w:tc>
          <w:tcPr>
            <w:tcW w:w="2323" w:type="dxa"/>
            <w:vAlign w:val="center"/>
          </w:tcPr>
          <w:p w:rsidR="00470810" w:rsidRPr="005E60EA" w:rsidRDefault="00470810" w:rsidP="0086624F">
            <w:pPr>
              <w:pStyle w:val="Default"/>
              <w:spacing w:before="60" w:after="60"/>
              <w:rPr>
                <w:color w:val="auto"/>
                <w:sz w:val="20"/>
                <w:szCs w:val="20"/>
              </w:rPr>
            </w:pPr>
            <w:r w:rsidRPr="005E60EA">
              <w:rPr>
                <w:color w:val="auto"/>
                <w:sz w:val="20"/>
                <w:szCs w:val="20"/>
              </w:rPr>
              <w:t xml:space="preserve">Electricity Law </w:t>
            </w:r>
          </w:p>
        </w:tc>
        <w:tc>
          <w:tcPr>
            <w:tcW w:w="2334" w:type="dxa"/>
            <w:gridSpan w:val="2"/>
            <w:vAlign w:val="center"/>
          </w:tcPr>
          <w:p w:rsidR="00470810" w:rsidRPr="005E60EA" w:rsidRDefault="00470810" w:rsidP="0086624F">
            <w:pPr>
              <w:pStyle w:val="Default"/>
              <w:spacing w:before="60" w:after="60"/>
              <w:jc w:val="center"/>
              <w:rPr>
                <w:i/>
                <w:color w:val="auto"/>
                <w:sz w:val="20"/>
                <w:szCs w:val="20"/>
              </w:rPr>
            </w:pPr>
            <w:r w:rsidRPr="005E60EA">
              <w:rPr>
                <w:i/>
                <w:color w:val="auto"/>
                <w:sz w:val="20"/>
                <w:szCs w:val="20"/>
              </w:rPr>
              <w:t>Baseline (2011): 0</w:t>
            </w:r>
          </w:p>
        </w:tc>
        <w:tc>
          <w:tcPr>
            <w:tcW w:w="1563" w:type="dxa"/>
            <w:gridSpan w:val="2"/>
            <w:vAlign w:val="center"/>
          </w:tcPr>
          <w:p w:rsidR="00470810" w:rsidRPr="005E60EA" w:rsidRDefault="00470810" w:rsidP="0086624F">
            <w:pPr>
              <w:pStyle w:val="Default"/>
              <w:spacing w:before="60" w:after="60"/>
              <w:jc w:val="center"/>
              <w:rPr>
                <w:color w:val="auto"/>
                <w:sz w:val="20"/>
                <w:szCs w:val="20"/>
              </w:rPr>
            </w:pPr>
            <w:r w:rsidRPr="005E60EA">
              <w:rPr>
                <w:color w:val="auto"/>
                <w:sz w:val="20"/>
                <w:szCs w:val="20"/>
              </w:rPr>
              <w:t>1</w:t>
            </w:r>
          </w:p>
        </w:tc>
        <w:tc>
          <w:tcPr>
            <w:tcW w:w="1905" w:type="dxa"/>
            <w:vAlign w:val="center"/>
          </w:tcPr>
          <w:p w:rsidR="00470810" w:rsidRPr="005E60EA" w:rsidRDefault="00470810" w:rsidP="0086624F">
            <w:pPr>
              <w:pStyle w:val="Default"/>
              <w:spacing w:before="60" w:after="60"/>
              <w:rPr>
                <w:color w:val="auto"/>
                <w:sz w:val="20"/>
                <w:szCs w:val="20"/>
              </w:rPr>
            </w:pPr>
            <w:r w:rsidRPr="005E60EA">
              <w:rPr>
                <w:color w:val="auto"/>
                <w:sz w:val="20"/>
                <w:szCs w:val="20"/>
              </w:rPr>
              <w:t>Report MNH</w:t>
            </w:r>
          </w:p>
        </w:tc>
      </w:tr>
      <w:tr w:rsidR="00470810" w:rsidRPr="005E60EA" w:rsidTr="0086624F">
        <w:trPr>
          <w:cantSplit/>
          <w:trHeight w:val="1158"/>
          <w:jc w:val="center"/>
        </w:trPr>
        <w:tc>
          <w:tcPr>
            <w:tcW w:w="2634" w:type="dxa"/>
            <w:vMerge/>
            <w:vAlign w:val="center"/>
          </w:tcPr>
          <w:p w:rsidR="00470810" w:rsidRPr="005E60EA" w:rsidRDefault="00470810" w:rsidP="0086624F">
            <w:pPr>
              <w:pStyle w:val="Header"/>
              <w:spacing w:beforeLines="40" w:before="96" w:afterLines="40" w:after="96"/>
              <w:rPr>
                <w:lang w:val="en-US"/>
              </w:rPr>
            </w:pPr>
          </w:p>
        </w:tc>
        <w:tc>
          <w:tcPr>
            <w:tcW w:w="2741" w:type="dxa"/>
            <w:vAlign w:val="center"/>
          </w:tcPr>
          <w:p w:rsidR="00470810" w:rsidRPr="005E60EA" w:rsidRDefault="00470810" w:rsidP="00386CA6">
            <w:pPr>
              <w:pStyle w:val="Default"/>
              <w:numPr>
                <w:ilvl w:val="0"/>
                <w:numId w:val="14"/>
              </w:numPr>
              <w:spacing w:before="60" w:after="60"/>
              <w:rPr>
                <w:color w:val="auto"/>
                <w:sz w:val="20"/>
                <w:szCs w:val="20"/>
              </w:rPr>
            </w:pPr>
            <w:r w:rsidRPr="005E60EA">
              <w:rPr>
                <w:color w:val="auto"/>
                <w:sz w:val="20"/>
                <w:szCs w:val="20"/>
              </w:rPr>
              <w:t xml:space="preserve">Energy Authority Law </w:t>
            </w:r>
            <w:r w:rsidR="00386CA6">
              <w:rPr>
                <w:color w:val="auto"/>
                <w:sz w:val="20"/>
                <w:szCs w:val="20"/>
              </w:rPr>
              <w:t xml:space="preserve">sent to parliament for </w:t>
            </w:r>
            <w:r w:rsidRPr="005E60EA">
              <w:rPr>
                <w:color w:val="auto"/>
                <w:sz w:val="20"/>
                <w:szCs w:val="20"/>
              </w:rPr>
              <w:t>approv</w:t>
            </w:r>
            <w:r w:rsidR="00386CA6">
              <w:rPr>
                <w:color w:val="auto"/>
                <w:sz w:val="20"/>
                <w:szCs w:val="20"/>
              </w:rPr>
              <w:t>al</w:t>
            </w:r>
            <w:r w:rsidRPr="005E60EA">
              <w:rPr>
                <w:color w:val="auto"/>
                <w:sz w:val="20"/>
                <w:szCs w:val="20"/>
              </w:rPr>
              <w:t xml:space="preserve"> </w:t>
            </w:r>
            <w:r w:rsidR="00386CA6">
              <w:rPr>
                <w:color w:val="auto"/>
                <w:sz w:val="20"/>
                <w:szCs w:val="20"/>
              </w:rPr>
              <w:t xml:space="preserve">by </w:t>
            </w:r>
            <w:r w:rsidRPr="005E60EA">
              <w:rPr>
                <w:color w:val="auto"/>
                <w:sz w:val="20"/>
                <w:szCs w:val="20"/>
              </w:rPr>
              <w:t>Parliament.</w:t>
            </w:r>
          </w:p>
        </w:tc>
        <w:tc>
          <w:tcPr>
            <w:tcW w:w="2323" w:type="dxa"/>
            <w:vAlign w:val="center"/>
          </w:tcPr>
          <w:p w:rsidR="00470810" w:rsidRPr="005E60EA" w:rsidDel="00C85EC0" w:rsidRDefault="00470810" w:rsidP="0086624F">
            <w:pPr>
              <w:pStyle w:val="Default"/>
              <w:spacing w:before="60" w:after="60"/>
              <w:rPr>
                <w:color w:val="auto"/>
                <w:sz w:val="20"/>
                <w:szCs w:val="20"/>
              </w:rPr>
            </w:pPr>
            <w:r w:rsidRPr="005E60EA">
              <w:rPr>
                <w:color w:val="auto"/>
                <w:sz w:val="20"/>
                <w:szCs w:val="20"/>
              </w:rPr>
              <w:t>Energy Authority Law</w:t>
            </w:r>
          </w:p>
        </w:tc>
        <w:tc>
          <w:tcPr>
            <w:tcW w:w="2334" w:type="dxa"/>
            <w:gridSpan w:val="2"/>
            <w:vAlign w:val="center"/>
          </w:tcPr>
          <w:p w:rsidR="00470810" w:rsidRPr="005E60EA" w:rsidRDefault="00470810" w:rsidP="0086624F">
            <w:pPr>
              <w:pStyle w:val="Default"/>
              <w:spacing w:before="60" w:after="60"/>
              <w:jc w:val="center"/>
              <w:rPr>
                <w:i/>
                <w:color w:val="auto"/>
                <w:sz w:val="20"/>
                <w:szCs w:val="20"/>
              </w:rPr>
            </w:pPr>
            <w:r w:rsidRPr="005E60EA">
              <w:rPr>
                <w:i/>
                <w:color w:val="auto"/>
                <w:sz w:val="20"/>
                <w:szCs w:val="20"/>
              </w:rPr>
              <w:t>Baseline (2011): 0</w:t>
            </w:r>
          </w:p>
        </w:tc>
        <w:tc>
          <w:tcPr>
            <w:tcW w:w="1563" w:type="dxa"/>
            <w:gridSpan w:val="2"/>
            <w:vAlign w:val="center"/>
          </w:tcPr>
          <w:p w:rsidR="00470810" w:rsidRPr="005E60EA" w:rsidRDefault="00470810" w:rsidP="0086624F">
            <w:pPr>
              <w:pStyle w:val="Default"/>
              <w:spacing w:before="60" w:after="60"/>
              <w:jc w:val="center"/>
              <w:rPr>
                <w:color w:val="auto"/>
                <w:sz w:val="20"/>
                <w:szCs w:val="20"/>
              </w:rPr>
            </w:pPr>
            <w:r w:rsidRPr="005E60EA">
              <w:rPr>
                <w:color w:val="auto"/>
                <w:sz w:val="20"/>
                <w:szCs w:val="20"/>
              </w:rPr>
              <w:t>1</w:t>
            </w:r>
          </w:p>
        </w:tc>
        <w:tc>
          <w:tcPr>
            <w:tcW w:w="1905" w:type="dxa"/>
            <w:vAlign w:val="center"/>
          </w:tcPr>
          <w:p w:rsidR="00470810" w:rsidRPr="005E60EA" w:rsidRDefault="00470810" w:rsidP="0086624F">
            <w:pPr>
              <w:pStyle w:val="Default"/>
              <w:spacing w:before="60" w:after="60"/>
              <w:rPr>
                <w:color w:val="auto"/>
                <w:sz w:val="20"/>
                <w:szCs w:val="20"/>
              </w:rPr>
            </w:pPr>
            <w:r w:rsidRPr="005E60EA">
              <w:rPr>
                <w:color w:val="auto"/>
                <w:sz w:val="20"/>
                <w:szCs w:val="20"/>
              </w:rPr>
              <w:t>Report MNH</w:t>
            </w:r>
          </w:p>
        </w:tc>
      </w:tr>
      <w:tr w:rsidR="00470810" w:rsidRPr="005E60EA" w:rsidTr="0086624F">
        <w:trPr>
          <w:cantSplit/>
          <w:trHeight w:val="1158"/>
          <w:jc w:val="center"/>
        </w:trPr>
        <w:tc>
          <w:tcPr>
            <w:tcW w:w="2634" w:type="dxa"/>
            <w:vMerge/>
            <w:vAlign w:val="center"/>
          </w:tcPr>
          <w:p w:rsidR="00470810" w:rsidRPr="005E60EA" w:rsidRDefault="00470810" w:rsidP="0086624F">
            <w:pPr>
              <w:pStyle w:val="Header"/>
              <w:spacing w:beforeLines="40" w:before="96" w:afterLines="40" w:after="96"/>
              <w:rPr>
                <w:lang w:val="en-US"/>
              </w:rPr>
            </w:pPr>
          </w:p>
        </w:tc>
        <w:tc>
          <w:tcPr>
            <w:tcW w:w="2741" w:type="dxa"/>
            <w:vAlign w:val="center"/>
          </w:tcPr>
          <w:p w:rsidR="00470810" w:rsidRPr="00695F3F" w:rsidRDefault="00470810" w:rsidP="0086624F">
            <w:pPr>
              <w:pStyle w:val="FirstHeading"/>
              <w:ind w:left="408" w:hanging="408"/>
              <w:rPr>
                <w:sz w:val="20"/>
                <w:szCs w:val="20"/>
                <w:lang w:val="en-US"/>
              </w:rPr>
            </w:pPr>
            <w:r w:rsidRPr="00695F3F">
              <w:rPr>
                <w:b w:val="0"/>
                <w:sz w:val="20"/>
                <w:szCs w:val="20"/>
                <w:lang w:val="en-US"/>
              </w:rPr>
              <w:t>Increased electricity coverage.</w:t>
            </w:r>
          </w:p>
        </w:tc>
        <w:tc>
          <w:tcPr>
            <w:tcW w:w="2323" w:type="dxa"/>
            <w:vAlign w:val="center"/>
          </w:tcPr>
          <w:p w:rsidR="00470810" w:rsidRPr="005E60EA" w:rsidRDefault="00470810" w:rsidP="0086624F">
            <w:pPr>
              <w:pStyle w:val="Default"/>
              <w:spacing w:before="60" w:after="60"/>
              <w:rPr>
                <w:color w:val="auto"/>
                <w:sz w:val="20"/>
                <w:szCs w:val="20"/>
              </w:rPr>
            </w:pPr>
            <w:r w:rsidRPr="005E60EA">
              <w:rPr>
                <w:color w:val="auto"/>
                <w:sz w:val="20"/>
                <w:szCs w:val="20"/>
              </w:rPr>
              <w:t>Percentage of the population with access to electricity (%)</w:t>
            </w:r>
          </w:p>
        </w:tc>
        <w:tc>
          <w:tcPr>
            <w:tcW w:w="2334" w:type="dxa"/>
            <w:gridSpan w:val="2"/>
            <w:vAlign w:val="center"/>
          </w:tcPr>
          <w:p w:rsidR="00470810" w:rsidRPr="005E60EA" w:rsidRDefault="00470810" w:rsidP="0086624F">
            <w:pPr>
              <w:pStyle w:val="Default"/>
              <w:spacing w:before="60" w:after="60"/>
              <w:jc w:val="center"/>
              <w:rPr>
                <w:i/>
                <w:color w:val="auto"/>
                <w:sz w:val="20"/>
                <w:szCs w:val="20"/>
              </w:rPr>
            </w:pPr>
            <w:r w:rsidRPr="005E60EA">
              <w:rPr>
                <w:i/>
                <w:color w:val="auto"/>
                <w:sz w:val="20"/>
                <w:szCs w:val="20"/>
              </w:rPr>
              <w:t>Baseline (2010): 85</w:t>
            </w:r>
          </w:p>
        </w:tc>
        <w:tc>
          <w:tcPr>
            <w:tcW w:w="1563" w:type="dxa"/>
            <w:gridSpan w:val="2"/>
            <w:vAlign w:val="center"/>
          </w:tcPr>
          <w:p w:rsidR="00470810" w:rsidRPr="005E60EA" w:rsidRDefault="00470810" w:rsidP="0086624F">
            <w:pPr>
              <w:pStyle w:val="Default"/>
              <w:spacing w:before="60" w:after="60"/>
              <w:jc w:val="center"/>
              <w:rPr>
                <w:color w:val="auto"/>
                <w:sz w:val="20"/>
                <w:szCs w:val="20"/>
              </w:rPr>
            </w:pPr>
            <w:r w:rsidRPr="005E60EA">
              <w:rPr>
                <w:color w:val="auto"/>
                <w:sz w:val="20"/>
                <w:szCs w:val="20"/>
              </w:rPr>
              <w:t>90</w:t>
            </w:r>
          </w:p>
        </w:tc>
        <w:tc>
          <w:tcPr>
            <w:tcW w:w="1905" w:type="dxa"/>
            <w:vAlign w:val="center"/>
          </w:tcPr>
          <w:p w:rsidR="00470810" w:rsidRPr="005E60EA" w:rsidRDefault="00470810" w:rsidP="0086624F">
            <w:pPr>
              <w:pStyle w:val="Default"/>
              <w:spacing w:before="60" w:after="60"/>
              <w:rPr>
                <w:color w:val="auto"/>
                <w:sz w:val="20"/>
                <w:szCs w:val="20"/>
              </w:rPr>
            </w:pPr>
            <w:r w:rsidRPr="005E60EA">
              <w:rPr>
                <w:sz w:val="20"/>
                <w:szCs w:val="20"/>
              </w:rPr>
              <w:t>Report MNH</w:t>
            </w:r>
          </w:p>
        </w:tc>
      </w:tr>
      <w:tr w:rsidR="00470810" w:rsidRPr="005E60EA" w:rsidTr="0086624F">
        <w:trPr>
          <w:cantSplit/>
          <w:trHeight w:val="1158"/>
          <w:jc w:val="center"/>
        </w:trPr>
        <w:tc>
          <w:tcPr>
            <w:tcW w:w="2634" w:type="dxa"/>
            <w:vAlign w:val="center"/>
          </w:tcPr>
          <w:p w:rsidR="00470810" w:rsidRPr="005E60EA" w:rsidRDefault="00470810" w:rsidP="0086624F">
            <w:pPr>
              <w:pStyle w:val="Header"/>
              <w:spacing w:beforeLines="40" w:before="96" w:afterLines="40" w:after="96"/>
              <w:rPr>
                <w:lang w:val="en-US"/>
              </w:rPr>
            </w:pPr>
            <w:r w:rsidRPr="005E60EA">
              <w:rPr>
                <w:lang w:val="en-US"/>
              </w:rPr>
              <w:t xml:space="preserve">II.2. </w:t>
            </w:r>
            <w:r w:rsidRPr="005E60EA">
              <w:rPr>
                <w:bCs/>
                <w:lang w:val="en-US"/>
              </w:rPr>
              <w:t>Implementation of institutions with a view to having a commercially-based operation and clear social, economic and financial incentives to achieve efficiency.</w:t>
            </w:r>
          </w:p>
        </w:tc>
        <w:tc>
          <w:tcPr>
            <w:tcW w:w="2741" w:type="dxa"/>
            <w:vAlign w:val="center"/>
          </w:tcPr>
          <w:p w:rsidR="00470810" w:rsidRPr="005E60EA" w:rsidRDefault="00470810" w:rsidP="0086624F">
            <w:pPr>
              <w:pStyle w:val="Default"/>
              <w:numPr>
                <w:ilvl w:val="0"/>
                <w:numId w:val="14"/>
              </w:numPr>
              <w:spacing w:before="60" w:after="60"/>
              <w:rPr>
                <w:color w:val="auto"/>
                <w:sz w:val="20"/>
                <w:szCs w:val="20"/>
              </w:rPr>
            </w:pPr>
            <w:r w:rsidRPr="005E60EA">
              <w:rPr>
                <w:color w:val="auto"/>
                <w:sz w:val="20"/>
                <w:szCs w:val="20"/>
              </w:rPr>
              <w:t>Decrease in EBS annual operating losses.</w:t>
            </w:r>
          </w:p>
        </w:tc>
        <w:tc>
          <w:tcPr>
            <w:tcW w:w="2323" w:type="dxa"/>
            <w:vAlign w:val="center"/>
          </w:tcPr>
          <w:p w:rsidR="00470810" w:rsidRPr="005E60EA" w:rsidRDefault="00470810" w:rsidP="0086624F">
            <w:pPr>
              <w:pStyle w:val="Default"/>
              <w:spacing w:before="60" w:after="60"/>
              <w:rPr>
                <w:color w:val="auto"/>
                <w:sz w:val="20"/>
                <w:szCs w:val="20"/>
              </w:rPr>
            </w:pPr>
            <w:r w:rsidRPr="00695F3F">
              <w:rPr>
                <w:color w:val="auto"/>
                <w:sz w:val="20"/>
                <w:szCs w:val="20"/>
              </w:rPr>
              <w:t xml:space="preserve">EBS </w:t>
            </w:r>
            <w:r w:rsidRPr="005E60EA">
              <w:rPr>
                <w:color w:val="auto"/>
                <w:sz w:val="20"/>
                <w:szCs w:val="20"/>
              </w:rPr>
              <w:t xml:space="preserve">annual operating losses </w:t>
            </w:r>
            <w:r w:rsidRPr="00695F3F">
              <w:rPr>
                <w:color w:val="auto"/>
                <w:sz w:val="20"/>
                <w:szCs w:val="20"/>
              </w:rPr>
              <w:t>(SRD million)</w:t>
            </w:r>
          </w:p>
        </w:tc>
        <w:tc>
          <w:tcPr>
            <w:tcW w:w="2334" w:type="dxa"/>
            <w:gridSpan w:val="2"/>
            <w:vAlign w:val="center"/>
          </w:tcPr>
          <w:p w:rsidR="00470810" w:rsidRPr="00695F3F" w:rsidRDefault="00470810" w:rsidP="0086624F">
            <w:pPr>
              <w:pStyle w:val="Default"/>
              <w:spacing w:before="60" w:after="60"/>
              <w:jc w:val="center"/>
              <w:rPr>
                <w:i/>
                <w:color w:val="auto"/>
                <w:sz w:val="20"/>
                <w:szCs w:val="20"/>
              </w:rPr>
            </w:pPr>
            <w:r w:rsidRPr="005E60EA">
              <w:rPr>
                <w:i/>
                <w:color w:val="auto"/>
                <w:sz w:val="20"/>
                <w:szCs w:val="20"/>
              </w:rPr>
              <w:t>Baseline (2010):</w:t>
            </w:r>
            <w:r w:rsidRPr="00695F3F">
              <w:rPr>
                <w:i/>
                <w:color w:val="auto"/>
                <w:sz w:val="20"/>
                <w:szCs w:val="20"/>
              </w:rPr>
              <w:t xml:space="preserve"> </w:t>
            </w:r>
            <w:r w:rsidRPr="005E60EA">
              <w:rPr>
                <w:i/>
                <w:color w:val="auto"/>
                <w:sz w:val="20"/>
                <w:szCs w:val="20"/>
              </w:rPr>
              <w:t xml:space="preserve">118 </w:t>
            </w:r>
          </w:p>
        </w:tc>
        <w:tc>
          <w:tcPr>
            <w:tcW w:w="1563" w:type="dxa"/>
            <w:gridSpan w:val="2"/>
            <w:vAlign w:val="center"/>
          </w:tcPr>
          <w:p w:rsidR="00470810" w:rsidRPr="005E60EA" w:rsidRDefault="00470810" w:rsidP="0086624F">
            <w:pPr>
              <w:pStyle w:val="Default"/>
              <w:spacing w:before="60" w:after="60"/>
              <w:jc w:val="center"/>
              <w:rPr>
                <w:color w:val="auto"/>
                <w:sz w:val="20"/>
                <w:szCs w:val="20"/>
                <w:highlight w:val="yellow"/>
              </w:rPr>
            </w:pPr>
            <w:r w:rsidRPr="005E60EA">
              <w:rPr>
                <w:color w:val="auto"/>
                <w:sz w:val="20"/>
                <w:szCs w:val="20"/>
              </w:rPr>
              <w:t>55</w:t>
            </w:r>
          </w:p>
        </w:tc>
        <w:tc>
          <w:tcPr>
            <w:tcW w:w="1905" w:type="dxa"/>
            <w:vAlign w:val="center"/>
          </w:tcPr>
          <w:p w:rsidR="00470810" w:rsidRPr="005E60EA" w:rsidRDefault="00470810" w:rsidP="0086624F">
            <w:pPr>
              <w:pStyle w:val="Default"/>
              <w:spacing w:before="60" w:after="60"/>
              <w:rPr>
                <w:color w:val="auto"/>
                <w:sz w:val="20"/>
                <w:szCs w:val="20"/>
              </w:rPr>
            </w:pPr>
            <w:r w:rsidRPr="005E60EA">
              <w:rPr>
                <w:color w:val="auto"/>
                <w:sz w:val="20"/>
                <w:szCs w:val="20"/>
              </w:rPr>
              <w:t>Report EBS</w:t>
            </w:r>
          </w:p>
        </w:tc>
      </w:tr>
      <w:tr w:rsidR="00470810" w:rsidRPr="0066211A" w:rsidTr="0086624F">
        <w:trPr>
          <w:cantSplit/>
          <w:trHeight w:val="1293"/>
          <w:jc w:val="center"/>
        </w:trPr>
        <w:tc>
          <w:tcPr>
            <w:tcW w:w="2634" w:type="dxa"/>
            <w:vMerge w:val="restart"/>
            <w:vAlign w:val="center"/>
          </w:tcPr>
          <w:p w:rsidR="00470810" w:rsidRPr="005E60EA" w:rsidRDefault="00470810" w:rsidP="0086624F">
            <w:pPr>
              <w:pStyle w:val="Header"/>
              <w:spacing w:beforeLines="40" w:before="96" w:afterLines="40" w:after="96"/>
              <w:rPr>
                <w:lang w:val="en-US"/>
              </w:rPr>
            </w:pPr>
            <w:r w:rsidRPr="005E60EA">
              <w:rPr>
                <w:lang w:val="en-US"/>
              </w:rPr>
              <w:lastRenderedPageBreak/>
              <w:t xml:space="preserve">II.3. </w:t>
            </w:r>
            <w:r w:rsidRPr="005E60EA">
              <w:rPr>
                <w:bCs/>
                <w:lang w:val="en-US"/>
              </w:rPr>
              <w:t>Preparation of an expansion strategy to improve supply efficiency.</w:t>
            </w:r>
          </w:p>
          <w:p w:rsidR="00470810" w:rsidRPr="00695F3F" w:rsidRDefault="00470810" w:rsidP="0086624F">
            <w:pPr>
              <w:pStyle w:val="Default"/>
              <w:spacing w:beforeLines="40" w:before="96" w:afterLines="40" w:after="96"/>
              <w:ind w:left="360"/>
              <w:rPr>
                <w:sz w:val="20"/>
                <w:szCs w:val="20"/>
              </w:rPr>
            </w:pPr>
          </w:p>
        </w:tc>
        <w:tc>
          <w:tcPr>
            <w:tcW w:w="2741" w:type="dxa"/>
            <w:vAlign w:val="center"/>
          </w:tcPr>
          <w:p w:rsidR="00470810" w:rsidRPr="00695F3F" w:rsidRDefault="00470810" w:rsidP="0086624F">
            <w:pPr>
              <w:pStyle w:val="Default"/>
              <w:numPr>
                <w:ilvl w:val="0"/>
                <w:numId w:val="14"/>
              </w:numPr>
              <w:spacing w:beforeLines="40" w:before="96" w:afterLines="40" w:after="96"/>
              <w:rPr>
                <w:sz w:val="20"/>
                <w:szCs w:val="20"/>
              </w:rPr>
            </w:pPr>
            <w:r w:rsidRPr="00695F3F">
              <w:rPr>
                <w:sz w:val="20"/>
                <w:szCs w:val="20"/>
                <w:lang w:eastAsia="es-ES_tradnl"/>
              </w:rPr>
              <w:t>A more reliable energy supply system.</w:t>
            </w:r>
          </w:p>
        </w:tc>
        <w:tc>
          <w:tcPr>
            <w:tcW w:w="2323" w:type="dxa"/>
            <w:vAlign w:val="center"/>
          </w:tcPr>
          <w:p w:rsidR="00470810" w:rsidRPr="005E60EA" w:rsidRDefault="00470810" w:rsidP="0086624F">
            <w:pPr>
              <w:pStyle w:val="Default"/>
              <w:spacing w:before="60" w:after="60"/>
              <w:rPr>
                <w:color w:val="auto"/>
                <w:sz w:val="20"/>
                <w:szCs w:val="20"/>
              </w:rPr>
            </w:pPr>
            <w:r w:rsidRPr="005E60EA">
              <w:rPr>
                <w:color w:val="auto"/>
                <w:sz w:val="20"/>
                <w:szCs w:val="20"/>
              </w:rPr>
              <w:t>System Average Interruption Duration Index (SAIDI) for the EPAR system. (Unit: hours/client).</w:t>
            </w:r>
          </w:p>
        </w:tc>
        <w:tc>
          <w:tcPr>
            <w:tcW w:w="2334" w:type="dxa"/>
            <w:gridSpan w:val="2"/>
            <w:vAlign w:val="center"/>
          </w:tcPr>
          <w:p w:rsidR="00470810" w:rsidRPr="005E60EA" w:rsidRDefault="00470810" w:rsidP="0086624F">
            <w:pPr>
              <w:pStyle w:val="Default"/>
              <w:spacing w:before="60" w:after="60"/>
              <w:jc w:val="center"/>
              <w:rPr>
                <w:i/>
                <w:color w:val="auto"/>
                <w:sz w:val="20"/>
                <w:szCs w:val="20"/>
              </w:rPr>
            </w:pPr>
            <w:r w:rsidRPr="005E60EA">
              <w:rPr>
                <w:i/>
                <w:color w:val="auto"/>
                <w:sz w:val="20"/>
                <w:szCs w:val="20"/>
              </w:rPr>
              <w:t>Baseline (2010):</w:t>
            </w:r>
            <w:r w:rsidRPr="005E60EA">
              <w:rPr>
                <w:color w:val="auto"/>
                <w:sz w:val="20"/>
                <w:szCs w:val="20"/>
              </w:rPr>
              <w:t xml:space="preserve"> 19.7</w:t>
            </w:r>
          </w:p>
        </w:tc>
        <w:tc>
          <w:tcPr>
            <w:tcW w:w="1563" w:type="dxa"/>
            <w:gridSpan w:val="2"/>
            <w:vAlign w:val="center"/>
          </w:tcPr>
          <w:p w:rsidR="00470810" w:rsidRPr="005E60EA" w:rsidRDefault="00470810" w:rsidP="0086624F">
            <w:pPr>
              <w:pStyle w:val="BodyText"/>
              <w:spacing w:before="60" w:after="60"/>
              <w:jc w:val="center"/>
              <w:rPr>
                <w:sz w:val="20"/>
                <w:szCs w:val="20"/>
              </w:rPr>
            </w:pPr>
            <w:r w:rsidRPr="005E60EA">
              <w:rPr>
                <w:sz w:val="20"/>
                <w:szCs w:val="20"/>
              </w:rPr>
              <w:t>18.1</w:t>
            </w:r>
          </w:p>
        </w:tc>
        <w:tc>
          <w:tcPr>
            <w:tcW w:w="1905" w:type="dxa"/>
            <w:vAlign w:val="center"/>
          </w:tcPr>
          <w:p w:rsidR="00470810" w:rsidRPr="005E60EA" w:rsidRDefault="00470810" w:rsidP="0086624F">
            <w:pPr>
              <w:pStyle w:val="BodyText"/>
              <w:spacing w:beforeLines="40" w:before="96" w:afterLines="40" w:after="96"/>
              <w:rPr>
                <w:sz w:val="20"/>
                <w:szCs w:val="20"/>
              </w:rPr>
            </w:pPr>
            <w:r w:rsidRPr="005E60EA">
              <w:rPr>
                <w:sz w:val="20"/>
                <w:szCs w:val="20"/>
              </w:rPr>
              <w:t>EPAR operator (EBS) data and reports.</w:t>
            </w:r>
          </w:p>
        </w:tc>
      </w:tr>
      <w:tr w:rsidR="00470810" w:rsidRPr="005E60EA" w:rsidTr="0086624F">
        <w:trPr>
          <w:cantSplit/>
          <w:trHeight w:val="1293"/>
          <w:jc w:val="center"/>
        </w:trPr>
        <w:tc>
          <w:tcPr>
            <w:tcW w:w="2634" w:type="dxa"/>
            <w:vMerge/>
            <w:vAlign w:val="center"/>
          </w:tcPr>
          <w:p w:rsidR="00470810" w:rsidRPr="00695F3F" w:rsidRDefault="00470810" w:rsidP="0086624F">
            <w:pPr>
              <w:pStyle w:val="Default"/>
              <w:spacing w:beforeLines="40" w:before="96" w:afterLines="40" w:after="96"/>
              <w:ind w:left="360"/>
              <w:rPr>
                <w:sz w:val="20"/>
                <w:szCs w:val="20"/>
              </w:rPr>
            </w:pPr>
          </w:p>
        </w:tc>
        <w:tc>
          <w:tcPr>
            <w:tcW w:w="2741" w:type="dxa"/>
            <w:vAlign w:val="center"/>
          </w:tcPr>
          <w:p w:rsidR="00470810" w:rsidRPr="005E60EA" w:rsidRDefault="00470810" w:rsidP="0086624F">
            <w:pPr>
              <w:pStyle w:val="Default"/>
              <w:numPr>
                <w:ilvl w:val="0"/>
                <w:numId w:val="14"/>
              </w:numPr>
              <w:spacing w:beforeLines="40" w:before="96" w:afterLines="40" w:after="96"/>
              <w:rPr>
                <w:color w:val="auto"/>
                <w:sz w:val="20"/>
                <w:szCs w:val="20"/>
              </w:rPr>
            </w:pPr>
            <w:r w:rsidRPr="00695F3F">
              <w:rPr>
                <w:sz w:val="20"/>
                <w:szCs w:val="20"/>
                <w:lang w:eastAsia="es-ES_tradnl"/>
              </w:rPr>
              <w:t>Increased financial sustainability of power supply for interior locations.</w:t>
            </w:r>
          </w:p>
        </w:tc>
        <w:tc>
          <w:tcPr>
            <w:tcW w:w="2323" w:type="dxa"/>
            <w:vAlign w:val="center"/>
          </w:tcPr>
          <w:p w:rsidR="00470810" w:rsidRPr="005E60EA" w:rsidRDefault="00470810" w:rsidP="0086624F">
            <w:pPr>
              <w:pStyle w:val="Default"/>
              <w:spacing w:before="60" w:after="60"/>
              <w:rPr>
                <w:color w:val="auto"/>
                <w:sz w:val="20"/>
                <w:szCs w:val="20"/>
              </w:rPr>
            </w:pPr>
            <w:r w:rsidRPr="005E60EA">
              <w:rPr>
                <w:sz w:val="20"/>
                <w:szCs w:val="20"/>
                <w:lang w:eastAsia="es-ES_tradnl"/>
              </w:rPr>
              <w:t>C</w:t>
            </w:r>
            <w:r w:rsidRPr="00695F3F">
              <w:rPr>
                <w:sz w:val="20"/>
                <w:szCs w:val="20"/>
                <w:lang w:eastAsia="es-ES_tradnl"/>
              </w:rPr>
              <w:t>ost recove</w:t>
            </w:r>
            <w:r w:rsidRPr="005E60EA">
              <w:rPr>
                <w:sz w:val="20"/>
                <w:szCs w:val="20"/>
                <w:lang w:eastAsia="es-ES_tradnl"/>
              </w:rPr>
              <w:t>red</w:t>
            </w:r>
            <w:r w:rsidRPr="00695F3F">
              <w:rPr>
                <w:sz w:val="20"/>
                <w:szCs w:val="20"/>
                <w:lang w:eastAsia="es-ES_tradnl"/>
              </w:rPr>
              <w:t xml:space="preserve"> </w:t>
            </w:r>
            <w:r w:rsidRPr="005E60EA">
              <w:rPr>
                <w:sz w:val="20"/>
                <w:szCs w:val="20"/>
                <w:lang w:eastAsia="es-ES_tradnl"/>
              </w:rPr>
              <w:t xml:space="preserve">/ Total Cost </w:t>
            </w:r>
            <w:r w:rsidRPr="00695F3F">
              <w:rPr>
                <w:sz w:val="20"/>
                <w:szCs w:val="20"/>
                <w:lang w:eastAsia="es-ES_tradnl"/>
              </w:rPr>
              <w:t>for electricity supply to isolated systems in the Hinterland (%)</w:t>
            </w:r>
          </w:p>
        </w:tc>
        <w:tc>
          <w:tcPr>
            <w:tcW w:w="2334" w:type="dxa"/>
            <w:gridSpan w:val="2"/>
            <w:vAlign w:val="center"/>
          </w:tcPr>
          <w:p w:rsidR="00470810" w:rsidRPr="005E60EA" w:rsidRDefault="00470810" w:rsidP="0086624F">
            <w:pPr>
              <w:pStyle w:val="Default"/>
              <w:spacing w:before="60" w:after="60"/>
              <w:jc w:val="center"/>
              <w:rPr>
                <w:i/>
                <w:color w:val="auto"/>
                <w:sz w:val="20"/>
                <w:szCs w:val="20"/>
              </w:rPr>
            </w:pPr>
            <w:r w:rsidRPr="005E60EA">
              <w:rPr>
                <w:i/>
                <w:sz w:val="20"/>
                <w:szCs w:val="20"/>
              </w:rPr>
              <w:t>Baseline (2011): 0</w:t>
            </w:r>
          </w:p>
        </w:tc>
        <w:tc>
          <w:tcPr>
            <w:tcW w:w="1563" w:type="dxa"/>
            <w:gridSpan w:val="2"/>
            <w:vAlign w:val="center"/>
          </w:tcPr>
          <w:p w:rsidR="00470810" w:rsidRPr="005E60EA" w:rsidRDefault="00470810" w:rsidP="0086624F">
            <w:pPr>
              <w:pStyle w:val="BodyText"/>
              <w:spacing w:before="60" w:after="60"/>
              <w:jc w:val="center"/>
              <w:rPr>
                <w:sz w:val="20"/>
                <w:szCs w:val="20"/>
              </w:rPr>
            </w:pPr>
            <w:r w:rsidRPr="005E60EA">
              <w:rPr>
                <w:i/>
                <w:sz w:val="20"/>
                <w:szCs w:val="20"/>
              </w:rPr>
              <w:t>40</w:t>
            </w:r>
          </w:p>
        </w:tc>
        <w:tc>
          <w:tcPr>
            <w:tcW w:w="1905" w:type="dxa"/>
            <w:vAlign w:val="center"/>
          </w:tcPr>
          <w:p w:rsidR="00470810" w:rsidRPr="005E60EA" w:rsidRDefault="00470810" w:rsidP="0086624F">
            <w:pPr>
              <w:pStyle w:val="BodyText"/>
              <w:spacing w:beforeLines="40" w:before="96" w:afterLines="40" w:after="96"/>
              <w:rPr>
                <w:sz w:val="20"/>
                <w:szCs w:val="20"/>
              </w:rPr>
            </w:pPr>
            <w:r w:rsidRPr="00695F3F">
              <w:rPr>
                <w:sz w:val="20"/>
                <w:szCs w:val="20"/>
              </w:rPr>
              <w:t>MNH report</w:t>
            </w:r>
          </w:p>
        </w:tc>
      </w:tr>
      <w:tr w:rsidR="00470810" w:rsidRPr="0066211A" w:rsidTr="0086624F">
        <w:trPr>
          <w:cantSplit/>
          <w:trHeight w:val="126"/>
          <w:jc w:val="center"/>
        </w:trPr>
        <w:tc>
          <w:tcPr>
            <w:tcW w:w="13500" w:type="dxa"/>
            <w:gridSpan w:val="8"/>
            <w:vAlign w:val="center"/>
          </w:tcPr>
          <w:p w:rsidR="00470810" w:rsidRPr="005E60EA" w:rsidRDefault="00470810" w:rsidP="0086624F">
            <w:pPr>
              <w:pStyle w:val="Default"/>
              <w:tabs>
                <w:tab w:val="center" w:pos="4320"/>
                <w:tab w:val="right" w:pos="8640"/>
              </w:tabs>
              <w:spacing w:before="96" w:after="96"/>
              <w:rPr>
                <w:b/>
                <w:color w:val="auto"/>
                <w:sz w:val="20"/>
                <w:szCs w:val="20"/>
              </w:rPr>
            </w:pPr>
            <w:r w:rsidRPr="005E60EA">
              <w:rPr>
                <w:b/>
                <w:bCs/>
                <w:color w:val="auto"/>
                <w:sz w:val="20"/>
                <w:szCs w:val="20"/>
              </w:rPr>
              <w:t>III. Strengthen Sector Corporate Capabilities</w:t>
            </w:r>
          </w:p>
        </w:tc>
      </w:tr>
      <w:tr w:rsidR="00470810" w:rsidRPr="005E60EA" w:rsidTr="0086624F">
        <w:trPr>
          <w:cantSplit/>
          <w:trHeight w:val="879"/>
          <w:jc w:val="center"/>
        </w:trPr>
        <w:tc>
          <w:tcPr>
            <w:tcW w:w="2634" w:type="dxa"/>
            <w:vMerge w:val="restart"/>
            <w:vAlign w:val="center"/>
          </w:tcPr>
          <w:p w:rsidR="00470810" w:rsidRPr="005E60EA" w:rsidRDefault="00470810" w:rsidP="0086624F">
            <w:pPr>
              <w:pStyle w:val="Header"/>
              <w:spacing w:beforeLines="40" w:before="96" w:afterLines="40" w:after="96"/>
              <w:rPr>
                <w:lang w:val="en-US"/>
              </w:rPr>
            </w:pPr>
            <w:r w:rsidRPr="005E60EA">
              <w:rPr>
                <w:lang w:val="en-US"/>
              </w:rPr>
              <w:t>III.1 Strengthen utility’s capabilities to operate by contributing to improvements in corporate governance, transparency and accountability</w:t>
            </w:r>
            <w:r w:rsidRPr="005E60EA">
              <w:rPr>
                <w:bCs/>
                <w:lang w:val="en-US"/>
              </w:rPr>
              <w:t>.</w:t>
            </w:r>
          </w:p>
          <w:p w:rsidR="00470810" w:rsidRPr="005E60EA" w:rsidRDefault="00470810" w:rsidP="0086624F">
            <w:pPr>
              <w:pStyle w:val="Header"/>
              <w:spacing w:beforeLines="40" w:before="96" w:afterLines="40" w:after="96"/>
              <w:rPr>
                <w:lang w:val="en-US"/>
              </w:rPr>
            </w:pPr>
          </w:p>
        </w:tc>
        <w:tc>
          <w:tcPr>
            <w:tcW w:w="2741" w:type="dxa"/>
            <w:vAlign w:val="center"/>
          </w:tcPr>
          <w:p w:rsidR="00470810" w:rsidRPr="005E60EA" w:rsidRDefault="00470810" w:rsidP="0086624F">
            <w:pPr>
              <w:pStyle w:val="ListParagraph"/>
              <w:numPr>
                <w:ilvl w:val="0"/>
                <w:numId w:val="14"/>
              </w:numPr>
              <w:rPr>
                <w:lang w:val="en-US"/>
              </w:rPr>
            </w:pPr>
            <w:r w:rsidRPr="005E60EA">
              <w:rPr>
                <w:lang w:val="en-US"/>
              </w:rPr>
              <w:t>Increase of security in electricity supply</w:t>
            </w:r>
          </w:p>
        </w:tc>
        <w:tc>
          <w:tcPr>
            <w:tcW w:w="2323" w:type="dxa"/>
            <w:vAlign w:val="center"/>
          </w:tcPr>
          <w:p w:rsidR="00470810" w:rsidRPr="005E60EA" w:rsidRDefault="00470810" w:rsidP="0086624F">
            <w:pPr>
              <w:pStyle w:val="Default"/>
              <w:rPr>
                <w:color w:val="auto"/>
                <w:sz w:val="20"/>
                <w:szCs w:val="20"/>
              </w:rPr>
            </w:pPr>
            <w:r w:rsidRPr="005E60EA">
              <w:rPr>
                <w:color w:val="auto"/>
                <w:sz w:val="20"/>
                <w:szCs w:val="20"/>
              </w:rPr>
              <w:t>Number of Independent Power Producers (IPPs) supplying power to EBS</w:t>
            </w:r>
          </w:p>
        </w:tc>
        <w:tc>
          <w:tcPr>
            <w:tcW w:w="2301" w:type="dxa"/>
            <w:vAlign w:val="center"/>
          </w:tcPr>
          <w:p w:rsidR="00470810" w:rsidRPr="005E60EA" w:rsidRDefault="00470810" w:rsidP="0086624F">
            <w:pPr>
              <w:pStyle w:val="BodyText"/>
              <w:spacing w:beforeLines="40" w:before="96" w:afterLines="40" w:after="96"/>
              <w:jc w:val="center"/>
              <w:rPr>
                <w:i/>
                <w:sz w:val="20"/>
                <w:szCs w:val="20"/>
              </w:rPr>
            </w:pPr>
            <w:r w:rsidRPr="005E60EA">
              <w:rPr>
                <w:i/>
                <w:sz w:val="20"/>
                <w:szCs w:val="20"/>
              </w:rPr>
              <w:t>Baseline (2014): 2</w:t>
            </w:r>
          </w:p>
        </w:tc>
        <w:tc>
          <w:tcPr>
            <w:tcW w:w="1565" w:type="dxa"/>
            <w:gridSpan w:val="2"/>
            <w:vAlign w:val="center"/>
          </w:tcPr>
          <w:p w:rsidR="00470810" w:rsidRPr="005E60EA" w:rsidRDefault="00470810" w:rsidP="0086624F">
            <w:pPr>
              <w:pStyle w:val="BodyText"/>
              <w:spacing w:beforeLines="40" w:before="96" w:afterLines="40" w:after="96"/>
              <w:jc w:val="center"/>
              <w:rPr>
                <w:i/>
                <w:sz w:val="20"/>
                <w:szCs w:val="20"/>
              </w:rPr>
            </w:pPr>
            <w:r w:rsidRPr="005E60EA">
              <w:rPr>
                <w:i/>
                <w:sz w:val="20"/>
                <w:szCs w:val="20"/>
              </w:rPr>
              <w:t>3</w:t>
            </w:r>
          </w:p>
        </w:tc>
        <w:tc>
          <w:tcPr>
            <w:tcW w:w="1936" w:type="dxa"/>
            <w:gridSpan w:val="2"/>
            <w:vAlign w:val="center"/>
          </w:tcPr>
          <w:p w:rsidR="00470810" w:rsidRPr="005E60EA" w:rsidRDefault="00470810" w:rsidP="0086624F">
            <w:pPr>
              <w:pStyle w:val="BodyText"/>
              <w:spacing w:beforeLines="40" w:before="96" w:afterLines="40" w:after="96"/>
              <w:rPr>
                <w:sz w:val="20"/>
                <w:szCs w:val="20"/>
              </w:rPr>
            </w:pPr>
            <w:r w:rsidRPr="005E60EA">
              <w:rPr>
                <w:sz w:val="20"/>
                <w:szCs w:val="20"/>
              </w:rPr>
              <w:t>Report EBS</w:t>
            </w:r>
          </w:p>
        </w:tc>
      </w:tr>
      <w:tr w:rsidR="00470810" w:rsidRPr="005E60EA" w:rsidTr="0086624F">
        <w:trPr>
          <w:cantSplit/>
          <w:trHeight w:val="879"/>
          <w:jc w:val="center"/>
        </w:trPr>
        <w:tc>
          <w:tcPr>
            <w:tcW w:w="2634" w:type="dxa"/>
            <w:vMerge/>
            <w:vAlign w:val="center"/>
          </w:tcPr>
          <w:p w:rsidR="00470810" w:rsidRPr="005E60EA" w:rsidRDefault="00470810" w:rsidP="0086624F">
            <w:pPr>
              <w:pStyle w:val="Header"/>
              <w:spacing w:beforeLines="40" w:before="96" w:afterLines="40" w:after="96"/>
              <w:rPr>
                <w:lang w:val="en-US"/>
              </w:rPr>
            </w:pPr>
          </w:p>
        </w:tc>
        <w:tc>
          <w:tcPr>
            <w:tcW w:w="2741" w:type="dxa"/>
            <w:vAlign w:val="center"/>
          </w:tcPr>
          <w:p w:rsidR="00470810" w:rsidRPr="005E60EA" w:rsidRDefault="00470810" w:rsidP="0086624F">
            <w:pPr>
              <w:pStyle w:val="ListParagraph"/>
              <w:numPr>
                <w:ilvl w:val="0"/>
                <w:numId w:val="14"/>
              </w:numPr>
              <w:rPr>
                <w:lang w:val="en-US"/>
              </w:rPr>
            </w:pPr>
            <w:r w:rsidRPr="00695F3F">
              <w:rPr>
                <w:lang w:val="en-US" w:eastAsia="es-ES_tradnl"/>
              </w:rPr>
              <w:t>Technical and financial information of the electricity sector is available for consultation.</w:t>
            </w:r>
          </w:p>
        </w:tc>
        <w:tc>
          <w:tcPr>
            <w:tcW w:w="2323" w:type="dxa"/>
            <w:vAlign w:val="center"/>
          </w:tcPr>
          <w:p w:rsidR="00470810" w:rsidRPr="005E60EA" w:rsidRDefault="00470810" w:rsidP="0086624F">
            <w:pPr>
              <w:pStyle w:val="Default"/>
              <w:rPr>
                <w:color w:val="auto"/>
                <w:sz w:val="20"/>
                <w:szCs w:val="20"/>
              </w:rPr>
            </w:pPr>
            <w:r w:rsidRPr="005E60EA">
              <w:rPr>
                <w:sz w:val="20"/>
                <w:szCs w:val="20"/>
                <w:lang w:eastAsia="es-ES_tradnl"/>
              </w:rPr>
              <w:t>EBS annual report published online</w:t>
            </w:r>
          </w:p>
        </w:tc>
        <w:tc>
          <w:tcPr>
            <w:tcW w:w="2301" w:type="dxa"/>
            <w:vAlign w:val="center"/>
          </w:tcPr>
          <w:p w:rsidR="00470810" w:rsidRPr="005E60EA" w:rsidRDefault="00470810" w:rsidP="0086624F">
            <w:pPr>
              <w:pStyle w:val="BodyText"/>
              <w:spacing w:beforeLines="40" w:before="96" w:afterLines="40" w:after="96"/>
              <w:jc w:val="center"/>
              <w:rPr>
                <w:i/>
                <w:sz w:val="20"/>
                <w:szCs w:val="20"/>
              </w:rPr>
            </w:pPr>
            <w:r w:rsidRPr="005E60EA">
              <w:rPr>
                <w:i/>
                <w:sz w:val="20"/>
                <w:szCs w:val="20"/>
              </w:rPr>
              <w:t>Baseline (2011): 0</w:t>
            </w:r>
          </w:p>
        </w:tc>
        <w:tc>
          <w:tcPr>
            <w:tcW w:w="1565" w:type="dxa"/>
            <w:gridSpan w:val="2"/>
            <w:vAlign w:val="center"/>
          </w:tcPr>
          <w:p w:rsidR="00470810" w:rsidRPr="005E60EA" w:rsidRDefault="00470810" w:rsidP="0086624F">
            <w:pPr>
              <w:pStyle w:val="BodyText"/>
              <w:spacing w:beforeLines="40" w:before="96" w:afterLines="40" w:after="96"/>
              <w:jc w:val="center"/>
              <w:rPr>
                <w:i/>
                <w:sz w:val="20"/>
                <w:szCs w:val="20"/>
              </w:rPr>
            </w:pPr>
            <w:r w:rsidRPr="005E60EA">
              <w:rPr>
                <w:i/>
                <w:sz w:val="20"/>
                <w:szCs w:val="20"/>
              </w:rPr>
              <w:t>1</w:t>
            </w:r>
          </w:p>
        </w:tc>
        <w:tc>
          <w:tcPr>
            <w:tcW w:w="1936" w:type="dxa"/>
            <w:gridSpan w:val="2"/>
            <w:vAlign w:val="center"/>
          </w:tcPr>
          <w:p w:rsidR="00470810" w:rsidRPr="005E60EA" w:rsidRDefault="00470810" w:rsidP="0086624F">
            <w:pPr>
              <w:pStyle w:val="BodyText"/>
              <w:spacing w:beforeLines="40" w:before="96" w:afterLines="40" w:after="96"/>
              <w:rPr>
                <w:sz w:val="20"/>
                <w:szCs w:val="20"/>
              </w:rPr>
            </w:pPr>
            <w:r w:rsidRPr="005E60EA">
              <w:rPr>
                <w:sz w:val="20"/>
                <w:szCs w:val="20"/>
              </w:rPr>
              <w:t>EBS website</w:t>
            </w:r>
          </w:p>
        </w:tc>
      </w:tr>
      <w:tr w:rsidR="00470810" w:rsidRPr="005E60EA" w:rsidTr="0086624F">
        <w:trPr>
          <w:cantSplit/>
          <w:trHeight w:val="879"/>
          <w:jc w:val="center"/>
        </w:trPr>
        <w:tc>
          <w:tcPr>
            <w:tcW w:w="2634" w:type="dxa"/>
            <w:vMerge/>
            <w:vAlign w:val="center"/>
          </w:tcPr>
          <w:p w:rsidR="00470810" w:rsidRPr="005E60EA" w:rsidRDefault="00470810" w:rsidP="0086624F">
            <w:pPr>
              <w:pStyle w:val="Header"/>
              <w:spacing w:beforeLines="40" w:before="96" w:afterLines="40" w:after="96"/>
              <w:rPr>
                <w:lang w:val="en-US"/>
              </w:rPr>
            </w:pPr>
          </w:p>
        </w:tc>
        <w:tc>
          <w:tcPr>
            <w:tcW w:w="2741" w:type="dxa"/>
            <w:vAlign w:val="center"/>
          </w:tcPr>
          <w:p w:rsidR="00470810" w:rsidRPr="005E60EA" w:rsidRDefault="00470810" w:rsidP="0086624F">
            <w:pPr>
              <w:pStyle w:val="ListParagraph"/>
              <w:numPr>
                <w:ilvl w:val="0"/>
                <w:numId w:val="14"/>
              </w:numPr>
              <w:rPr>
                <w:lang w:val="en-US" w:eastAsia="es-ES_tradnl"/>
              </w:rPr>
            </w:pPr>
            <w:r w:rsidRPr="00695F3F">
              <w:rPr>
                <w:lang w:val="en-US" w:eastAsia="es-ES_tradnl"/>
              </w:rPr>
              <w:t xml:space="preserve">Power sector’s governance mechanisms are being improved. </w:t>
            </w:r>
          </w:p>
        </w:tc>
        <w:tc>
          <w:tcPr>
            <w:tcW w:w="2323" w:type="dxa"/>
            <w:vAlign w:val="center"/>
          </w:tcPr>
          <w:p w:rsidR="00470810" w:rsidRPr="005E60EA" w:rsidRDefault="00470810" w:rsidP="0086624F">
            <w:pPr>
              <w:pStyle w:val="Default"/>
              <w:rPr>
                <w:sz w:val="20"/>
                <w:szCs w:val="20"/>
                <w:lang w:eastAsia="es-ES_tradnl"/>
              </w:rPr>
            </w:pPr>
            <w:r w:rsidRPr="005E60EA">
              <w:rPr>
                <w:sz w:val="20"/>
                <w:szCs w:val="20"/>
                <w:lang w:eastAsia="es-ES_tradnl"/>
              </w:rPr>
              <w:t xml:space="preserve">A corporate  governance action plan in implementation   </w:t>
            </w:r>
          </w:p>
        </w:tc>
        <w:tc>
          <w:tcPr>
            <w:tcW w:w="2301" w:type="dxa"/>
            <w:vAlign w:val="center"/>
          </w:tcPr>
          <w:p w:rsidR="00470810" w:rsidRPr="005E60EA" w:rsidRDefault="00470810" w:rsidP="0086624F">
            <w:pPr>
              <w:pStyle w:val="BodyText"/>
              <w:spacing w:beforeLines="40" w:before="96" w:afterLines="40" w:after="96"/>
              <w:jc w:val="center"/>
              <w:rPr>
                <w:i/>
                <w:sz w:val="20"/>
                <w:szCs w:val="20"/>
              </w:rPr>
            </w:pPr>
            <w:r w:rsidRPr="005E60EA">
              <w:rPr>
                <w:i/>
                <w:sz w:val="20"/>
                <w:szCs w:val="20"/>
              </w:rPr>
              <w:t>Baseline (2011): 0</w:t>
            </w:r>
          </w:p>
        </w:tc>
        <w:tc>
          <w:tcPr>
            <w:tcW w:w="1565" w:type="dxa"/>
            <w:gridSpan w:val="2"/>
            <w:vAlign w:val="center"/>
          </w:tcPr>
          <w:p w:rsidR="00470810" w:rsidRPr="005E60EA" w:rsidRDefault="00470810" w:rsidP="0086624F">
            <w:pPr>
              <w:pStyle w:val="BodyText"/>
              <w:spacing w:beforeLines="40" w:before="96" w:afterLines="40" w:after="96"/>
              <w:jc w:val="center"/>
              <w:rPr>
                <w:i/>
                <w:sz w:val="20"/>
                <w:szCs w:val="20"/>
              </w:rPr>
            </w:pPr>
            <w:r w:rsidRPr="005E60EA">
              <w:rPr>
                <w:i/>
                <w:sz w:val="20"/>
                <w:szCs w:val="20"/>
              </w:rPr>
              <w:t>1</w:t>
            </w:r>
          </w:p>
        </w:tc>
        <w:tc>
          <w:tcPr>
            <w:tcW w:w="1936" w:type="dxa"/>
            <w:gridSpan w:val="2"/>
            <w:vAlign w:val="center"/>
          </w:tcPr>
          <w:p w:rsidR="00470810" w:rsidRPr="005E60EA" w:rsidRDefault="00470810" w:rsidP="0086624F">
            <w:pPr>
              <w:pStyle w:val="BodyText"/>
              <w:spacing w:beforeLines="40" w:before="96" w:afterLines="40" w:after="96"/>
              <w:rPr>
                <w:sz w:val="20"/>
                <w:szCs w:val="20"/>
              </w:rPr>
            </w:pPr>
            <w:r w:rsidRPr="005E60EA">
              <w:rPr>
                <w:sz w:val="20"/>
                <w:szCs w:val="20"/>
              </w:rPr>
              <w:t>Report EBS</w:t>
            </w:r>
          </w:p>
        </w:tc>
      </w:tr>
    </w:tbl>
    <w:p w:rsidR="00470810" w:rsidRPr="005E60EA" w:rsidRDefault="00470810" w:rsidP="00470810">
      <w:pPr>
        <w:rPr>
          <w:lang w:val="en-US"/>
        </w:rPr>
      </w:pPr>
    </w:p>
    <w:p w:rsidR="00470810" w:rsidRDefault="00470810" w:rsidP="00470810">
      <w:pPr>
        <w:rPr>
          <w:lang w:val="en-US"/>
        </w:rPr>
      </w:pPr>
    </w:p>
    <w:p w:rsidR="00386CA6" w:rsidRDefault="00386CA6" w:rsidP="00470810">
      <w:pPr>
        <w:rPr>
          <w:lang w:val="en-US"/>
        </w:rPr>
      </w:pPr>
    </w:p>
    <w:p w:rsidR="00386CA6" w:rsidRPr="005E60EA" w:rsidRDefault="00386CA6" w:rsidP="00470810">
      <w:pPr>
        <w:rPr>
          <w:lang w:val="en-US"/>
        </w:rPr>
      </w:pPr>
    </w:p>
    <w:p w:rsidR="00470810" w:rsidRPr="005E60EA" w:rsidRDefault="00470810" w:rsidP="00470810">
      <w:pPr>
        <w:rPr>
          <w:lang w:val="en-US"/>
        </w:rPr>
      </w:pPr>
    </w:p>
    <w:tbl>
      <w:tblPr>
        <w:tblW w:w="135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4410"/>
        <w:gridCol w:w="990"/>
        <w:gridCol w:w="900"/>
        <w:gridCol w:w="1440"/>
      </w:tblGrid>
      <w:tr w:rsidR="00470810" w:rsidRPr="005E60EA" w:rsidTr="0086624F">
        <w:trPr>
          <w:cantSplit/>
          <w:trHeight w:val="494"/>
          <w:tblHeader/>
        </w:trPr>
        <w:tc>
          <w:tcPr>
            <w:tcW w:w="5850" w:type="dxa"/>
            <w:shd w:val="clear" w:color="000000" w:fill="D9D9D9"/>
            <w:vAlign w:val="center"/>
            <w:hideMark/>
          </w:tcPr>
          <w:p w:rsidR="00470810" w:rsidRPr="005E60EA" w:rsidRDefault="00470810" w:rsidP="008F3EA0">
            <w:pPr>
              <w:rPr>
                <w:b/>
                <w:bCs/>
                <w:lang w:val="en-US"/>
              </w:rPr>
            </w:pPr>
            <w:r w:rsidRPr="005E60EA">
              <w:rPr>
                <w:b/>
                <w:bCs/>
                <w:lang w:val="en-US"/>
              </w:rPr>
              <w:t>Outputs - Conditions for Third Programmatic PBL (201</w:t>
            </w:r>
            <w:r w:rsidR="008F3EA0">
              <w:rPr>
                <w:b/>
                <w:bCs/>
                <w:lang w:val="en-US"/>
              </w:rPr>
              <w:t>6</w:t>
            </w:r>
            <w:r w:rsidRPr="005E60EA">
              <w:rPr>
                <w:b/>
                <w:bCs/>
                <w:lang w:val="en-US"/>
              </w:rPr>
              <w:t>)</w:t>
            </w:r>
          </w:p>
        </w:tc>
        <w:tc>
          <w:tcPr>
            <w:tcW w:w="4410" w:type="dxa"/>
            <w:shd w:val="clear" w:color="000000" w:fill="D9D9D9"/>
            <w:vAlign w:val="center"/>
            <w:hideMark/>
          </w:tcPr>
          <w:p w:rsidR="00470810" w:rsidRPr="005E60EA" w:rsidRDefault="00470810" w:rsidP="0086624F">
            <w:pPr>
              <w:rPr>
                <w:b/>
                <w:bCs/>
                <w:lang w:val="en-US"/>
              </w:rPr>
            </w:pPr>
            <w:r w:rsidRPr="005E60EA">
              <w:rPr>
                <w:b/>
                <w:bCs/>
                <w:lang w:val="en-US"/>
              </w:rPr>
              <w:t>Means of Verification</w:t>
            </w:r>
          </w:p>
        </w:tc>
        <w:tc>
          <w:tcPr>
            <w:tcW w:w="990" w:type="dxa"/>
            <w:shd w:val="clear" w:color="000000" w:fill="D9D9D9"/>
            <w:vAlign w:val="center"/>
          </w:tcPr>
          <w:p w:rsidR="00470810" w:rsidRPr="005E60EA" w:rsidRDefault="00470810" w:rsidP="0086624F">
            <w:pPr>
              <w:jc w:val="center"/>
              <w:rPr>
                <w:b/>
                <w:bCs/>
                <w:lang w:val="en-US"/>
              </w:rPr>
            </w:pPr>
            <w:r w:rsidRPr="00695F3F">
              <w:rPr>
                <w:b/>
                <w:bCs/>
                <w:lang w:val="en-US"/>
              </w:rPr>
              <w:t>Baseline (2014</w:t>
            </w:r>
            <w:r w:rsidRPr="005E60EA">
              <w:rPr>
                <w:b/>
                <w:bCs/>
                <w:lang w:val="en-US"/>
              </w:rPr>
              <w:t>)</w:t>
            </w:r>
          </w:p>
        </w:tc>
        <w:tc>
          <w:tcPr>
            <w:tcW w:w="900" w:type="dxa"/>
            <w:shd w:val="clear" w:color="000000" w:fill="D9D9D9"/>
            <w:vAlign w:val="center"/>
          </w:tcPr>
          <w:p w:rsidR="00470810" w:rsidRPr="005E60EA" w:rsidRDefault="00470810" w:rsidP="008F3EA0">
            <w:pPr>
              <w:jc w:val="center"/>
              <w:rPr>
                <w:b/>
                <w:bCs/>
                <w:lang w:val="en-US"/>
              </w:rPr>
            </w:pPr>
            <w:r w:rsidRPr="005E60EA">
              <w:rPr>
                <w:b/>
                <w:bCs/>
                <w:lang w:val="en-US"/>
              </w:rPr>
              <w:t>Target (201</w:t>
            </w:r>
            <w:r w:rsidR="008F3EA0">
              <w:rPr>
                <w:b/>
                <w:bCs/>
                <w:lang w:val="en-US"/>
              </w:rPr>
              <w:t>6</w:t>
            </w:r>
            <w:r w:rsidRPr="005E60EA">
              <w:rPr>
                <w:b/>
                <w:bCs/>
                <w:lang w:val="en-US"/>
              </w:rPr>
              <w:t>)</w:t>
            </w:r>
          </w:p>
        </w:tc>
        <w:tc>
          <w:tcPr>
            <w:tcW w:w="1440" w:type="dxa"/>
            <w:shd w:val="clear" w:color="000000" w:fill="D9D9D9"/>
            <w:vAlign w:val="center"/>
            <w:hideMark/>
          </w:tcPr>
          <w:p w:rsidR="00470810" w:rsidRPr="005E60EA" w:rsidRDefault="00470810" w:rsidP="0086624F">
            <w:pPr>
              <w:rPr>
                <w:b/>
                <w:bCs/>
                <w:lang w:val="en-US"/>
              </w:rPr>
            </w:pPr>
            <w:r w:rsidRPr="005E60EA">
              <w:rPr>
                <w:b/>
                <w:bCs/>
                <w:lang w:val="en-US"/>
              </w:rPr>
              <w:t>Responsibility</w:t>
            </w:r>
          </w:p>
        </w:tc>
      </w:tr>
      <w:tr w:rsidR="00470810" w:rsidRPr="005E60EA" w:rsidTr="0086624F">
        <w:trPr>
          <w:cantSplit/>
          <w:trHeight w:val="271"/>
        </w:trPr>
        <w:tc>
          <w:tcPr>
            <w:tcW w:w="13590" w:type="dxa"/>
            <w:gridSpan w:val="5"/>
            <w:vAlign w:val="center"/>
          </w:tcPr>
          <w:p w:rsidR="00470810" w:rsidRPr="00695F3F" w:rsidRDefault="00470810" w:rsidP="0086624F">
            <w:pPr>
              <w:rPr>
                <w:b/>
                <w:bCs/>
                <w:lang w:val="en-US"/>
              </w:rPr>
            </w:pPr>
            <w:r w:rsidRPr="00695F3F">
              <w:rPr>
                <w:b/>
                <w:bCs/>
                <w:lang w:val="en-US"/>
              </w:rPr>
              <w:t>I. Macroeconomic Stability</w:t>
            </w:r>
          </w:p>
          <w:p w:rsidR="00470810" w:rsidRPr="00695F3F" w:rsidRDefault="00470810" w:rsidP="0086624F">
            <w:pPr>
              <w:rPr>
                <w:b/>
                <w:bCs/>
                <w:lang w:val="en-US"/>
              </w:rPr>
            </w:pPr>
          </w:p>
        </w:tc>
      </w:tr>
      <w:tr w:rsidR="00470810" w:rsidRPr="005E60EA" w:rsidTr="0086624F">
        <w:trPr>
          <w:cantSplit/>
          <w:trHeight w:val="461"/>
        </w:trPr>
        <w:tc>
          <w:tcPr>
            <w:tcW w:w="5850" w:type="dxa"/>
            <w:shd w:val="clear" w:color="auto" w:fill="auto"/>
            <w:vAlign w:val="center"/>
            <w:hideMark/>
          </w:tcPr>
          <w:p w:rsidR="00470810" w:rsidRPr="005E60EA" w:rsidRDefault="00470810" w:rsidP="0086624F">
            <w:pPr>
              <w:rPr>
                <w:lang w:val="en-US"/>
              </w:rPr>
            </w:pPr>
            <w:r w:rsidRPr="005E60EA">
              <w:rPr>
                <w:lang w:val="en-US"/>
              </w:rPr>
              <w:t>1.        Macroeconomic framework is consistent with the objectives of the program and with policy letter</w:t>
            </w:r>
          </w:p>
        </w:tc>
        <w:tc>
          <w:tcPr>
            <w:tcW w:w="4410" w:type="dxa"/>
            <w:shd w:val="clear" w:color="auto" w:fill="auto"/>
            <w:vAlign w:val="center"/>
            <w:hideMark/>
          </w:tcPr>
          <w:p w:rsidR="00470810" w:rsidRPr="005E60EA" w:rsidRDefault="00470810" w:rsidP="0086624F">
            <w:pPr>
              <w:rPr>
                <w:lang w:val="en-US"/>
              </w:rPr>
            </w:pPr>
            <w:r w:rsidRPr="00695F3F">
              <w:rPr>
                <w:bCs/>
                <w:lang w:val="en-US"/>
              </w:rPr>
              <w:t>Valid Independent Assessment of Macroeconomic Conditions (IAMC) at the time of requesting the disbursement.</w:t>
            </w:r>
          </w:p>
        </w:tc>
        <w:tc>
          <w:tcPr>
            <w:tcW w:w="990" w:type="dxa"/>
            <w:vAlign w:val="center"/>
          </w:tcPr>
          <w:p w:rsidR="00470810" w:rsidRPr="005E60EA" w:rsidRDefault="00470810" w:rsidP="0086624F">
            <w:pPr>
              <w:jc w:val="center"/>
              <w:rPr>
                <w:lang w:val="en-US"/>
              </w:rPr>
            </w:pPr>
            <w:r w:rsidRPr="005E60EA">
              <w:rPr>
                <w:lang w:val="en-US"/>
              </w:rPr>
              <w:t>1</w:t>
            </w:r>
          </w:p>
        </w:tc>
        <w:tc>
          <w:tcPr>
            <w:tcW w:w="900" w:type="dxa"/>
            <w:vAlign w:val="center"/>
          </w:tcPr>
          <w:p w:rsidR="00470810" w:rsidRPr="005E60EA" w:rsidRDefault="00470810" w:rsidP="0086624F">
            <w:pPr>
              <w:jc w:val="center"/>
              <w:rPr>
                <w:lang w:val="en-US"/>
              </w:rPr>
            </w:pPr>
            <w:r w:rsidRPr="005E60EA">
              <w:rPr>
                <w:lang w:val="en-US"/>
              </w:rPr>
              <w:t>1</w:t>
            </w:r>
          </w:p>
        </w:tc>
        <w:tc>
          <w:tcPr>
            <w:tcW w:w="1440" w:type="dxa"/>
            <w:shd w:val="clear" w:color="auto" w:fill="auto"/>
            <w:vAlign w:val="center"/>
            <w:hideMark/>
          </w:tcPr>
          <w:p w:rsidR="00470810" w:rsidRPr="005E60EA" w:rsidRDefault="00470810" w:rsidP="0086624F">
            <w:pPr>
              <w:rPr>
                <w:lang w:val="en-US"/>
              </w:rPr>
            </w:pPr>
            <w:r w:rsidRPr="005E60EA">
              <w:rPr>
                <w:lang w:val="en-US"/>
              </w:rPr>
              <w:t>Verification by IDB</w:t>
            </w:r>
          </w:p>
        </w:tc>
      </w:tr>
      <w:tr w:rsidR="00470810" w:rsidRPr="0066211A" w:rsidTr="0086624F">
        <w:trPr>
          <w:cantSplit/>
          <w:trHeight w:val="271"/>
        </w:trPr>
        <w:tc>
          <w:tcPr>
            <w:tcW w:w="13590" w:type="dxa"/>
            <w:gridSpan w:val="5"/>
            <w:vAlign w:val="center"/>
          </w:tcPr>
          <w:p w:rsidR="00470810" w:rsidRPr="00695F3F" w:rsidRDefault="00470810" w:rsidP="0086624F">
            <w:pPr>
              <w:rPr>
                <w:b/>
                <w:bCs/>
                <w:lang w:val="en-US"/>
              </w:rPr>
            </w:pPr>
            <w:r w:rsidRPr="00695F3F">
              <w:rPr>
                <w:b/>
                <w:bCs/>
                <w:lang w:val="en-US"/>
              </w:rPr>
              <w:lastRenderedPageBreak/>
              <w:t>II. Development of a Sustainable Power Sector Framework</w:t>
            </w:r>
          </w:p>
          <w:p w:rsidR="00470810" w:rsidRPr="00695F3F" w:rsidRDefault="00470810" w:rsidP="0086624F">
            <w:pPr>
              <w:rPr>
                <w:b/>
                <w:bCs/>
                <w:lang w:val="en-US"/>
              </w:rPr>
            </w:pPr>
          </w:p>
        </w:tc>
      </w:tr>
      <w:tr w:rsidR="00470810" w:rsidRPr="005E60EA" w:rsidTr="0086624F">
        <w:trPr>
          <w:cantSplit/>
          <w:trHeight w:val="921"/>
        </w:trPr>
        <w:tc>
          <w:tcPr>
            <w:tcW w:w="5850" w:type="dxa"/>
            <w:shd w:val="clear" w:color="auto" w:fill="auto"/>
            <w:vAlign w:val="center"/>
            <w:hideMark/>
          </w:tcPr>
          <w:p w:rsidR="00470810" w:rsidRPr="005E60EA" w:rsidRDefault="00470810" w:rsidP="0086624F">
            <w:pPr>
              <w:tabs>
                <w:tab w:val="left" w:pos="422"/>
                <w:tab w:val="left" w:pos="706"/>
              </w:tabs>
              <w:rPr>
                <w:lang w:val="en-US"/>
              </w:rPr>
            </w:pPr>
            <w:r w:rsidRPr="005E60EA">
              <w:rPr>
                <w:lang w:val="en-US"/>
              </w:rPr>
              <w:t>2.      </w:t>
            </w:r>
            <w:r w:rsidRPr="005E60EA">
              <w:rPr>
                <w:color w:val="000000"/>
                <w:lang w:val="en-US"/>
              </w:rPr>
              <w:t xml:space="preserve">The </w:t>
            </w:r>
            <w:r w:rsidRPr="005E60EA">
              <w:rPr>
                <w:bCs/>
                <w:color w:val="000000"/>
                <w:lang w:val="en-US"/>
              </w:rPr>
              <w:t>Power Sector Policy</w:t>
            </w:r>
            <w:r w:rsidRPr="005E60EA">
              <w:rPr>
                <w:color w:val="000000"/>
                <w:lang w:val="en-US"/>
              </w:rPr>
              <w:t xml:space="preserve"> that establishes the basic principles for a sustainable growth of the energy sector, consistently with its new legal and institutional structure </w:t>
            </w:r>
            <w:r w:rsidRPr="005E60EA">
              <w:rPr>
                <w:bCs/>
                <w:color w:val="000000"/>
                <w:lang w:val="en-US"/>
              </w:rPr>
              <w:t>has been approved by MNH.</w:t>
            </w:r>
          </w:p>
        </w:tc>
        <w:tc>
          <w:tcPr>
            <w:tcW w:w="4410" w:type="dxa"/>
            <w:shd w:val="clear" w:color="auto" w:fill="auto"/>
            <w:vAlign w:val="center"/>
          </w:tcPr>
          <w:p w:rsidR="00470810" w:rsidRPr="00695F3F" w:rsidRDefault="00470810" w:rsidP="0066211A">
            <w:pPr>
              <w:tabs>
                <w:tab w:val="left" w:pos="992"/>
              </w:tabs>
              <w:rPr>
                <w:lang w:val="en-US"/>
              </w:rPr>
            </w:pPr>
            <w:r w:rsidRPr="00695F3F">
              <w:rPr>
                <w:bCs/>
                <w:lang w:val="en-US" w:eastAsia="es-ES_tradnl"/>
              </w:rPr>
              <w:t xml:space="preserve">Copy of </w:t>
            </w:r>
            <w:r w:rsidR="0066211A">
              <w:rPr>
                <w:bCs/>
                <w:lang w:val="en-US" w:eastAsia="es-ES_tradnl"/>
              </w:rPr>
              <w:t xml:space="preserve">the Presidential Resolution </w:t>
            </w:r>
            <w:bookmarkStart w:id="0" w:name="_GoBack"/>
            <w:bookmarkEnd w:id="0"/>
            <w:r w:rsidRPr="00695F3F">
              <w:rPr>
                <w:bCs/>
                <w:lang w:val="en-US" w:eastAsia="es-ES_tradnl"/>
              </w:rPr>
              <w:t xml:space="preserve">approving </w:t>
            </w:r>
            <w:r w:rsidRPr="00695F3F">
              <w:rPr>
                <w:lang w:val="en-US" w:eastAsia="es-ES_tradnl"/>
              </w:rPr>
              <w:t>the Power Sector Policy.</w:t>
            </w:r>
          </w:p>
        </w:tc>
        <w:tc>
          <w:tcPr>
            <w:tcW w:w="990" w:type="dxa"/>
            <w:vAlign w:val="center"/>
          </w:tcPr>
          <w:p w:rsidR="00470810" w:rsidRPr="005E60EA" w:rsidRDefault="00470810" w:rsidP="0086624F">
            <w:pPr>
              <w:pStyle w:val="BodyText"/>
              <w:spacing w:before="120"/>
              <w:jc w:val="center"/>
              <w:rPr>
                <w:sz w:val="20"/>
                <w:szCs w:val="20"/>
              </w:rPr>
            </w:pPr>
            <w:r w:rsidRPr="005E60EA">
              <w:rPr>
                <w:sz w:val="20"/>
                <w:szCs w:val="20"/>
              </w:rPr>
              <w:t>0</w:t>
            </w:r>
          </w:p>
        </w:tc>
        <w:tc>
          <w:tcPr>
            <w:tcW w:w="900" w:type="dxa"/>
            <w:vAlign w:val="center"/>
          </w:tcPr>
          <w:p w:rsidR="00470810" w:rsidRPr="005E60EA" w:rsidRDefault="00470810" w:rsidP="0086624F">
            <w:pPr>
              <w:pStyle w:val="BodyText"/>
              <w:spacing w:before="120"/>
              <w:jc w:val="center"/>
              <w:rPr>
                <w:sz w:val="20"/>
                <w:szCs w:val="20"/>
              </w:rPr>
            </w:pPr>
            <w:r w:rsidRPr="005E60EA">
              <w:rPr>
                <w:sz w:val="20"/>
                <w:szCs w:val="20"/>
              </w:rPr>
              <w:t>1</w:t>
            </w:r>
          </w:p>
        </w:tc>
        <w:tc>
          <w:tcPr>
            <w:tcW w:w="1440" w:type="dxa"/>
            <w:shd w:val="clear" w:color="auto" w:fill="auto"/>
            <w:vAlign w:val="center"/>
          </w:tcPr>
          <w:p w:rsidR="00470810" w:rsidRPr="005E60EA" w:rsidRDefault="00470810" w:rsidP="0086624F">
            <w:pPr>
              <w:pStyle w:val="BodyText"/>
              <w:spacing w:before="120"/>
              <w:rPr>
                <w:sz w:val="20"/>
                <w:szCs w:val="20"/>
              </w:rPr>
            </w:pPr>
            <w:r w:rsidRPr="005E60EA">
              <w:rPr>
                <w:sz w:val="20"/>
                <w:szCs w:val="20"/>
              </w:rPr>
              <w:t>MNH</w:t>
            </w:r>
          </w:p>
        </w:tc>
      </w:tr>
      <w:tr w:rsidR="00470810" w:rsidRPr="005E60EA" w:rsidTr="0086624F">
        <w:trPr>
          <w:cantSplit/>
          <w:trHeight w:val="530"/>
        </w:trPr>
        <w:tc>
          <w:tcPr>
            <w:tcW w:w="5850" w:type="dxa"/>
            <w:shd w:val="clear" w:color="auto" w:fill="auto"/>
            <w:vAlign w:val="center"/>
            <w:hideMark/>
          </w:tcPr>
          <w:p w:rsidR="00470810" w:rsidRPr="005E60EA" w:rsidRDefault="00470810" w:rsidP="0086624F">
            <w:pPr>
              <w:rPr>
                <w:lang w:val="en-US"/>
              </w:rPr>
            </w:pPr>
            <w:r w:rsidRPr="005E60EA">
              <w:rPr>
                <w:lang w:val="en-US"/>
              </w:rPr>
              <w:t xml:space="preserve">3.       </w:t>
            </w:r>
            <w:r w:rsidRPr="005E60EA">
              <w:rPr>
                <w:color w:val="000000"/>
                <w:lang w:val="en-US"/>
              </w:rPr>
              <w:t xml:space="preserve">The proposed </w:t>
            </w:r>
            <w:r w:rsidRPr="005E60EA">
              <w:rPr>
                <w:bCs/>
                <w:color w:val="000000"/>
                <w:lang w:val="en-US"/>
              </w:rPr>
              <w:t>draft legislation</w:t>
            </w:r>
            <w:r w:rsidRPr="005E60EA">
              <w:rPr>
                <w:color w:val="000000"/>
                <w:lang w:val="en-US"/>
              </w:rPr>
              <w:t xml:space="preserve"> to regulate the Energy sector is </w:t>
            </w:r>
            <w:r w:rsidRPr="005E60EA">
              <w:rPr>
                <w:bCs/>
                <w:color w:val="000000"/>
                <w:lang w:val="en-US"/>
              </w:rPr>
              <w:t>presented to Parliament for its approval.</w:t>
            </w:r>
          </w:p>
        </w:tc>
        <w:tc>
          <w:tcPr>
            <w:tcW w:w="4410" w:type="dxa"/>
            <w:shd w:val="clear" w:color="auto" w:fill="auto"/>
            <w:vAlign w:val="center"/>
          </w:tcPr>
          <w:p w:rsidR="00470810" w:rsidRPr="00695F3F" w:rsidRDefault="00470810" w:rsidP="0086624F">
            <w:pPr>
              <w:pStyle w:val="BodyText"/>
              <w:rPr>
                <w:color w:val="000000"/>
                <w:sz w:val="20"/>
                <w:szCs w:val="20"/>
                <w:lang w:eastAsia="es-ES_tradnl"/>
              </w:rPr>
            </w:pPr>
            <w:r w:rsidRPr="00695F3F">
              <w:rPr>
                <w:bCs/>
                <w:color w:val="000000"/>
                <w:sz w:val="20"/>
                <w:szCs w:val="20"/>
                <w:lang w:eastAsia="es-ES_tradnl"/>
              </w:rPr>
              <w:t>Official letter</w:t>
            </w:r>
            <w:r w:rsidRPr="00695F3F">
              <w:rPr>
                <w:color w:val="000000"/>
                <w:sz w:val="20"/>
                <w:szCs w:val="20"/>
                <w:lang w:eastAsia="es-ES_tradnl"/>
              </w:rPr>
              <w:t xml:space="preserve"> confirming that the draft legislation to regulate the Energy sector has been presented to Parliament with a copy of the draft legislation attached. </w:t>
            </w:r>
          </w:p>
        </w:tc>
        <w:tc>
          <w:tcPr>
            <w:tcW w:w="990" w:type="dxa"/>
            <w:vAlign w:val="center"/>
          </w:tcPr>
          <w:p w:rsidR="00470810" w:rsidRPr="005E60EA" w:rsidRDefault="00470810" w:rsidP="0086624F">
            <w:pPr>
              <w:pStyle w:val="BodyText"/>
              <w:spacing w:before="120"/>
              <w:jc w:val="center"/>
              <w:rPr>
                <w:sz w:val="20"/>
                <w:szCs w:val="20"/>
              </w:rPr>
            </w:pPr>
            <w:r w:rsidRPr="005E60EA">
              <w:rPr>
                <w:sz w:val="20"/>
                <w:szCs w:val="20"/>
              </w:rPr>
              <w:t>0</w:t>
            </w:r>
          </w:p>
        </w:tc>
        <w:tc>
          <w:tcPr>
            <w:tcW w:w="900" w:type="dxa"/>
            <w:vAlign w:val="center"/>
          </w:tcPr>
          <w:p w:rsidR="00470810" w:rsidRPr="005E60EA" w:rsidRDefault="00470810" w:rsidP="0086624F">
            <w:pPr>
              <w:pStyle w:val="BodyText"/>
              <w:spacing w:before="120"/>
              <w:jc w:val="center"/>
              <w:rPr>
                <w:sz w:val="20"/>
                <w:szCs w:val="20"/>
              </w:rPr>
            </w:pPr>
            <w:r w:rsidRPr="005E60EA">
              <w:rPr>
                <w:sz w:val="20"/>
                <w:szCs w:val="20"/>
              </w:rPr>
              <w:t>1</w:t>
            </w:r>
          </w:p>
        </w:tc>
        <w:tc>
          <w:tcPr>
            <w:tcW w:w="1440" w:type="dxa"/>
            <w:shd w:val="clear" w:color="auto" w:fill="auto"/>
            <w:vAlign w:val="center"/>
          </w:tcPr>
          <w:p w:rsidR="00470810" w:rsidRPr="005E60EA" w:rsidRDefault="00470810" w:rsidP="0086624F">
            <w:pPr>
              <w:pStyle w:val="BodyText"/>
              <w:spacing w:before="120"/>
              <w:rPr>
                <w:sz w:val="20"/>
                <w:szCs w:val="20"/>
              </w:rPr>
            </w:pPr>
            <w:r w:rsidRPr="005E60EA">
              <w:rPr>
                <w:sz w:val="20"/>
                <w:szCs w:val="20"/>
              </w:rPr>
              <w:t>MNH</w:t>
            </w:r>
          </w:p>
        </w:tc>
      </w:tr>
      <w:tr w:rsidR="00470810" w:rsidRPr="005E60EA" w:rsidTr="0086624F">
        <w:trPr>
          <w:cantSplit/>
          <w:trHeight w:val="638"/>
        </w:trPr>
        <w:tc>
          <w:tcPr>
            <w:tcW w:w="5850" w:type="dxa"/>
            <w:shd w:val="clear" w:color="auto" w:fill="auto"/>
            <w:vAlign w:val="center"/>
            <w:hideMark/>
          </w:tcPr>
          <w:p w:rsidR="00470810" w:rsidRPr="005E60EA" w:rsidRDefault="00470810" w:rsidP="0086624F">
            <w:pPr>
              <w:rPr>
                <w:lang w:val="en-US"/>
              </w:rPr>
            </w:pPr>
            <w:r w:rsidRPr="005E60EA">
              <w:rPr>
                <w:lang w:val="en-US"/>
              </w:rPr>
              <w:t xml:space="preserve">4.       </w:t>
            </w:r>
            <w:r w:rsidRPr="005E60EA">
              <w:rPr>
                <w:color w:val="000000"/>
                <w:lang w:val="en-US"/>
              </w:rPr>
              <w:t>The proposed draft legislation to create an Energy Sector entity to regulate and manage the energy sector affairs is presented to Parliament for its approval.</w:t>
            </w:r>
          </w:p>
        </w:tc>
        <w:tc>
          <w:tcPr>
            <w:tcW w:w="4410" w:type="dxa"/>
            <w:shd w:val="clear" w:color="auto" w:fill="auto"/>
            <w:vAlign w:val="center"/>
          </w:tcPr>
          <w:p w:rsidR="00470810" w:rsidRPr="005E60EA" w:rsidRDefault="00470810" w:rsidP="0086624F">
            <w:pPr>
              <w:pStyle w:val="Default"/>
              <w:spacing w:before="120"/>
              <w:rPr>
                <w:sz w:val="20"/>
                <w:szCs w:val="20"/>
              </w:rPr>
            </w:pPr>
            <w:r w:rsidRPr="00695F3F">
              <w:rPr>
                <w:sz w:val="20"/>
                <w:szCs w:val="20"/>
                <w:lang w:eastAsia="es-ES_tradnl"/>
              </w:rPr>
              <w:t>Official letter confirming that the draft legislation that creates the Energy Authority of Suriname has been presented to Parliament with a copy of the draft legislation attached.</w:t>
            </w:r>
          </w:p>
        </w:tc>
        <w:tc>
          <w:tcPr>
            <w:tcW w:w="990" w:type="dxa"/>
            <w:vAlign w:val="center"/>
          </w:tcPr>
          <w:p w:rsidR="00470810" w:rsidRPr="005E60EA" w:rsidRDefault="00470810" w:rsidP="0086624F">
            <w:pPr>
              <w:pStyle w:val="BodyText"/>
              <w:spacing w:before="120"/>
              <w:jc w:val="center"/>
              <w:rPr>
                <w:sz w:val="20"/>
                <w:szCs w:val="20"/>
              </w:rPr>
            </w:pPr>
            <w:r w:rsidRPr="005E60EA">
              <w:rPr>
                <w:sz w:val="20"/>
                <w:szCs w:val="20"/>
              </w:rPr>
              <w:t>0</w:t>
            </w:r>
          </w:p>
        </w:tc>
        <w:tc>
          <w:tcPr>
            <w:tcW w:w="900" w:type="dxa"/>
            <w:vAlign w:val="center"/>
          </w:tcPr>
          <w:p w:rsidR="00470810" w:rsidRPr="005E60EA" w:rsidRDefault="00470810" w:rsidP="0086624F">
            <w:pPr>
              <w:pStyle w:val="BodyText"/>
              <w:spacing w:before="120"/>
              <w:jc w:val="center"/>
              <w:rPr>
                <w:sz w:val="20"/>
                <w:szCs w:val="20"/>
              </w:rPr>
            </w:pPr>
            <w:r w:rsidRPr="005E60EA">
              <w:rPr>
                <w:sz w:val="20"/>
                <w:szCs w:val="20"/>
              </w:rPr>
              <w:t>1</w:t>
            </w:r>
          </w:p>
        </w:tc>
        <w:tc>
          <w:tcPr>
            <w:tcW w:w="1440" w:type="dxa"/>
            <w:shd w:val="clear" w:color="auto" w:fill="auto"/>
            <w:vAlign w:val="center"/>
          </w:tcPr>
          <w:p w:rsidR="00470810" w:rsidRPr="005E60EA" w:rsidRDefault="00470810" w:rsidP="0086624F">
            <w:pPr>
              <w:pStyle w:val="BodyText"/>
              <w:spacing w:before="120"/>
              <w:rPr>
                <w:sz w:val="20"/>
                <w:szCs w:val="20"/>
              </w:rPr>
            </w:pPr>
            <w:r w:rsidRPr="005E60EA">
              <w:rPr>
                <w:sz w:val="20"/>
                <w:szCs w:val="20"/>
              </w:rPr>
              <w:t>MNH</w:t>
            </w:r>
          </w:p>
        </w:tc>
      </w:tr>
      <w:tr w:rsidR="00470810" w:rsidRPr="005E60EA" w:rsidTr="0086624F">
        <w:trPr>
          <w:cantSplit/>
          <w:trHeight w:val="677"/>
        </w:trPr>
        <w:tc>
          <w:tcPr>
            <w:tcW w:w="5850" w:type="dxa"/>
            <w:shd w:val="clear" w:color="auto" w:fill="auto"/>
            <w:vAlign w:val="center"/>
            <w:hideMark/>
          </w:tcPr>
          <w:p w:rsidR="00470810" w:rsidRPr="005E60EA" w:rsidRDefault="00470810" w:rsidP="0086624F">
            <w:pPr>
              <w:rPr>
                <w:lang w:val="en-US"/>
              </w:rPr>
            </w:pPr>
            <w:r w:rsidRPr="005E60EA">
              <w:rPr>
                <w:bCs/>
                <w:lang w:val="en-US"/>
              </w:rPr>
              <w:t>5.</w:t>
            </w:r>
            <w:r w:rsidRPr="00695F3F">
              <w:rPr>
                <w:lang w:val="en-US"/>
              </w:rPr>
              <w:t>      </w:t>
            </w:r>
            <w:r w:rsidRPr="005E60EA">
              <w:rPr>
                <w:bCs/>
                <w:color w:val="000000"/>
                <w:lang w:val="en-US"/>
              </w:rPr>
              <w:t>Price setting principles</w:t>
            </w:r>
            <w:r w:rsidRPr="005E60EA">
              <w:rPr>
                <w:color w:val="000000"/>
                <w:lang w:val="en-US"/>
              </w:rPr>
              <w:t xml:space="preserve"> are </w:t>
            </w:r>
            <w:r w:rsidRPr="005E60EA">
              <w:rPr>
                <w:bCs/>
                <w:color w:val="000000"/>
                <w:lang w:val="en-US"/>
              </w:rPr>
              <w:t>reflected</w:t>
            </w:r>
            <w:r w:rsidRPr="005E60EA">
              <w:rPr>
                <w:color w:val="000000"/>
                <w:lang w:val="en-US"/>
              </w:rPr>
              <w:t xml:space="preserve"> in the </w:t>
            </w:r>
            <w:r w:rsidRPr="005E60EA">
              <w:rPr>
                <w:bCs/>
                <w:color w:val="000000"/>
                <w:lang w:val="en-US"/>
              </w:rPr>
              <w:t>tariff</w:t>
            </w:r>
            <w:r w:rsidRPr="005E60EA">
              <w:rPr>
                <w:color w:val="000000"/>
                <w:lang w:val="en-US"/>
              </w:rPr>
              <w:t xml:space="preserve"> schedule </w:t>
            </w:r>
            <w:r w:rsidRPr="005E60EA">
              <w:rPr>
                <w:bCs/>
                <w:color w:val="000000"/>
                <w:lang w:val="en-US"/>
              </w:rPr>
              <w:t>implemented by EBS.</w:t>
            </w:r>
          </w:p>
        </w:tc>
        <w:tc>
          <w:tcPr>
            <w:tcW w:w="4410" w:type="dxa"/>
            <w:shd w:val="clear" w:color="auto" w:fill="auto"/>
            <w:vAlign w:val="center"/>
          </w:tcPr>
          <w:p w:rsidR="008F3EA0" w:rsidRPr="008F3EA0" w:rsidRDefault="008F3EA0" w:rsidP="008F3EA0">
            <w:pPr>
              <w:pStyle w:val="ListParagraph"/>
              <w:numPr>
                <w:ilvl w:val="0"/>
                <w:numId w:val="28"/>
              </w:numPr>
              <w:spacing w:before="240"/>
              <w:ind w:left="406" w:hanging="314"/>
              <w:jc w:val="both"/>
              <w:rPr>
                <w:color w:val="000000"/>
                <w:lang w:val="en-US" w:eastAsia="es-ES_tradnl"/>
              </w:rPr>
            </w:pPr>
            <w:r w:rsidRPr="008F3EA0">
              <w:rPr>
                <w:color w:val="000000"/>
                <w:lang w:val="en-US" w:eastAsia="es-ES_tradnl"/>
              </w:rPr>
              <w:t xml:space="preserve">Official communication sent from the Council of Ministers to MNH confirming that the tariff adjustment was approved </w:t>
            </w:r>
          </w:p>
          <w:p w:rsidR="008F3EA0" w:rsidRPr="008F3EA0" w:rsidRDefault="008F3EA0" w:rsidP="008F3EA0">
            <w:pPr>
              <w:pStyle w:val="ListParagraph"/>
              <w:spacing w:before="240" w:after="240"/>
              <w:ind w:left="406"/>
              <w:jc w:val="both"/>
              <w:rPr>
                <w:color w:val="000000"/>
                <w:lang w:val="en-US" w:eastAsia="es-ES_tradnl"/>
              </w:rPr>
            </w:pPr>
          </w:p>
          <w:p w:rsidR="008F3EA0" w:rsidRPr="008F3EA0" w:rsidRDefault="008F3EA0" w:rsidP="008F3EA0">
            <w:pPr>
              <w:pStyle w:val="ListParagraph"/>
              <w:numPr>
                <w:ilvl w:val="0"/>
                <w:numId w:val="28"/>
              </w:numPr>
              <w:spacing w:before="240" w:after="240"/>
              <w:ind w:left="406" w:hanging="314"/>
              <w:jc w:val="both"/>
              <w:rPr>
                <w:color w:val="000000"/>
                <w:lang w:val="en-US" w:eastAsia="es-ES_tradnl"/>
              </w:rPr>
            </w:pPr>
            <w:r w:rsidRPr="008F3EA0">
              <w:rPr>
                <w:color w:val="000000"/>
                <w:lang w:val="en-US" w:eastAsia="es-ES_tradnl"/>
              </w:rPr>
              <w:t>Sample electricity bills before and after tariffs have been adjusted.</w:t>
            </w:r>
          </w:p>
          <w:p w:rsidR="008F3EA0" w:rsidRPr="008F3EA0" w:rsidRDefault="008F3EA0" w:rsidP="008F3EA0">
            <w:pPr>
              <w:pStyle w:val="ListParagraph"/>
              <w:ind w:left="406"/>
              <w:jc w:val="both"/>
              <w:rPr>
                <w:color w:val="000000"/>
                <w:lang w:val="en-US" w:eastAsia="es-ES_tradnl"/>
              </w:rPr>
            </w:pPr>
          </w:p>
          <w:p w:rsidR="008F3EA0" w:rsidRPr="008F3EA0" w:rsidRDefault="008F3EA0" w:rsidP="008F3EA0">
            <w:pPr>
              <w:pStyle w:val="ListParagraph"/>
              <w:numPr>
                <w:ilvl w:val="0"/>
                <w:numId w:val="28"/>
              </w:numPr>
              <w:ind w:left="406" w:hanging="314"/>
              <w:jc w:val="both"/>
              <w:rPr>
                <w:lang w:val="en-US" w:eastAsia="es-ES_tradnl"/>
              </w:rPr>
            </w:pPr>
            <w:r w:rsidRPr="008F3EA0">
              <w:rPr>
                <w:lang w:val="en-US" w:eastAsia="es-ES_tradnl"/>
              </w:rPr>
              <w:t>Screenshot from EBS’s website showing monthly publication of adjusted tariffs.</w:t>
            </w:r>
          </w:p>
          <w:p w:rsidR="00470810" w:rsidRPr="005E60EA" w:rsidRDefault="00470810" w:rsidP="0086624F">
            <w:pPr>
              <w:rPr>
                <w:lang w:val="en-US"/>
              </w:rPr>
            </w:pPr>
          </w:p>
        </w:tc>
        <w:tc>
          <w:tcPr>
            <w:tcW w:w="990" w:type="dxa"/>
            <w:vAlign w:val="center"/>
          </w:tcPr>
          <w:p w:rsidR="00470810" w:rsidRPr="005E60EA" w:rsidRDefault="00470810" w:rsidP="0086624F">
            <w:pPr>
              <w:pStyle w:val="BodyText"/>
              <w:spacing w:before="120"/>
              <w:jc w:val="center"/>
              <w:rPr>
                <w:sz w:val="20"/>
                <w:szCs w:val="20"/>
              </w:rPr>
            </w:pPr>
            <w:r w:rsidRPr="005E60EA">
              <w:rPr>
                <w:sz w:val="20"/>
                <w:szCs w:val="20"/>
              </w:rPr>
              <w:t>0</w:t>
            </w:r>
          </w:p>
        </w:tc>
        <w:tc>
          <w:tcPr>
            <w:tcW w:w="900" w:type="dxa"/>
            <w:vAlign w:val="center"/>
          </w:tcPr>
          <w:p w:rsidR="00470810" w:rsidRPr="005E60EA" w:rsidRDefault="00470810" w:rsidP="0086624F">
            <w:pPr>
              <w:pStyle w:val="BodyText"/>
              <w:spacing w:before="120"/>
              <w:jc w:val="center"/>
              <w:rPr>
                <w:sz w:val="20"/>
                <w:szCs w:val="20"/>
              </w:rPr>
            </w:pPr>
            <w:r w:rsidRPr="005E60EA">
              <w:rPr>
                <w:sz w:val="20"/>
                <w:szCs w:val="20"/>
              </w:rPr>
              <w:t>1</w:t>
            </w:r>
          </w:p>
        </w:tc>
        <w:tc>
          <w:tcPr>
            <w:tcW w:w="1440" w:type="dxa"/>
            <w:shd w:val="clear" w:color="auto" w:fill="auto"/>
            <w:vAlign w:val="center"/>
          </w:tcPr>
          <w:p w:rsidR="00470810" w:rsidRPr="005E60EA" w:rsidRDefault="00470810" w:rsidP="0086624F">
            <w:pPr>
              <w:pStyle w:val="BodyText"/>
              <w:spacing w:before="120"/>
              <w:rPr>
                <w:sz w:val="20"/>
                <w:szCs w:val="20"/>
              </w:rPr>
            </w:pPr>
            <w:r w:rsidRPr="005E60EA">
              <w:rPr>
                <w:sz w:val="20"/>
                <w:szCs w:val="20"/>
              </w:rPr>
              <w:t>MNH and EBS</w:t>
            </w:r>
          </w:p>
        </w:tc>
      </w:tr>
      <w:tr w:rsidR="00470810" w:rsidRPr="005E60EA" w:rsidTr="0086624F">
        <w:trPr>
          <w:cantSplit/>
          <w:trHeight w:val="2123"/>
        </w:trPr>
        <w:tc>
          <w:tcPr>
            <w:tcW w:w="5850" w:type="dxa"/>
            <w:shd w:val="clear" w:color="auto" w:fill="auto"/>
            <w:vAlign w:val="center"/>
            <w:hideMark/>
          </w:tcPr>
          <w:p w:rsidR="00470810" w:rsidRPr="005E60EA" w:rsidRDefault="00470810" w:rsidP="0086624F">
            <w:pPr>
              <w:rPr>
                <w:lang w:val="en-US"/>
              </w:rPr>
            </w:pPr>
            <w:r w:rsidRPr="005E60EA">
              <w:rPr>
                <w:bCs/>
                <w:lang w:val="en-US"/>
              </w:rPr>
              <w:lastRenderedPageBreak/>
              <w:t>6.</w:t>
            </w:r>
            <w:r w:rsidRPr="00695F3F">
              <w:rPr>
                <w:lang w:val="en-US"/>
              </w:rPr>
              <w:t xml:space="preserve">       </w:t>
            </w:r>
            <w:r w:rsidRPr="005E60EA">
              <w:rPr>
                <w:color w:val="000000"/>
                <w:lang w:val="en-US"/>
              </w:rPr>
              <w:t xml:space="preserve">The </w:t>
            </w:r>
            <w:r w:rsidRPr="005E60EA">
              <w:rPr>
                <w:bCs/>
                <w:color w:val="000000"/>
                <w:lang w:val="en-US"/>
              </w:rPr>
              <w:t xml:space="preserve">new contract model </w:t>
            </w:r>
            <w:r w:rsidRPr="005E60EA">
              <w:rPr>
                <w:color w:val="000000"/>
                <w:lang w:val="en-US"/>
              </w:rPr>
              <w:t xml:space="preserve">has </w:t>
            </w:r>
            <w:r w:rsidRPr="005E60EA">
              <w:rPr>
                <w:bCs/>
                <w:color w:val="000000"/>
                <w:lang w:val="en-US"/>
              </w:rPr>
              <w:t>already been used</w:t>
            </w:r>
            <w:r w:rsidRPr="005E60EA">
              <w:rPr>
                <w:color w:val="000000"/>
                <w:lang w:val="en-US"/>
              </w:rPr>
              <w:t xml:space="preserve"> for the purchase of </w:t>
            </w:r>
            <w:r w:rsidRPr="005E60EA">
              <w:rPr>
                <w:bCs/>
                <w:color w:val="000000"/>
                <w:lang w:val="en-US"/>
              </w:rPr>
              <w:t>additional power by EBS.</w:t>
            </w:r>
          </w:p>
        </w:tc>
        <w:tc>
          <w:tcPr>
            <w:tcW w:w="4410" w:type="dxa"/>
            <w:shd w:val="clear" w:color="auto" w:fill="auto"/>
            <w:vAlign w:val="center"/>
          </w:tcPr>
          <w:p w:rsidR="008F3EA0" w:rsidRPr="00A818BD" w:rsidRDefault="008F3EA0" w:rsidP="008F3EA0">
            <w:pPr>
              <w:pStyle w:val="BodyText"/>
              <w:spacing w:before="120"/>
              <w:ind w:left="406" w:hanging="360"/>
              <w:jc w:val="both"/>
              <w:rPr>
                <w:color w:val="000000"/>
                <w:sz w:val="20"/>
                <w:szCs w:val="20"/>
                <w:lang w:eastAsia="es-ES_tradnl"/>
              </w:rPr>
            </w:pPr>
            <w:r w:rsidRPr="00A818BD">
              <w:rPr>
                <w:color w:val="000000"/>
                <w:sz w:val="20"/>
                <w:szCs w:val="20"/>
                <w:lang w:eastAsia="es-ES_tradnl"/>
              </w:rPr>
              <w:t>(i) Letter from EBS describing the Memorandum of Understanding (MOU) signed between EBS and Independent Power Producers (IPPs) in which the new PPA model will be used.</w:t>
            </w:r>
          </w:p>
          <w:p w:rsidR="008F3EA0" w:rsidRDefault="008F3EA0" w:rsidP="008F3EA0">
            <w:pPr>
              <w:pStyle w:val="BodyText"/>
              <w:spacing w:before="120"/>
              <w:ind w:left="406" w:hanging="360"/>
              <w:jc w:val="both"/>
              <w:rPr>
                <w:sz w:val="20"/>
                <w:szCs w:val="20"/>
                <w:lang w:eastAsia="es-ES_tradnl"/>
              </w:rPr>
            </w:pPr>
            <w:r w:rsidRPr="00A818BD">
              <w:rPr>
                <w:sz w:val="20"/>
                <w:szCs w:val="20"/>
                <w:lang w:eastAsia="es-ES_tradnl"/>
              </w:rPr>
              <w:t xml:space="preserve">(ii) Copy of the </w:t>
            </w:r>
            <w:r w:rsidRPr="00A818BD">
              <w:rPr>
                <w:color w:val="000000"/>
                <w:sz w:val="20"/>
                <w:szCs w:val="20"/>
                <w:lang w:eastAsia="es-ES_tradnl"/>
              </w:rPr>
              <w:t>Memorandum of Understanding (</w:t>
            </w:r>
            <w:r w:rsidRPr="00A818BD">
              <w:rPr>
                <w:sz w:val="20"/>
                <w:szCs w:val="20"/>
                <w:lang w:eastAsia="es-ES_tradnl"/>
              </w:rPr>
              <w:t>MOU) signed between EBS and Independent Power Producers (IPPs) in which the new PPA model will be used.</w:t>
            </w:r>
          </w:p>
          <w:p w:rsidR="00470810" w:rsidRDefault="008F3EA0" w:rsidP="008F3EA0">
            <w:pPr>
              <w:pStyle w:val="BodyText"/>
              <w:spacing w:before="120"/>
              <w:ind w:left="432" w:hanging="432"/>
              <w:rPr>
                <w:sz w:val="20"/>
                <w:lang w:eastAsia="es-ES_tradnl"/>
              </w:rPr>
            </w:pPr>
            <w:r w:rsidRPr="00E73279">
              <w:rPr>
                <w:sz w:val="20"/>
                <w:lang w:eastAsia="es-ES_tradnl"/>
              </w:rPr>
              <w:t>(iii)</w:t>
            </w:r>
            <w:r>
              <w:rPr>
                <w:sz w:val="20"/>
                <w:lang w:eastAsia="es-ES_tradnl"/>
              </w:rPr>
              <w:t xml:space="preserve"> Letter from EBS informing the procedure to be followed by EBS in order to sign Power Purchase Agreements (PPA) with Independent Power Producers (IPPs), according to the provisions set forth in the Electricity Law.</w:t>
            </w:r>
          </w:p>
          <w:p w:rsidR="00BE04E9" w:rsidRPr="00BE04E9" w:rsidRDefault="00BE04E9" w:rsidP="00BE04E9">
            <w:pPr>
              <w:pStyle w:val="Default"/>
              <w:rPr>
                <w:lang w:eastAsia="es-ES_tradnl"/>
              </w:rPr>
            </w:pPr>
          </w:p>
        </w:tc>
        <w:tc>
          <w:tcPr>
            <w:tcW w:w="990" w:type="dxa"/>
            <w:vAlign w:val="center"/>
          </w:tcPr>
          <w:p w:rsidR="00470810" w:rsidRPr="005E60EA" w:rsidRDefault="00470810" w:rsidP="0086624F">
            <w:pPr>
              <w:pStyle w:val="BodyText"/>
              <w:spacing w:before="120"/>
              <w:jc w:val="center"/>
              <w:rPr>
                <w:sz w:val="20"/>
                <w:szCs w:val="20"/>
              </w:rPr>
            </w:pPr>
            <w:r w:rsidRPr="005E60EA">
              <w:rPr>
                <w:sz w:val="20"/>
                <w:szCs w:val="20"/>
              </w:rPr>
              <w:t>0</w:t>
            </w:r>
          </w:p>
        </w:tc>
        <w:tc>
          <w:tcPr>
            <w:tcW w:w="900" w:type="dxa"/>
            <w:vAlign w:val="center"/>
          </w:tcPr>
          <w:p w:rsidR="00470810" w:rsidRPr="005E60EA" w:rsidRDefault="00470810" w:rsidP="0086624F">
            <w:pPr>
              <w:pStyle w:val="BodyText"/>
              <w:spacing w:before="120"/>
              <w:jc w:val="center"/>
              <w:rPr>
                <w:sz w:val="20"/>
                <w:szCs w:val="20"/>
              </w:rPr>
            </w:pPr>
            <w:r w:rsidRPr="005E60EA">
              <w:rPr>
                <w:sz w:val="20"/>
                <w:szCs w:val="20"/>
              </w:rPr>
              <w:t>1</w:t>
            </w:r>
          </w:p>
        </w:tc>
        <w:tc>
          <w:tcPr>
            <w:tcW w:w="1440" w:type="dxa"/>
            <w:shd w:val="clear" w:color="auto" w:fill="auto"/>
            <w:vAlign w:val="center"/>
          </w:tcPr>
          <w:p w:rsidR="00470810" w:rsidRPr="005E60EA" w:rsidRDefault="00470810" w:rsidP="0086624F">
            <w:pPr>
              <w:pStyle w:val="BodyText"/>
              <w:spacing w:before="120"/>
              <w:rPr>
                <w:sz w:val="20"/>
                <w:szCs w:val="20"/>
              </w:rPr>
            </w:pPr>
            <w:r w:rsidRPr="005E60EA">
              <w:rPr>
                <w:sz w:val="20"/>
                <w:szCs w:val="20"/>
              </w:rPr>
              <w:t>EBS</w:t>
            </w:r>
          </w:p>
        </w:tc>
      </w:tr>
      <w:tr w:rsidR="00470810" w:rsidRPr="005E60EA" w:rsidTr="0086624F">
        <w:trPr>
          <w:cantSplit/>
          <w:trHeight w:val="461"/>
        </w:trPr>
        <w:tc>
          <w:tcPr>
            <w:tcW w:w="5850" w:type="dxa"/>
            <w:shd w:val="clear" w:color="auto" w:fill="auto"/>
            <w:vAlign w:val="center"/>
            <w:hideMark/>
          </w:tcPr>
          <w:p w:rsidR="00470810" w:rsidRPr="005E60EA" w:rsidRDefault="00470810" w:rsidP="0086624F">
            <w:pPr>
              <w:rPr>
                <w:lang w:val="en-US"/>
              </w:rPr>
            </w:pPr>
            <w:r w:rsidRPr="005E60EA">
              <w:rPr>
                <w:bCs/>
                <w:lang w:val="en-US"/>
              </w:rPr>
              <w:t>7.</w:t>
            </w:r>
            <w:r w:rsidRPr="00695F3F">
              <w:rPr>
                <w:lang w:val="en-US"/>
              </w:rPr>
              <w:t xml:space="preserve">       </w:t>
            </w:r>
            <w:r w:rsidRPr="005E60EA">
              <w:rPr>
                <w:bCs/>
                <w:color w:val="000000"/>
                <w:lang w:val="en-US"/>
              </w:rPr>
              <w:t>Environmental and social sustainability principles</w:t>
            </w:r>
            <w:r w:rsidRPr="005E60EA">
              <w:rPr>
                <w:color w:val="000000"/>
                <w:lang w:val="en-US"/>
              </w:rPr>
              <w:t xml:space="preserve"> are being </w:t>
            </w:r>
            <w:r w:rsidRPr="005E60EA">
              <w:rPr>
                <w:bCs/>
                <w:color w:val="000000"/>
                <w:lang w:val="en-US"/>
              </w:rPr>
              <w:t>implemented</w:t>
            </w:r>
            <w:r w:rsidRPr="005E60EA">
              <w:rPr>
                <w:color w:val="000000"/>
                <w:lang w:val="en-US"/>
              </w:rPr>
              <w:t xml:space="preserve"> throughout the project cycle (planning to execution).</w:t>
            </w:r>
          </w:p>
        </w:tc>
        <w:tc>
          <w:tcPr>
            <w:tcW w:w="4410" w:type="dxa"/>
            <w:shd w:val="clear" w:color="auto" w:fill="auto"/>
            <w:vAlign w:val="center"/>
          </w:tcPr>
          <w:p w:rsidR="00470810" w:rsidRPr="00695F3F" w:rsidRDefault="00470810" w:rsidP="0086624F">
            <w:pPr>
              <w:pStyle w:val="ListParagraph"/>
              <w:ind w:left="406"/>
              <w:rPr>
                <w:color w:val="000000"/>
                <w:lang w:val="en-US" w:eastAsia="es-ES_tradnl"/>
              </w:rPr>
            </w:pPr>
          </w:p>
          <w:p w:rsidR="00470810" w:rsidRPr="00695F3F" w:rsidRDefault="00470810" w:rsidP="0086624F">
            <w:pPr>
              <w:pStyle w:val="ListParagraph"/>
              <w:numPr>
                <w:ilvl w:val="0"/>
                <w:numId w:val="29"/>
              </w:numPr>
              <w:ind w:left="406" w:hanging="360"/>
              <w:rPr>
                <w:color w:val="000000"/>
                <w:lang w:val="en-US" w:eastAsia="es-ES_tradnl"/>
              </w:rPr>
            </w:pPr>
            <w:r w:rsidRPr="00695F3F">
              <w:rPr>
                <w:color w:val="000000"/>
                <w:lang w:val="en-US" w:eastAsia="es-ES_tradnl"/>
              </w:rPr>
              <w:t xml:space="preserve">Copy of letter from EBS’s CEO approving progress report from EBS’s Environmental Unit which describes how project plans have taken into account environmental and social sustainability assessment principles. </w:t>
            </w:r>
          </w:p>
          <w:p w:rsidR="00470810" w:rsidRPr="00695F3F" w:rsidRDefault="00470810" w:rsidP="0086624F">
            <w:pPr>
              <w:pStyle w:val="ListParagraph"/>
              <w:ind w:left="406"/>
              <w:rPr>
                <w:color w:val="000000"/>
                <w:lang w:val="en-US" w:eastAsia="es-ES_tradnl"/>
              </w:rPr>
            </w:pPr>
          </w:p>
          <w:p w:rsidR="00470810" w:rsidRPr="00695F3F" w:rsidRDefault="00470810" w:rsidP="0086624F">
            <w:pPr>
              <w:pStyle w:val="ListParagraph"/>
              <w:numPr>
                <w:ilvl w:val="0"/>
                <w:numId w:val="29"/>
              </w:numPr>
              <w:ind w:left="406" w:hanging="360"/>
              <w:rPr>
                <w:color w:val="000000"/>
                <w:lang w:val="en-US" w:eastAsia="es-ES_tradnl"/>
              </w:rPr>
            </w:pPr>
            <w:r w:rsidRPr="00695F3F">
              <w:rPr>
                <w:color w:val="000000"/>
                <w:lang w:val="en-US" w:eastAsia="es-ES_tradnl"/>
              </w:rPr>
              <w:t>Copy of EBS’s Waste Management Plan that confirms that environmental and social sustainability principles are being implemented in the project cycle.</w:t>
            </w:r>
          </w:p>
          <w:p w:rsidR="00470810" w:rsidRPr="00695F3F" w:rsidRDefault="00470810" w:rsidP="0086624F">
            <w:pPr>
              <w:pStyle w:val="ListParagraph"/>
              <w:ind w:left="406"/>
              <w:rPr>
                <w:color w:val="000000"/>
                <w:lang w:val="en-US" w:eastAsia="es-ES_tradnl"/>
              </w:rPr>
            </w:pPr>
          </w:p>
          <w:p w:rsidR="00470810" w:rsidRPr="00695F3F" w:rsidRDefault="00470810" w:rsidP="0086624F">
            <w:pPr>
              <w:pStyle w:val="ListParagraph"/>
              <w:numPr>
                <w:ilvl w:val="0"/>
                <w:numId w:val="29"/>
              </w:numPr>
              <w:ind w:left="406" w:hanging="360"/>
              <w:rPr>
                <w:color w:val="000000"/>
                <w:lang w:val="en-US" w:eastAsia="es-ES_tradnl"/>
              </w:rPr>
            </w:pPr>
            <w:r w:rsidRPr="00695F3F">
              <w:rPr>
                <w:lang w:val="en-US" w:eastAsia="es-ES_tradnl"/>
              </w:rPr>
              <w:t>Copy of the Environmental Social Assessment (ESA) Report and the Environmental and Social Management Plan (ESMP) describing the mitigation measures to be implemented during the life of the substation construction and rehabilitation projects planned within the EPAR network under SU-L1039.</w:t>
            </w:r>
          </w:p>
          <w:p w:rsidR="00470810" w:rsidRPr="005E60EA" w:rsidRDefault="00470810" w:rsidP="0086624F">
            <w:pPr>
              <w:rPr>
                <w:color w:val="000000"/>
                <w:lang w:val="en-US"/>
              </w:rPr>
            </w:pPr>
          </w:p>
        </w:tc>
        <w:tc>
          <w:tcPr>
            <w:tcW w:w="990" w:type="dxa"/>
            <w:vAlign w:val="center"/>
          </w:tcPr>
          <w:p w:rsidR="00470810" w:rsidRPr="005A5FE3" w:rsidRDefault="00470810" w:rsidP="0086624F">
            <w:pPr>
              <w:pStyle w:val="Default"/>
              <w:jc w:val="center"/>
              <w:rPr>
                <w:sz w:val="20"/>
                <w:szCs w:val="20"/>
              </w:rPr>
            </w:pPr>
            <w:r w:rsidRPr="00695F3F">
              <w:rPr>
                <w:sz w:val="20"/>
                <w:szCs w:val="20"/>
              </w:rPr>
              <w:t>0</w:t>
            </w:r>
          </w:p>
        </w:tc>
        <w:tc>
          <w:tcPr>
            <w:tcW w:w="900" w:type="dxa"/>
            <w:vAlign w:val="center"/>
          </w:tcPr>
          <w:p w:rsidR="00470810" w:rsidRPr="005E60EA" w:rsidRDefault="00470810" w:rsidP="0086624F">
            <w:pPr>
              <w:pStyle w:val="BodyText"/>
              <w:tabs>
                <w:tab w:val="center" w:pos="4320"/>
                <w:tab w:val="right" w:pos="8640"/>
              </w:tabs>
              <w:spacing w:before="120"/>
              <w:jc w:val="center"/>
              <w:rPr>
                <w:sz w:val="20"/>
                <w:szCs w:val="20"/>
              </w:rPr>
            </w:pPr>
            <w:r w:rsidRPr="005E60EA">
              <w:rPr>
                <w:sz w:val="20"/>
                <w:szCs w:val="20"/>
              </w:rPr>
              <w:t>1</w:t>
            </w:r>
          </w:p>
        </w:tc>
        <w:tc>
          <w:tcPr>
            <w:tcW w:w="1440" w:type="dxa"/>
            <w:shd w:val="clear" w:color="auto" w:fill="auto"/>
            <w:vAlign w:val="center"/>
          </w:tcPr>
          <w:p w:rsidR="00470810" w:rsidRPr="00695F3F" w:rsidRDefault="00470810" w:rsidP="0086624F">
            <w:pPr>
              <w:pStyle w:val="BodyText"/>
              <w:tabs>
                <w:tab w:val="center" w:pos="4320"/>
                <w:tab w:val="right" w:pos="8640"/>
              </w:tabs>
              <w:spacing w:before="120"/>
              <w:rPr>
                <w:sz w:val="20"/>
                <w:szCs w:val="20"/>
              </w:rPr>
            </w:pPr>
            <w:r w:rsidRPr="005E60EA">
              <w:rPr>
                <w:sz w:val="20"/>
                <w:szCs w:val="20"/>
              </w:rPr>
              <w:t>EBS</w:t>
            </w:r>
          </w:p>
          <w:p w:rsidR="00470810" w:rsidRPr="00695F3F" w:rsidRDefault="00470810" w:rsidP="0086624F">
            <w:pPr>
              <w:pStyle w:val="Default"/>
              <w:rPr>
                <w:sz w:val="20"/>
                <w:szCs w:val="20"/>
              </w:rPr>
            </w:pPr>
          </w:p>
        </w:tc>
      </w:tr>
      <w:tr w:rsidR="00470810" w:rsidRPr="005E60EA" w:rsidTr="0086624F">
        <w:trPr>
          <w:cantSplit/>
          <w:trHeight w:val="691"/>
        </w:trPr>
        <w:tc>
          <w:tcPr>
            <w:tcW w:w="5850" w:type="dxa"/>
            <w:shd w:val="clear" w:color="auto" w:fill="auto"/>
            <w:vAlign w:val="center"/>
            <w:hideMark/>
          </w:tcPr>
          <w:p w:rsidR="00470810" w:rsidRPr="005E60EA" w:rsidRDefault="00470810" w:rsidP="0086624F">
            <w:pPr>
              <w:rPr>
                <w:lang w:val="en-US"/>
              </w:rPr>
            </w:pPr>
            <w:r w:rsidRPr="005E60EA">
              <w:rPr>
                <w:bCs/>
                <w:lang w:val="en-US"/>
              </w:rPr>
              <w:lastRenderedPageBreak/>
              <w:t>8.</w:t>
            </w:r>
            <w:r w:rsidRPr="00695F3F">
              <w:rPr>
                <w:lang w:val="en-US"/>
              </w:rPr>
              <w:t xml:space="preserve">       </w:t>
            </w:r>
            <w:r w:rsidRPr="005E60EA">
              <w:rPr>
                <w:bCs/>
                <w:lang w:val="en-US"/>
              </w:rPr>
              <w:t>At least one feasibility study</w:t>
            </w:r>
            <w:r w:rsidRPr="005E60EA">
              <w:rPr>
                <w:lang w:val="en-US"/>
              </w:rPr>
              <w:t xml:space="preserve"> for the implementation of RETs to increase energy access has been </w:t>
            </w:r>
            <w:r w:rsidRPr="005E60EA">
              <w:rPr>
                <w:bCs/>
                <w:lang w:val="en-US"/>
              </w:rPr>
              <w:t>completed.</w:t>
            </w:r>
          </w:p>
        </w:tc>
        <w:tc>
          <w:tcPr>
            <w:tcW w:w="4410" w:type="dxa"/>
            <w:shd w:val="clear" w:color="auto" w:fill="auto"/>
            <w:vAlign w:val="center"/>
          </w:tcPr>
          <w:p w:rsidR="00470810" w:rsidRPr="00695F3F" w:rsidRDefault="00470810" w:rsidP="0086624F">
            <w:pPr>
              <w:pStyle w:val="Default"/>
              <w:numPr>
                <w:ilvl w:val="0"/>
                <w:numId w:val="30"/>
              </w:numPr>
              <w:spacing w:before="240"/>
              <w:ind w:left="406" w:hanging="360"/>
              <w:rPr>
                <w:sz w:val="20"/>
                <w:szCs w:val="20"/>
                <w:lang w:eastAsia="es-ES_tradnl"/>
              </w:rPr>
            </w:pPr>
            <w:r w:rsidRPr="00695F3F">
              <w:rPr>
                <w:sz w:val="20"/>
                <w:szCs w:val="20"/>
                <w:lang w:eastAsia="es-ES_tradnl"/>
              </w:rPr>
              <w:t>Letter from MNH confirming that a feasibility study has been completed for the implementation of RETs to increase energy access.</w:t>
            </w:r>
          </w:p>
          <w:p w:rsidR="00470810" w:rsidRPr="00695F3F" w:rsidRDefault="00470810" w:rsidP="0086624F">
            <w:pPr>
              <w:pStyle w:val="Default"/>
              <w:ind w:left="406"/>
              <w:rPr>
                <w:sz w:val="20"/>
                <w:szCs w:val="20"/>
                <w:lang w:eastAsia="es-ES_tradnl"/>
              </w:rPr>
            </w:pPr>
          </w:p>
          <w:p w:rsidR="00470810" w:rsidRPr="00695F3F" w:rsidRDefault="00470810" w:rsidP="0086624F">
            <w:pPr>
              <w:pStyle w:val="Default"/>
              <w:numPr>
                <w:ilvl w:val="0"/>
                <w:numId w:val="30"/>
              </w:numPr>
              <w:ind w:left="406" w:hanging="360"/>
              <w:rPr>
                <w:sz w:val="20"/>
                <w:szCs w:val="20"/>
                <w:lang w:eastAsia="es-ES_tradnl"/>
              </w:rPr>
            </w:pPr>
            <w:r w:rsidRPr="00695F3F">
              <w:rPr>
                <w:sz w:val="20"/>
                <w:szCs w:val="20"/>
                <w:lang w:eastAsia="es-ES_tradnl"/>
              </w:rPr>
              <w:t>Copy of feasibility study for the implementation of RETs to increase energy access.</w:t>
            </w:r>
          </w:p>
          <w:p w:rsidR="00470810" w:rsidRPr="00695F3F" w:rsidRDefault="00470810" w:rsidP="0086624F">
            <w:pPr>
              <w:pStyle w:val="Default"/>
              <w:rPr>
                <w:sz w:val="20"/>
                <w:szCs w:val="20"/>
              </w:rPr>
            </w:pPr>
          </w:p>
        </w:tc>
        <w:tc>
          <w:tcPr>
            <w:tcW w:w="990" w:type="dxa"/>
            <w:vAlign w:val="center"/>
          </w:tcPr>
          <w:p w:rsidR="00470810" w:rsidRPr="005E60EA" w:rsidRDefault="00470810" w:rsidP="0086624F">
            <w:pPr>
              <w:jc w:val="center"/>
              <w:rPr>
                <w:lang w:val="en-US"/>
              </w:rPr>
            </w:pPr>
            <w:r w:rsidRPr="005E60EA">
              <w:rPr>
                <w:lang w:val="en-US"/>
              </w:rPr>
              <w:t>0</w:t>
            </w:r>
          </w:p>
        </w:tc>
        <w:tc>
          <w:tcPr>
            <w:tcW w:w="900" w:type="dxa"/>
            <w:vAlign w:val="center"/>
          </w:tcPr>
          <w:p w:rsidR="00470810" w:rsidRPr="005E60EA" w:rsidRDefault="00470810" w:rsidP="0086624F">
            <w:pPr>
              <w:jc w:val="center"/>
              <w:rPr>
                <w:lang w:val="en-US"/>
              </w:rPr>
            </w:pPr>
            <w:r w:rsidRPr="005E60EA">
              <w:rPr>
                <w:lang w:val="en-US"/>
              </w:rPr>
              <w:t>1</w:t>
            </w:r>
          </w:p>
        </w:tc>
        <w:tc>
          <w:tcPr>
            <w:tcW w:w="1440" w:type="dxa"/>
            <w:shd w:val="clear" w:color="auto" w:fill="auto"/>
            <w:vAlign w:val="center"/>
          </w:tcPr>
          <w:p w:rsidR="00470810" w:rsidRPr="005E60EA" w:rsidRDefault="00470810" w:rsidP="0086624F">
            <w:pPr>
              <w:rPr>
                <w:lang w:val="en-US"/>
              </w:rPr>
            </w:pPr>
            <w:r w:rsidRPr="005E60EA">
              <w:rPr>
                <w:lang w:val="en-US"/>
              </w:rPr>
              <w:t>MNH</w:t>
            </w:r>
          </w:p>
        </w:tc>
      </w:tr>
      <w:tr w:rsidR="00470810" w:rsidRPr="005E60EA" w:rsidTr="0086624F">
        <w:trPr>
          <w:cantSplit/>
          <w:trHeight w:val="332"/>
        </w:trPr>
        <w:tc>
          <w:tcPr>
            <w:tcW w:w="13590" w:type="dxa"/>
            <w:gridSpan w:val="5"/>
            <w:vAlign w:val="center"/>
          </w:tcPr>
          <w:p w:rsidR="00470810" w:rsidRPr="00695F3F" w:rsidRDefault="00470810" w:rsidP="0086624F">
            <w:pPr>
              <w:rPr>
                <w:b/>
                <w:bCs/>
                <w:lang w:val="en-US"/>
              </w:rPr>
            </w:pPr>
            <w:r w:rsidRPr="00695F3F">
              <w:rPr>
                <w:b/>
                <w:bCs/>
                <w:lang w:val="en-US"/>
              </w:rPr>
              <w:t>III. Strengthen Sector Corporate Capabilities</w:t>
            </w:r>
            <w:r w:rsidRPr="005E60EA">
              <w:rPr>
                <w:lang w:val="en-US"/>
              </w:rPr>
              <w:t> </w:t>
            </w:r>
          </w:p>
          <w:p w:rsidR="00470810" w:rsidRPr="005E60EA" w:rsidRDefault="00470810" w:rsidP="0086624F">
            <w:pPr>
              <w:rPr>
                <w:lang w:val="en-US"/>
              </w:rPr>
            </w:pPr>
          </w:p>
        </w:tc>
      </w:tr>
      <w:tr w:rsidR="00386CA6" w:rsidRPr="005E60EA" w:rsidTr="00CE4AE9">
        <w:trPr>
          <w:cantSplit/>
          <w:trHeight w:val="629"/>
        </w:trPr>
        <w:tc>
          <w:tcPr>
            <w:tcW w:w="5850" w:type="dxa"/>
            <w:shd w:val="clear" w:color="auto" w:fill="auto"/>
            <w:vAlign w:val="center"/>
            <w:hideMark/>
          </w:tcPr>
          <w:p w:rsidR="00386CA6" w:rsidRPr="005E60EA" w:rsidRDefault="00386CA6" w:rsidP="0086624F">
            <w:pPr>
              <w:rPr>
                <w:lang w:val="en-US"/>
              </w:rPr>
            </w:pPr>
            <w:r w:rsidRPr="005E60EA">
              <w:rPr>
                <w:lang w:val="en-US"/>
              </w:rPr>
              <w:t xml:space="preserve">9.   The </w:t>
            </w:r>
            <w:r w:rsidRPr="005E60EA">
              <w:rPr>
                <w:bCs/>
                <w:lang w:val="en-US"/>
              </w:rPr>
              <w:t>EBS expansion</w:t>
            </w:r>
            <w:r w:rsidRPr="005E60EA">
              <w:rPr>
                <w:lang w:val="en-US"/>
              </w:rPr>
              <w:t xml:space="preserve"> plan is being </w:t>
            </w:r>
            <w:r w:rsidRPr="005E60EA">
              <w:rPr>
                <w:bCs/>
                <w:lang w:val="en-US"/>
              </w:rPr>
              <w:t>executed.</w:t>
            </w:r>
            <w:r w:rsidRPr="005E60EA">
              <w:rPr>
                <w:lang w:val="en-US"/>
              </w:rPr>
              <w:t xml:space="preserve">   </w:t>
            </w:r>
          </w:p>
        </w:tc>
        <w:tc>
          <w:tcPr>
            <w:tcW w:w="4410" w:type="dxa"/>
            <w:shd w:val="clear" w:color="auto" w:fill="auto"/>
          </w:tcPr>
          <w:p w:rsidR="00BE04E9" w:rsidRDefault="00BE04E9" w:rsidP="00BE04E9">
            <w:pPr>
              <w:pStyle w:val="BodyText"/>
              <w:numPr>
                <w:ilvl w:val="0"/>
                <w:numId w:val="31"/>
              </w:numPr>
              <w:spacing w:before="240"/>
              <w:ind w:left="418" w:hanging="418"/>
              <w:rPr>
                <w:color w:val="000000"/>
                <w:sz w:val="20"/>
                <w:szCs w:val="20"/>
                <w:lang w:eastAsia="es-ES_tradnl"/>
              </w:rPr>
            </w:pPr>
            <w:r w:rsidRPr="00215E34">
              <w:rPr>
                <w:color w:val="000000"/>
                <w:sz w:val="20"/>
                <w:szCs w:val="20"/>
              </w:rPr>
              <w:t xml:space="preserve">A letter from EBS’s </w:t>
            </w:r>
            <w:r>
              <w:rPr>
                <w:color w:val="000000"/>
                <w:sz w:val="20"/>
                <w:szCs w:val="20"/>
              </w:rPr>
              <w:t xml:space="preserve">CEO </w:t>
            </w:r>
            <w:r w:rsidRPr="00215E34">
              <w:rPr>
                <w:color w:val="000000"/>
                <w:sz w:val="20"/>
                <w:szCs w:val="20"/>
              </w:rPr>
              <w:t>reporting on progress regarding the implementation of expansion projects as included in EBS Strategic Business Plan.</w:t>
            </w:r>
          </w:p>
          <w:p w:rsidR="008F3EA0" w:rsidRPr="00A818BD" w:rsidRDefault="008F3EA0" w:rsidP="008F3EA0">
            <w:pPr>
              <w:pStyle w:val="BodyText"/>
              <w:numPr>
                <w:ilvl w:val="0"/>
                <w:numId w:val="31"/>
              </w:numPr>
              <w:spacing w:before="240"/>
              <w:ind w:left="418" w:hanging="418"/>
              <w:rPr>
                <w:color w:val="000000"/>
                <w:sz w:val="20"/>
                <w:szCs w:val="20"/>
                <w:lang w:eastAsia="es-ES_tradnl"/>
              </w:rPr>
            </w:pPr>
            <w:r w:rsidRPr="00A818BD">
              <w:rPr>
                <w:color w:val="000000"/>
                <w:sz w:val="20"/>
                <w:szCs w:val="20"/>
                <w:lang w:eastAsia="es-ES_tradnl"/>
              </w:rPr>
              <w:t xml:space="preserve">A </w:t>
            </w:r>
            <w:r>
              <w:rPr>
                <w:color w:val="000000"/>
                <w:sz w:val="20"/>
                <w:szCs w:val="20"/>
                <w:lang w:eastAsia="es-ES_tradnl"/>
              </w:rPr>
              <w:t xml:space="preserve">Progress Report </w:t>
            </w:r>
            <w:r w:rsidRPr="00A818BD">
              <w:rPr>
                <w:color w:val="000000"/>
                <w:sz w:val="20"/>
                <w:szCs w:val="20"/>
                <w:lang w:eastAsia="es-ES_tradnl"/>
              </w:rPr>
              <w:t>regarding the implementation of expansion projects</w:t>
            </w:r>
            <w:r>
              <w:rPr>
                <w:color w:val="000000"/>
                <w:sz w:val="20"/>
                <w:szCs w:val="20"/>
                <w:lang w:eastAsia="es-ES_tradnl"/>
              </w:rPr>
              <w:t>,</w:t>
            </w:r>
            <w:r w:rsidRPr="00A818BD">
              <w:rPr>
                <w:color w:val="000000"/>
                <w:sz w:val="20"/>
                <w:szCs w:val="20"/>
                <w:lang w:eastAsia="es-ES_tradnl"/>
              </w:rPr>
              <w:t xml:space="preserve"> as included in the EBS Strategic Business Plan.</w:t>
            </w:r>
          </w:p>
          <w:p w:rsidR="00386CA6" w:rsidRPr="00007642" w:rsidRDefault="00386CA6" w:rsidP="00C97500">
            <w:pPr>
              <w:pStyle w:val="Default"/>
            </w:pPr>
          </w:p>
        </w:tc>
        <w:tc>
          <w:tcPr>
            <w:tcW w:w="990" w:type="dxa"/>
            <w:vAlign w:val="center"/>
          </w:tcPr>
          <w:p w:rsidR="00386CA6" w:rsidRPr="005E60EA" w:rsidRDefault="00386CA6" w:rsidP="0086624F">
            <w:pPr>
              <w:jc w:val="center"/>
              <w:rPr>
                <w:lang w:val="en-US"/>
              </w:rPr>
            </w:pPr>
            <w:r w:rsidRPr="005E60EA">
              <w:rPr>
                <w:lang w:val="en-US"/>
              </w:rPr>
              <w:t>0</w:t>
            </w:r>
          </w:p>
        </w:tc>
        <w:tc>
          <w:tcPr>
            <w:tcW w:w="900" w:type="dxa"/>
            <w:vAlign w:val="center"/>
          </w:tcPr>
          <w:p w:rsidR="00386CA6" w:rsidRPr="005E60EA" w:rsidRDefault="00386CA6" w:rsidP="0086624F">
            <w:pPr>
              <w:jc w:val="center"/>
              <w:rPr>
                <w:lang w:val="en-US"/>
              </w:rPr>
            </w:pPr>
            <w:r w:rsidRPr="005E60EA">
              <w:rPr>
                <w:lang w:val="en-US"/>
              </w:rPr>
              <w:t>1</w:t>
            </w:r>
          </w:p>
        </w:tc>
        <w:tc>
          <w:tcPr>
            <w:tcW w:w="1440" w:type="dxa"/>
            <w:shd w:val="clear" w:color="auto" w:fill="auto"/>
            <w:vAlign w:val="center"/>
            <w:hideMark/>
          </w:tcPr>
          <w:p w:rsidR="00386CA6" w:rsidRPr="005E60EA" w:rsidRDefault="00386CA6" w:rsidP="0086624F">
            <w:pPr>
              <w:rPr>
                <w:lang w:val="en-US"/>
              </w:rPr>
            </w:pPr>
            <w:r w:rsidRPr="005E60EA">
              <w:rPr>
                <w:lang w:val="en-US"/>
              </w:rPr>
              <w:t>EBS</w:t>
            </w:r>
          </w:p>
        </w:tc>
      </w:tr>
      <w:tr w:rsidR="008F3EA0" w:rsidRPr="005E60EA" w:rsidTr="00EA3703">
        <w:trPr>
          <w:cantSplit/>
          <w:trHeight w:val="691"/>
        </w:trPr>
        <w:tc>
          <w:tcPr>
            <w:tcW w:w="5850" w:type="dxa"/>
            <w:shd w:val="clear" w:color="auto" w:fill="auto"/>
            <w:vAlign w:val="center"/>
            <w:hideMark/>
          </w:tcPr>
          <w:p w:rsidR="008F3EA0" w:rsidRPr="00386CA6" w:rsidRDefault="008F3EA0" w:rsidP="0086624F">
            <w:pPr>
              <w:rPr>
                <w:lang w:val="en-US"/>
              </w:rPr>
            </w:pPr>
            <w:r w:rsidRPr="00386CA6">
              <w:rPr>
                <w:lang w:val="en-US"/>
              </w:rPr>
              <w:t xml:space="preserve">10.    Fundamental </w:t>
            </w:r>
            <w:r w:rsidRPr="00386CA6">
              <w:rPr>
                <w:bCs/>
                <w:lang w:val="en-US"/>
              </w:rPr>
              <w:t>technical recommendations</w:t>
            </w:r>
            <w:r w:rsidRPr="00386CA6">
              <w:rPr>
                <w:lang w:val="en-US"/>
              </w:rPr>
              <w:t xml:space="preserve"> from corporate assessment are being </w:t>
            </w:r>
            <w:r w:rsidRPr="00386CA6">
              <w:rPr>
                <w:bCs/>
                <w:lang w:val="en-US"/>
              </w:rPr>
              <w:t>implemented</w:t>
            </w:r>
            <w:r w:rsidRPr="00386CA6">
              <w:rPr>
                <w:lang w:val="en-US"/>
              </w:rPr>
              <w:t>.</w:t>
            </w:r>
          </w:p>
        </w:tc>
        <w:tc>
          <w:tcPr>
            <w:tcW w:w="4410" w:type="dxa"/>
            <w:shd w:val="clear" w:color="auto" w:fill="auto"/>
          </w:tcPr>
          <w:p w:rsidR="00BE04E9" w:rsidRPr="00BE04E9" w:rsidRDefault="00BE04E9" w:rsidP="00BE04E9">
            <w:pPr>
              <w:pStyle w:val="Default"/>
              <w:numPr>
                <w:ilvl w:val="0"/>
                <w:numId w:val="32"/>
              </w:numPr>
              <w:spacing w:before="240" w:after="240"/>
              <w:ind w:left="406" w:hanging="406"/>
            </w:pPr>
            <w:r>
              <w:rPr>
                <w:sz w:val="20"/>
                <w:szCs w:val="20"/>
              </w:rPr>
              <w:t>Letter from EBS’s CEO describing the progress on the implementation of technical recommendations from corporate assessment.</w:t>
            </w:r>
          </w:p>
          <w:p w:rsidR="008F3EA0" w:rsidRPr="007E27D1" w:rsidRDefault="00467B91" w:rsidP="00BE04E9">
            <w:pPr>
              <w:pStyle w:val="Default"/>
              <w:numPr>
                <w:ilvl w:val="0"/>
                <w:numId w:val="32"/>
              </w:numPr>
              <w:spacing w:after="240"/>
              <w:ind w:left="406" w:hanging="406"/>
            </w:pPr>
            <w:r w:rsidRPr="00453E72">
              <w:rPr>
                <w:sz w:val="20"/>
                <w:szCs w:val="20"/>
              </w:rPr>
              <w:t xml:space="preserve">Copy of </w:t>
            </w:r>
            <w:r>
              <w:rPr>
                <w:sz w:val="20"/>
                <w:szCs w:val="20"/>
              </w:rPr>
              <w:t>the</w:t>
            </w:r>
            <w:r w:rsidRPr="00952857">
              <w:rPr>
                <w:sz w:val="20"/>
                <w:szCs w:val="20"/>
              </w:rPr>
              <w:t xml:space="preserve"> Annual Operations Plan 2016 for the Program that supports the implementation of the EBS Investment Plan, </w:t>
            </w:r>
            <w:r>
              <w:rPr>
                <w:sz w:val="20"/>
                <w:szCs w:val="20"/>
              </w:rPr>
              <w:t xml:space="preserve">and the 2015 semi-annual </w:t>
            </w:r>
            <w:r w:rsidRPr="00453E72">
              <w:rPr>
                <w:sz w:val="20"/>
                <w:szCs w:val="20"/>
              </w:rPr>
              <w:t xml:space="preserve">reports </w:t>
            </w:r>
            <w:r>
              <w:rPr>
                <w:sz w:val="20"/>
                <w:szCs w:val="20"/>
              </w:rPr>
              <w:t xml:space="preserve">for the Program that supports the improvement of the sustainability of the electricity service, including actions towards </w:t>
            </w:r>
            <w:r w:rsidRPr="00453E72">
              <w:rPr>
                <w:sz w:val="20"/>
                <w:szCs w:val="20"/>
              </w:rPr>
              <w:t>the implementation of technical activities</w:t>
            </w:r>
            <w:r w:rsidRPr="00215E34">
              <w:rPr>
                <w:sz w:val="20"/>
                <w:szCs w:val="20"/>
              </w:rPr>
              <w:t>.</w:t>
            </w:r>
          </w:p>
        </w:tc>
        <w:tc>
          <w:tcPr>
            <w:tcW w:w="990" w:type="dxa"/>
            <w:vAlign w:val="center"/>
          </w:tcPr>
          <w:p w:rsidR="008F3EA0" w:rsidRPr="005E60EA" w:rsidRDefault="008F3EA0" w:rsidP="0086624F">
            <w:pPr>
              <w:jc w:val="center"/>
              <w:rPr>
                <w:lang w:val="en-US"/>
              </w:rPr>
            </w:pPr>
            <w:r w:rsidRPr="005E60EA">
              <w:rPr>
                <w:lang w:val="en-US"/>
              </w:rPr>
              <w:t>0</w:t>
            </w:r>
          </w:p>
        </w:tc>
        <w:tc>
          <w:tcPr>
            <w:tcW w:w="900" w:type="dxa"/>
            <w:vAlign w:val="center"/>
          </w:tcPr>
          <w:p w:rsidR="008F3EA0" w:rsidRPr="005E60EA" w:rsidRDefault="008F3EA0" w:rsidP="0086624F">
            <w:pPr>
              <w:jc w:val="center"/>
              <w:rPr>
                <w:lang w:val="en-US"/>
              </w:rPr>
            </w:pPr>
            <w:r w:rsidRPr="005E60EA">
              <w:rPr>
                <w:lang w:val="en-US"/>
              </w:rPr>
              <w:t>1</w:t>
            </w:r>
          </w:p>
        </w:tc>
        <w:tc>
          <w:tcPr>
            <w:tcW w:w="1440" w:type="dxa"/>
            <w:shd w:val="clear" w:color="auto" w:fill="auto"/>
            <w:vAlign w:val="center"/>
            <w:hideMark/>
          </w:tcPr>
          <w:p w:rsidR="008F3EA0" w:rsidRPr="005E60EA" w:rsidRDefault="008F3EA0" w:rsidP="0086624F">
            <w:pPr>
              <w:rPr>
                <w:lang w:val="en-US"/>
              </w:rPr>
            </w:pPr>
            <w:r w:rsidRPr="005E60EA">
              <w:rPr>
                <w:lang w:val="en-US"/>
              </w:rPr>
              <w:t>EBS</w:t>
            </w:r>
          </w:p>
        </w:tc>
      </w:tr>
      <w:tr w:rsidR="008F3EA0" w:rsidRPr="005E60EA" w:rsidTr="00442B66">
        <w:trPr>
          <w:cantSplit/>
          <w:trHeight w:val="691"/>
        </w:trPr>
        <w:tc>
          <w:tcPr>
            <w:tcW w:w="5850" w:type="dxa"/>
            <w:shd w:val="clear" w:color="auto" w:fill="auto"/>
            <w:vAlign w:val="center"/>
            <w:hideMark/>
          </w:tcPr>
          <w:p w:rsidR="008F3EA0" w:rsidRPr="005E60EA" w:rsidRDefault="008F3EA0" w:rsidP="0086624F">
            <w:pPr>
              <w:rPr>
                <w:lang w:val="en-US"/>
              </w:rPr>
            </w:pPr>
            <w:r w:rsidRPr="005E60EA">
              <w:rPr>
                <w:lang w:val="en-US"/>
              </w:rPr>
              <w:lastRenderedPageBreak/>
              <w:t>11.    EBS is undertaking an update of its corporate and operational instruments, codes and laws, according to findings from corporate internal assessments.</w:t>
            </w:r>
          </w:p>
        </w:tc>
        <w:tc>
          <w:tcPr>
            <w:tcW w:w="4410" w:type="dxa"/>
            <w:shd w:val="clear" w:color="auto" w:fill="auto"/>
          </w:tcPr>
          <w:p w:rsidR="00BE04E9" w:rsidRPr="00BE04E9" w:rsidRDefault="00BE04E9" w:rsidP="00BE04E9">
            <w:pPr>
              <w:pStyle w:val="Default"/>
              <w:spacing w:before="240"/>
              <w:jc w:val="both"/>
              <w:rPr>
                <w:sz w:val="20"/>
                <w:szCs w:val="20"/>
                <w:lang w:eastAsia="es-ES_tradnl"/>
              </w:rPr>
            </w:pPr>
            <w:r>
              <w:rPr>
                <w:sz w:val="20"/>
                <w:szCs w:val="20"/>
                <w:lang w:eastAsia="es-ES_tradnl"/>
              </w:rPr>
              <w:t xml:space="preserve">(i)  </w:t>
            </w:r>
            <w:r w:rsidRPr="00BE04E9">
              <w:rPr>
                <w:sz w:val="20"/>
                <w:szCs w:val="20"/>
                <w:lang w:eastAsia="es-ES_tradnl"/>
              </w:rPr>
              <w:t>Letter from EBS’s CEO describing the ongoing activities related to the update of corporate instruments, according to findings from corporate internal assessments.</w:t>
            </w:r>
          </w:p>
          <w:p w:rsidR="00467B91" w:rsidRPr="00467B91" w:rsidRDefault="00467B91" w:rsidP="00467B91">
            <w:pPr>
              <w:pStyle w:val="Default"/>
              <w:spacing w:before="240"/>
              <w:jc w:val="both"/>
              <w:rPr>
                <w:sz w:val="20"/>
                <w:szCs w:val="20"/>
                <w:lang w:eastAsia="es-ES_tradnl"/>
              </w:rPr>
            </w:pPr>
            <w:r>
              <w:rPr>
                <w:sz w:val="20"/>
                <w:szCs w:val="20"/>
                <w:lang w:eastAsia="es-ES_tradnl"/>
              </w:rPr>
              <w:t xml:space="preserve">(ii) </w:t>
            </w:r>
            <w:r w:rsidRPr="00467B91">
              <w:rPr>
                <w:sz w:val="20"/>
                <w:szCs w:val="20"/>
                <w:lang w:eastAsia="es-ES_tradnl"/>
              </w:rPr>
              <w:t>Copy of the document Herpositionering, Herstructurering &amp; Reorganisatie van N.V. Energiebedrijven Suriname (Repositioning, Restructuring and Reorganization of EBS)  addressing recommendations from previous corporate assessment studies.</w:t>
            </w:r>
          </w:p>
          <w:p w:rsidR="008F3EA0" w:rsidRPr="007E27D1" w:rsidRDefault="00467B91" w:rsidP="00467B91">
            <w:pPr>
              <w:pStyle w:val="Default"/>
              <w:spacing w:before="240"/>
              <w:jc w:val="both"/>
              <w:rPr>
                <w:sz w:val="20"/>
                <w:szCs w:val="20"/>
                <w:lang w:eastAsia="es-ES_tradnl"/>
              </w:rPr>
            </w:pPr>
            <w:r>
              <w:rPr>
                <w:sz w:val="20"/>
                <w:szCs w:val="20"/>
                <w:lang w:eastAsia="es-ES_tradnl"/>
              </w:rPr>
              <w:t xml:space="preserve">(iii) </w:t>
            </w:r>
            <w:r w:rsidRPr="00467B91">
              <w:rPr>
                <w:sz w:val="20"/>
                <w:szCs w:val="20"/>
                <w:lang w:eastAsia="es-ES_tradnl"/>
              </w:rPr>
              <w:t>Copy of the Annual Operations Plan 2016 for the Program that supports the implementation of the EBS Investment Plan, which includes actions towards EBS corporate restructuring.</w:t>
            </w:r>
          </w:p>
        </w:tc>
        <w:tc>
          <w:tcPr>
            <w:tcW w:w="990" w:type="dxa"/>
            <w:vAlign w:val="center"/>
          </w:tcPr>
          <w:p w:rsidR="008F3EA0" w:rsidRPr="005E60EA" w:rsidRDefault="008F3EA0" w:rsidP="0086624F">
            <w:pPr>
              <w:jc w:val="center"/>
              <w:rPr>
                <w:lang w:val="en-US"/>
              </w:rPr>
            </w:pPr>
            <w:r w:rsidRPr="005E60EA">
              <w:rPr>
                <w:lang w:val="en-US"/>
              </w:rPr>
              <w:t>0</w:t>
            </w:r>
          </w:p>
        </w:tc>
        <w:tc>
          <w:tcPr>
            <w:tcW w:w="900" w:type="dxa"/>
            <w:vAlign w:val="center"/>
          </w:tcPr>
          <w:p w:rsidR="008F3EA0" w:rsidRPr="005E60EA" w:rsidRDefault="008F3EA0" w:rsidP="0086624F">
            <w:pPr>
              <w:jc w:val="center"/>
              <w:rPr>
                <w:lang w:val="en-US"/>
              </w:rPr>
            </w:pPr>
            <w:r w:rsidRPr="005E60EA">
              <w:rPr>
                <w:lang w:val="en-US"/>
              </w:rPr>
              <w:t>1</w:t>
            </w:r>
          </w:p>
        </w:tc>
        <w:tc>
          <w:tcPr>
            <w:tcW w:w="1440" w:type="dxa"/>
            <w:shd w:val="clear" w:color="auto" w:fill="auto"/>
            <w:vAlign w:val="center"/>
            <w:hideMark/>
          </w:tcPr>
          <w:p w:rsidR="008F3EA0" w:rsidRPr="005E60EA" w:rsidRDefault="008F3EA0" w:rsidP="0086624F">
            <w:pPr>
              <w:rPr>
                <w:lang w:val="en-US"/>
              </w:rPr>
            </w:pPr>
            <w:r w:rsidRPr="005E60EA">
              <w:rPr>
                <w:lang w:val="en-US"/>
              </w:rPr>
              <w:t>EBS</w:t>
            </w:r>
          </w:p>
        </w:tc>
      </w:tr>
    </w:tbl>
    <w:p w:rsidR="00470810" w:rsidRPr="005E60EA" w:rsidRDefault="00470810" w:rsidP="00470810">
      <w:pPr>
        <w:rPr>
          <w:lang w:val="en-US"/>
        </w:rPr>
      </w:pPr>
    </w:p>
    <w:p w:rsidR="00622496" w:rsidRPr="00470810" w:rsidRDefault="00622496" w:rsidP="00470810"/>
    <w:sectPr w:rsidR="00622496" w:rsidRPr="00470810" w:rsidSect="00371522">
      <w:headerReference w:type="default" r:id="rId9"/>
      <w:pgSz w:w="15840" w:h="12240" w:orient="landscape" w:code="1"/>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76" w:rsidRDefault="00806176">
      <w:r>
        <w:separator/>
      </w:r>
    </w:p>
  </w:endnote>
  <w:endnote w:type="continuationSeparator" w:id="0">
    <w:p w:rsidR="00806176" w:rsidRDefault="0080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76" w:rsidRDefault="00806176">
      <w:r>
        <w:separator/>
      </w:r>
    </w:p>
  </w:footnote>
  <w:footnote w:type="continuationSeparator" w:id="0">
    <w:p w:rsidR="00806176" w:rsidRDefault="0080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1F" w:rsidRPr="008E45E1" w:rsidRDefault="000A3F1F" w:rsidP="00221A9E">
    <w:pPr>
      <w:pStyle w:val="Header"/>
      <w:jc w:val="right"/>
      <w:rPr>
        <w:sz w:val="24"/>
        <w:szCs w:val="24"/>
        <w:lang w:val="en-US"/>
      </w:rPr>
    </w:pPr>
    <w:r w:rsidRPr="008E45E1">
      <w:rPr>
        <w:sz w:val="24"/>
        <w:szCs w:val="24"/>
        <w:lang w:val="en-US"/>
      </w:rPr>
      <w:t>S</w:t>
    </w:r>
    <w:r w:rsidR="00522118" w:rsidRPr="008E45E1">
      <w:rPr>
        <w:sz w:val="24"/>
        <w:szCs w:val="24"/>
        <w:lang w:val="en-US"/>
      </w:rPr>
      <w:t>U-L103</w:t>
    </w:r>
    <w:r w:rsidR="00371522" w:rsidRPr="008E45E1">
      <w:rPr>
        <w:sz w:val="24"/>
        <w:szCs w:val="24"/>
        <w:lang w:val="en-US"/>
      </w:rPr>
      <w:t>6</w:t>
    </w:r>
    <w:r w:rsidRPr="008E45E1">
      <w:rPr>
        <w:sz w:val="24"/>
        <w:szCs w:val="24"/>
        <w:lang w:val="en-US"/>
      </w:rPr>
      <w:t xml:space="preserve"> – RESULTS FRAMEWORK </w:t>
    </w:r>
  </w:p>
  <w:p w:rsidR="000A3F1F" w:rsidRPr="008E45E1" w:rsidRDefault="0066211A">
    <w:pPr>
      <w:pStyle w:val="Header"/>
      <w:jc w:val="right"/>
      <w:rPr>
        <w:sz w:val="24"/>
        <w:szCs w:val="24"/>
        <w:lang w:val="en-US"/>
      </w:rPr>
    </w:pPr>
    <w:sdt>
      <w:sdtPr>
        <w:rPr>
          <w:sz w:val="24"/>
          <w:szCs w:val="24"/>
        </w:rPr>
        <w:id w:val="565053189"/>
        <w:docPartObj>
          <w:docPartGallery w:val="Page Numbers (Top of Page)"/>
          <w:docPartUnique/>
        </w:docPartObj>
      </w:sdtPr>
      <w:sdtEndPr/>
      <w:sdtContent>
        <w:r w:rsidR="000A3F1F" w:rsidRPr="008E45E1">
          <w:rPr>
            <w:sz w:val="24"/>
            <w:szCs w:val="24"/>
            <w:lang w:val="en-US"/>
          </w:rPr>
          <w:t xml:space="preserve">Page </w:t>
        </w:r>
        <w:r w:rsidR="000A3F1F" w:rsidRPr="008E45E1">
          <w:rPr>
            <w:sz w:val="24"/>
            <w:szCs w:val="24"/>
          </w:rPr>
          <w:fldChar w:fldCharType="begin"/>
        </w:r>
        <w:r w:rsidR="000A3F1F" w:rsidRPr="008E45E1">
          <w:rPr>
            <w:sz w:val="24"/>
            <w:szCs w:val="24"/>
            <w:lang w:val="en-US"/>
          </w:rPr>
          <w:instrText xml:space="preserve"> PAGE </w:instrText>
        </w:r>
        <w:r w:rsidR="000A3F1F" w:rsidRPr="008E45E1">
          <w:rPr>
            <w:sz w:val="24"/>
            <w:szCs w:val="24"/>
          </w:rPr>
          <w:fldChar w:fldCharType="separate"/>
        </w:r>
        <w:r>
          <w:rPr>
            <w:noProof/>
            <w:sz w:val="24"/>
            <w:szCs w:val="24"/>
            <w:lang w:val="en-US"/>
          </w:rPr>
          <w:t>3</w:t>
        </w:r>
        <w:r w:rsidR="000A3F1F" w:rsidRPr="008E45E1">
          <w:rPr>
            <w:sz w:val="24"/>
            <w:szCs w:val="24"/>
          </w:rPr>
          <w:fldChar w:fldCharType="end"/>
        </w:r>
        <w:r w:rsidR="000A3F1F" w:rsidRPr="008E45E1">
          <w:rPr>
            <w:sz w:val="24"/>
            <w:szCs w:val="24"/>
            <w:lang w:val="en-US"/>
          </w:rPr>
          <w:t xml:space="preserve"> of </w:t>
        </w:r>
        <w:r w:rsidR="000A3F1F" w:rsidRPr="008E45E1">
          <w:rPr>
            <w:sz w:val="24"/>
            <w:szCs w:val="24"/>
          </w:rPr>
          <w:fldChar w:fldCharType="begin"/>
        </w:r>
        <w:r w:rsidR="000A3F1F" w:rsidRPr="008E45E1">
          <w:rPr>
            <w:sz w:val="24"/>
            <w:szCs w:val="24"/>
            <w:lang w:val="en-US"/>
          </w:rPr>
          <w:instrText xml:space="preserve"> NUMPAGES  </w:instrText>
        </w:r>
        <w:r w:rsidR="000A3F1F" w:rsidRPr="008E45E1">
          <w:rPr>
            <w:sz w:val="24"/>
            <w:szCs w:val="24"/>
          </w:rPr>
          <w:fldChar w:fldCharType="separate"/>
        </w:r>
        <w:r>
          <w:rPr>
            <w:noProof/>
            <w:sz w:val="24"/>
            <w:szCs w:val="24"/>
            <w:lang w:val="en-US"/>
          </w:rPr>
          <w:t>6</w:t>
        </w:r>
        <w:r w:rsidR="000A3F1F" w:rsidRPr="008E45E1">
          <w:rPr>
            <w:sz w:val="24"/>
            <w:szCs w:val="24"/>
          </w:rPr>
          <w:fldChar w:fldCharType="end"/>
        </w:r>
      </w:sdtContent>
    </w:sdt>
  </w:p>
  <w:p w:rsidR="000A3F1F" w:rsidRPr="008C106A" w:rsidRDefault="000A3F1F" w:rsidP="00221A9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F665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239D9"/>
    <w:multiLevelType w:val="hybridMultilevel"/>
    <w:tmpl w:val="9566D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D290E"/>
    <w:multiLevelType w:val="hybridMultilevel"/>
    <w:tmpl w:val="55D8B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0D7C5F"/>
    <w:multiLevelType w:val="hybridMultilevel"/>
    <w:tmpl w:val="82E87262"/>
    <w:lvl w:ilvl="0" w:tplc="1AC09320">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C794D"/>
    <w:multiLevelType w:val="multilevel"/>
    <w:tmpl w:val="96E2FEA8"/>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7280D73"/>
    <w:multiLevelType w:val="hybridMultilevel"/>
    <w:tmpl w:val="67BC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B2A28"/>
    <w:multiLevelType w:val="multilevel"/>
    <w:tmpl w:val="FD3A3BD2"/>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A1A18CD"/>
    <w:multiLevelType w:val="hybridMultilevel"/>
    <w:tmpl w:val="B09E1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D771789"/>
    <w:multiLevelType w:val="hybridMultilevel"/>
    <w:tmpl w:val="40A08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17253"/>
    <w:multiLevelType w:val="hybridMultilevel"/>
    <w:tmpl w:val="63F40D62"/>
    <w:lvl w:ilvl="0" w:tplc="0409000F">
      <w:start w:val="1"/>
      <w:numFmt w:val="decimal"/>
      <w:lvlText w:val="%1."/>
      <w:lvlJc w:val="left"/>
      <w:pPr>
        <w:tabs>
          <w:tab w:val="num" w:pos="0"/>
        </w:tabs>
        <w:ind w:left="144" w:hanging="144"/>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1F332BBD"/>
    <w:multiLevelType w:val="multilevel"/>
    <w:tmpl w:val="667C38CC"/>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19C2858"/>
    <w:multiLevelType w:val="hybridMultilevel"/>
    <w:tmpl w:val="3A4CCA50"/>
    <w:lvl w:ilvl="0" w:tplc="6E0E86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10242"/>
    <w:multiLevelType w:val="hybridMultilevel"/>
    <w:tmpl w:val="ED8834FA"/>
    <w:lvl w:ilvl="0" w:tplc="EBB05296">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65FD0"/>
    <w:multiLevelType w:val="hybridMultilevel"/>
    <w:tmpl w:val="1592FB38"/>
    <w:lvl w:ilvl="0" w:tplc="1AC09320">
      <w:start w:val="1"/>
      <w:numFmt w:val="bullet"/>
      <w:lvlText w:val=""/>
      <w:lvlJc w:val="left"/>
      <w:pPr>
        <w:tabs>
          <w:tab w:val="num" w:pos="144"/>
        </w:tabs>
        <w:ind w:left="288" w:hanging="144"/>
      </w:pPr>
      <w:rPr>
        <w:rFonts w:ascii="Symbol" w:hAnsi="Symbol" w:hint="default"/>
      </w:rPr>
    </w:lvl>
    <w:lvl w:ilvl="1" w:tplc="040A0003" w:tentative="1">
      <w:start w:val="1"/>
      <w:numFmt w:val="bullet"/>
      <w:lvlText w:val="o"/>
      <w:lvlJc w:val="left"/>
      <w:pPr>
        <w:ind w:left="1584" w:hanging="360"/>
      </w:pPr>
      <w:rPr>
        <w:rFonts w:ascii="Courier New" w:hAnsi="Courier New" w:cs="Courier New" w:hint="default"/>
      </w:rPr>
    </w:lvl>
    <w:lvl w:ilvl="2" w:tplc="040A0005" w:tentative="1">
      <w:start w:val="1"/>
      <w:numFmt w:val="bullet"/>
      <w:lvlText w:val=""/>
      <w:lvlJc w:val="left"/>
      <w:pPr>
        <w:ind w:left="2304" w:hanging="360"/>
      </w:pPr>
      <w:rPr>
        <w:rFonts w:ascii="Wingdings" w:hAnsi="Wingdings" w:hint="default"/>
      </w:rPr>
    </w:lvl>
    <w:lvl w:ilvl="3" w:tplc="040A0001" w:tentative="1">
      <w:start w:val="1"/>
      <w:numFmt w:val="bullet"/>
      <w:lvlText w:val=""/>
      <w:lvlJc w:val="left"/>
      <w:pPr>
        <w:ind w:left="3024" w:hanging="360"/>
      </w:pPr>
      <w:rPr>
        <w:rFonts w:ascii="Symbol" w:hAnsi="Symbol" w:hint="default"/>
      </w:rPr>
    </w:lvl>
    <w:lvl w:ilvl="4" w:tplc="040A0003" w:tentative="1">
      <w:start w:val="1"/>
      <w:numFmt w:val="bullet"/>
      <w:lvlText w:val="o"/>
      <w:lvlJc w:val="left"/>
      <w:pPr>
        <w:ind w:left="3744" w:hanging="360"/>
      </w:pPr>
      <w:rPr>
        <w:rFonts w:ascii="Courier New" w:hAnsi="Courier New" w:cs="Courier New" w:hint="default"/>
      </w:rPr>
    </w:lvl>
    <w:lvl w:ilvl="5" w:tplc="040A0005" w:tentative="1">
      <w:start w:val="1"/>
      <w:numFmt w:val="bullet"/>
      <w:lvlText w:val=""/>
      <w:lvlJc w:val="left"/>
      <w:pPr>
        <w:ind w:left="4464" w:hanging="360"/>
      </w:pPr>
      <w:rPr>
        <w:rFonts w:ascii="Wingdings" w:hAnsi="Wingdings" w:hint="default"/>
      </w:rPr>
    </w:lvl>
    <w:lvl w:ilvl="6" w:tplc="040A0001" w:tentative="1">
      <w:start w:val="1"/>
      <w:numFmt w:val="bullet"/>
      <w:lvlText w:val=""/>
      <w:lvlJc w:val="left"/>
      <w:pPr>
        <w:ind w:left="5184" w:hanging="360"/>
      </w:pPr>
      <w:rPr>
        <w:rFonts w:ascii="Symbol" w:hAnsi="Symbol" w:hint="default"/>
      </w:rPr>
    </w:lvl>
    <w:lvl w:ilvl="7" w:tplc="040A0003" w:tentative="1">
      <w:start w:val="1"/>
      <w:numFmt w:val="bullet"/>
      <w:lvlText w:val="o"/>
      <w:lvlJc w:val="left"/>
      <w:pPr>
        <w:ind w:left="5904" w:hanging="360"/>
      </w:pPr>
      <w:rPr>
        <w:rFonts w:ascii="Courier New" w:hAnsi="Courier New" w:cs="Courier New" w:hint="default"/>
      </w:rPr>
    </w:lvl>
    <w:lvl w:ilvl="8" w:tplc="040A0005" w:tentative="1">
      <w:start w:val="1"/>
      <w:numFmt w:val="bullet"/>
      <w:lvlText w:val=""/>
      <w:lvlJc w:val="left"/>
      <w:pPr>
        <w:ind w:left="6624" w:hanging="360"/>
      </w:pPr>
      <w:rPr>
        <w:rFonts w:ascii="Wingdings" w:hAnsi="Wingdings" w:hint="default"/>
      </w:rPr>
    </w:lvl>
  </w:abstractNum>
  <w:abstractNum w:abstractNumId="14">
    <w:nsid w:val="31D042E2"/>
    <w:multiLevelType w:val="hybridMultilevel"/>
    <w:tmpl w:val="B24218DE"/>
    <w:lvl w:ilvl="0" w:tplc="9EA49A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D4694"/>
    <w:multiLevelType w:val="hybridMultilevel"/>
    <w:tmpl w:val="7076DEA2"/>
    <w:lvl w:ilvl="0" w:tplc="904ADF9A">
      <w:start w:val="1"/>
      <w:numFmt w:val="decimal"/>
      <w:pStyle w:val="FirstHeading"/>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6F33894"/>
    <w:multiLevelType w:val="multilevel"/>
    <w:tmpl w:val="6CBAA96E"/>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CBE054E"/>
    <w:multiLevelType w:val="hybridMultilevel"/>
    <w:tmpl w:val="2966A10C"/>
    <w:lvl w:ilvl="0" w:tplc="EA3A3068">
      <w:start w:val="1"/>
      <w:numFmt w:val="low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D33FC"/>
    <w:multiLevelType w:val="hybridMultilevel"/>
    <w:tmpl w:val="E07E8C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06D6764"/>
    <w:multiLevelType w:val="hybridMultilevel"/>
    <w:tmpl w:val="7BF28D74"/>
    <w:lvl w:ilvl="0" w:tplc="7E3A126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4942E42"/>
    <w:multiLevelType w:val="hybridMultilevel"/>
    <w:tmpl w:val="B256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C59FA"/>
    <w:multiLevelType w:val="multilevel"/>
    <w:tmpl w:val="9E5EFCC4"/>
    <w:lvl w:ilvl="0">
      <w:start w:val="1"/>
      <w:numFmt w:val="decimal"/>
      <w:pStyle w:val="Chapter"/>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A01517D"/>
    <w:multiLevelType w:val="hybridMultilevel"/>
    <w:tmpl w:val="D1483FC0"/>
    <w:lvl w:ilvl="0" w:tplc="1AC09320">
      <w:start w:val="1"/>
      <w:numFmt w:val="bullet"/>
      <w:lvlText w:val=""/>
      <w:lvlJc w:val="left"/>
      <w:pPr>
        <w:ind w:left="504" w:hanging="360"/>
      </w:pPr>
      <w:rPr>
        <w:rFonts w:ascii="Symbol" w:hAnsi="Symbol" w:hint="default"/>
      </w:rPr>
    </w:lvl>
    <w:lvl w:ilvl="1" w:tplc="040A0003" w:tentative="1">
      <w:start w:val="1"/>
      <w:numFmt w:val="bullet"/>
      <w:lvlText w:val="o"/>
      <w:lvlJc w:val="left"/>
      <w:pPr>
        <w:ind w:left="1224" w:hanging="360"/>
      </w:pPr>
      <w:rPr>
        <w:rFonts w:ascii="Courier New" w:hAnsi="Courier New" w:cs="Courier New" w:hint="default"/>
      </w:rPr>
    </w:lvl>
    <w:lvl w:ilvl="2" w:tplc="040A0005" w:tentative="1">
      <w:start w:val="1"/>
      <w:numFmt w:val="bullet"/>
      <w:lvlText w:val=""/>
      <w:lvlJc w:val="left"/>
      <w:pPr>
        <w:ind w:left="1944" w:hanging="360"/>
      </w:pPr>
      <w:rPr>
        <w:rFonts w:ascii="Wingdings" w:hAnsi="Wingdings" w:hint="default"/>
      </w:rPr>
    </w:lvl>
    <w:lvl w:ilvl="3" w:tplc="040A0001" w:tentative="1">
      <w:start w:val="1"/>
      <w:numFmt w:val="bullet"/>
      <w:lvlText w:val=""/>
      <w:lvlJc w:val="left"/>
      <w:pPr>
        <w:ind w:left="2664" w:hanging="360"/>
      </w:pPr>
      <w:rPr>
        <w:rFonts w:ascii="Symbol" w:hAnsi="Symbol" w:hint="default"/>
      </w:rPr>
    </w:lvl>
    <w:lvl w:ilvl="4" w:tplc="040A0003" w:tentative="1">
      <w:start w:val="1"/>
      <w:numFmt w:val="bullet"/>
      <w:lvlText w:val="o"/>
      <w:lvlJc w:val="left"/>
      <w:pPr>
        <w:ind w:left="3384" w:hanging="360"/>
      </w:pPr>
      <w:rPr>
        <w:rFonts w:ascii="Courier New" w:hAnsi="Courier New" w:cs="Courier New" w:hint="default"/>
      </w:rPr>
    </w:lvl>
    <w:lvl w:ilvl="5" w:tplc="040A0005" w:tentative="1">
      <w:start w:val="1"/>
      <w:numFmt w:val="bullet"/>
      <w:lvlText w:val=""/>
      <w:lvlJc w:val="left"/>
      <w:pPr>
        <w:ind w:left="4104" w:hanging="360"/>
      </w:pPr>
      <w:rPr>
        <w:rFonts w:ascii="Wingdings" w:hAnsi="Wingdings" w:hint="default"/>
      </w:rPr>
    </w:lvl>
    <w:lvl w:ilvl="6" w:tplc="040A0001" w:tentative="1">
      <w:start w:val="1"/>
      <w:numFmt w:val="bullet"/>
      <w:lvlText w:val=""/>
      <w:lvlJc w:val="left"/>
      <w:pPr>
        <w:ind w:left="4824" w:hanging="360"/>
      </w:pPr>
      <w:rPr>
        <w:rFonts w:ascii="Symbol" w:hAnsi="Symbol" w:hint="default"/>
      </w:rPr>
    </w:lvl>
    <w:lvl w:ilvl="7" w:tplc="040A0003" w:tentative="1">
      <w:start w:val="1"/>
      <w:numFmt w:val="bullet"/>
      <w:lvlText w:val="o"/>
      <w:lvlJc w:val="left"/>
      <w:pPr>
        <w:ind w:left="5544" w:hanging="360"/>
      </w:pPr>
      <w:rPr>
        <w:rFonts w:ascii="Courier New" w:hAnsi="Courier New" w:cs="Courier New" w:hint="default"/>
      </w:rPr>
    </w:lvl>
    <w:lvl w:ilvl="8" w:tplc="040A0005" w:tentative="1">
      <w:start w:val="1"/>
      <w:numFmt w:val="bullet"/>
      <w:lvlText w:val=""/>
      <w:lvlJc w:val="left"/>
      <w:pPr>
        <w:ind w:left="6264" w:hanging="360"/>
      </w:pPr>
      <w:rPr>
        <w:rFonts w:ascii="Wingdings" w:hAnsi="Wingdings" w:hint="default"/>
      </w:rPr>
    </w:lvl>
  </w:abstractNum>
  <w:abstractNum w:abstractNumId="23">
    <w:nsid w:val="528E5B50"/>
    <w:multiLevelType w:val="multilevel"/>
    <w:tmpl w:val="59269A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3C61606"/>
    <w:multiLevelType w:val="hybridMultilevel"/>
    <w:tmpl w:val="CED0A282"/>
    <w:lvl w:ilvl="0" w:tplc="E3F02372">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95DE6"/>
    <w:multiLevelType w:val="hybridMultilevel"/>
    <w:tmpl w:val="2510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C4C1C"/>
    <w:multiLevelType w:val="hybridMultilevel"/>
    <w:tmpl w:val="404C3126"/>
    <w:lvl w:ilvl="0" w:tplc="6D14FCA8">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7">
    <w:nsid w:val="7A931E98"/>
    <w:multiLevelType w:val="multilevel"/>
    <w:tmpl w:val="9AAAEE34"/>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7EFD00ED"/>
    <w:multiLevelType w:val="multilevel"/>
    <w:tmpl w:val="6A56E8B4"/>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0"/>
  </w:num>
  <w:num w:numId="3">
    <w:abstractNumId w:val="7"/>
  </w:num>
  <w:num w:numId="4">
    <w:abstractNumId w:val="2"/>
  </w:num>
  <w:num w:numId="5">
    <w:abstractNumId w:val="3"/>
  </w:num>
  <w:num w:numId="6">
    <w:abstractNumId w:val="13"/>
  </w:num>
  <w:num w:numId="7">
    <w:abstractNumId w:val="22"/>
  </w:num>
  <w:num w:numId="8">
    <w:abstractNumId w:val="9"/>
  </w:num>
  <w:num w:numId="9">
    <w:abstractNumId w:val="20"/>
  </w:num>
  <w:num w:numId="10">
    <w:abstractNumId w:val="25"/>
  </w:num>
  <w:num w:numId="11">
    <w:abstractNumId w:val="8"/>
  </w:num>
  <w:num w:numId="12">
    <w:abstractNumId w:val="5"/>
  </w:num>
  <w:num w:numId="13">
    <w:abstractNumId w:val="1"/>
  </w:num>
  <w:num w:numId="14">
    <w:abstractNumId w:val="15"/>
  </w:num>
  <w:num w:numId="15">
    <w:abstractNumId w:val="26"/>
  </w:num>
  <w:num w:numId="16">
    <w:abstractNumId w:val="21"/>
  </w:num>
  <w:num w:numId="17">
    <w:abstractNumId w:val="6"/>
  </w:num>
  <w:num w:numId="18">
    <w:abstractNumId w:val="10"/>
  </w:num>
  <w:num w:numId="19">
    <w:abstractNumId w:val="28"/>
  </w:num>
  <w:num w:numId="20">
    <w:abstractNumId w:val="23"/>
  </w:num>
  <w:num w:numId="21">
    <w:abstractNumId w:val="16"/>
  </w:num>
  <w:num w:numId="22">
    <w:abstractNumId w:val="27"/>
  </w:num>
  <w:num w:numId="23">
    <w:abstractNumId w:val="4"/>
  </w:num>
  <w:num w:numId="24">
    <w:abstractNumId w:val="11"/>
  </w:num>
  <w:num w:numId="25">
    <w:abstractNumId w:val="14"/>
  </w:num>
  <w:num w:numId="26">
    <w:abstractNumId w:val="24"/>
  </w:num>
  <w:num w:numId="27">
    <w:abstractNumId w:val="1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F9"/>
    <w:rsid w:val="00000949"/>
    <w:rsid w:val="00002FDE"/>
    <w:rsid w:val="00004DE6"/>
    <w:rsid w:val="00005AB5"/>
    <w:rsid w:val="0001206A"/>
    <w:rsid w:val="0001271F"/>
    <w:rsid w:val="000200D7"/>
    <w:rsid w:val="000254DD"/>
    <w:rsid w:val="00032653"/>
    <w:rsid w:val="00042F98"/>
    <w:rsid w:val="00044CC5"/>
    <w:rsid w:val="000451D2"/>
    <w:rsid w:val="00061EDB"/>
    <w:rsid w:val="00064628"/>
    <w:rsid w:val="00066509"/>
    <w:rsid w:val="00067318"/>
    <w:rsid w:val="00073B99"/>
    <w:rsid w:val="00084395"/>
    <w:rsid w:val="00084E17"/>
    <w:rsid w:val="00091F1B"/>
    <w:rsid w:val="00097209"/>
    <w:rsid w:val="000A3F1F"/>
    <w:rsid w:val="000A728A"/>
    <w:rsid w:val="000B0E38"/>
    <w:rsid w:val="000C1B58"/>
    <w:rsid w:val="000C459B"/>
    <w:rsid w:val="000C4914"/>
    <w:rsid w:val="000D0B74"/>
    <w:rsid w:val="000D4C0F"/>
    <w:rsid w:val="000E44AF"/>
    <w:rsid w:val="000E5828"/>
    <w:rsid w:val="000E6274"/>
    <w:rsid w:val="000F77B1"/>
    <w:rsid w:val="000F79DA"/>
    <w:rsid w:val="001007E3"/>
    <w:rsid w:val="00107A00"/>
    <w:rsid w:val="00141E25"/>
    <w:rsid w:val="001501C8"/>
    <w:rsid w:val="0015120B"/>
    <w:rsid w:val="0015307B"/>
    <w:rsid w:val="00160822"/>
    <w:rsid w:val="0016371D"/>
    <w:rsid w:val="00174E61"/>
    <w:rsid w:val="00176750"/>
    <w:rsid w:val="00181804"/>
    <w:rsid w:val="00181B26"/>
    <w:rsid w:val="00182625"/>
    <w:rsid w:val="0018595D"/>
    <w:rsid w:val="0019589D"/>
    <w:rsid w:val="00195B72"/>
    <w:rsid w:val="00196AA7"/>
    <w:rsid w:val="001A08F0"/>
    <w:rsid w:val="001B0BFE"/>
    <w:rsid w:val="001B1252"/>
    <w:rsid w:val="001B13B2"/>
    <w:rsid w:val="001B2782"/>
    <w:rsid w:val="001B53E9"/>
    <w:rsid w:val="001B6EDF"/>
    <w:rsid w:val="001C3380"/>
    <w:rsid w:val="001D7531"/>
    <w:rsid w:val="001E60F9"/>
    <w:rsid w:val="00201969"/>
    <w:rsid w:val="002114AE"/>
    <w:rsid w:val="00216546"/>
    <w:rsid w:val="00221A9E"/>
    <w:rsid w:val="00221CFF"/>
    <w:rsid w:val="002239EE"/>
    <w:rsid w:val="00223EF9"/>
    <w:rsid w:val="00226D99"/>
    <w:rsid w:val="00230405"/>
    <w:rsid w:val="00231EE6"/>
    <w:rsid w:val="0023724E"/>
    <w:rsid w:val="00241A1C"/>
    <w:rsid w:val="0024321C"/>
    <w:rsid w:val="00243DEF"/>
    <w:rsid w:val="00244578"/>
    <w:rsid w:val="00245ABF"/>
    <w:rsid w:val="00247641"/>
    <w:rsid w:val="002515B1"/>
    <w:rsid w:val="002563C4"/>
    <w:rsid w:val="00282472"/>
    <w:rsid w:val="00290B8B"/>
    <w:rsid w:val="002926A9"/>
    <w:rsid w:val="00293856"/>
    <w:rsid w:val="002A2520"/>
    <w:rsid w:val="002B1777"/>
    <w:rsid w:val="002B2074"/>
    <w:rsid w:val="002B53CC"/>
    <w:rsid w:val="002B6AD1"/>
    <w:rsid w:val="002C57B5"/>
    <w:rsid w:val="002C62BC"/>
    <w:rsid w:val="002D4F10"/>
    <w:rsid w:val="002E22EB"/>
    <w:rsid w:val="002F73F5"/>
    <w:rsid w:val="002F7B89"/>
    <w:rsid w:val="00307563"/>
    <w:rsid w:val="00310C02"/>
    <w:rsid w:val="0031161F"/>
    <w:rsid w:val="00313D6B"/>
    <w:rsid w:val="003347FE"/>
    <w:rsid w:val="003358E6"/>
    <w:rsid w:val="00337845"/>
    <w:rsid w:val="00337F5C"/>
    <w:rsid w:val="003459E1"/>
    <w:rsid w:val="0034714C"/>
    <w:rsid w:val="00347FEF"/>
    <w:rsid w:val="00352C89"/>
    <w:rsid w:val="00355908"/>
    <w:rsid w:val="0036050D"/>
    <w:rsid w:val="00360676"/>
    <w:rsid w:val="0036524A"/>
    <w:rsid w:val="00365CA5"/>
    <w:rsid w:val="00371522"/>
    <w:rsid w:val="00381ED8"/>
    <w:rsid w:val="00386CA6"/>
    <w:rsid w:val="00387348"/>
    <w:rsid w:val="003A211F"/>
    <w:rsid w:val="003A4432"/>
    <w:rsid w:val="003A7821"/>
    <w:rsid w:val="003B17BF"/>
    <w:rsid w:val="003B2D41"/>
    <w:rsid w:val="003B6E61"/>
    <w:rsid w:val="003B7F48"/>
    <w:rsid w:val="003C3318"/>
    <w:rsid w:val="003C6D17"/>
    <w:rsid w:val="003E3AFC"/>
    <w:rsid w:val="003E4BBD"/>
    <w:rsid w:val="003F0D3C"/>
    <w:rsid w:val="003F3D72"/>
    <w:rsid w:val="004129DD"/>
    <w:rsid w:val="00412E4C"/>
    <w:rsid w:val="00420D9F"/>
    <w:rsid w:val="004260A3"/>
    <w:rsid w:val="00426EBC"/>
    <w:rsid w:val="004340EB"/>
    <w:rsid w:val="004559DA"/>
    <w:rsid w:val="0046179E"/>
    <w:rsid w:val="00462D50"/>
    <w:rsid w:val="00463BCD"/>
    <w:rsid w:val="0046706E"/>
    <w:rsid w:val="00467B91"/>
    <w:rsid w:val="00470810"/>
    <w:rsid w:val="00474DF6"/>
    <w:rsid w:val="00480E7B"/>
    <w:rsid w:val="004A20C7"/>
    <w:rsid w:val="004A438D"/>
    <w:rsid w:val="004A457E"/>
    <w:rsid w:val="004B086B"/>
    <w:rsid w:val="004C3884"/>
    <w:rsid w:val="004D7357"/>
    <w:rsid w:val="004E5EB5"/>
    <w:rsid w:val="004F2762"/>
    <w:rsid w:val="004F5E35"/>
    <w:rsid w:val="004F79DC"/>
    <w:rsid w:val="00502B8C"/>
    <w:rsid w:val="005207F4"/>
    <w:rsid w:val="00522118"/>
    <w:rsid w:val="00532007"/>
    <w:rsid w:val="00542B07"/>
    <w:rsid w:val="00547ED2"/>
    <w:rsid w:val="00552687"/>
    <w:rsid w:val="00552C1E"/>
    <w:rsid w:val="00560682"/>
    <w:rsid w:val="00563C30"/>
    <w:rsid w:val="00563E61"/>
    <w:rsid w:val="005663F3"/>
    <w:rsid w:val="00566A3E"/>
    <w:rsid w:val="0057062F"/>
    <w:rsid w:val="0057735A"/>
    <w:rsid w:val="0058042E"/>
    <w:rsid w:val="00582095"/>
    <w:rsid w:val="0058669F"/>
    <w:rsid w:val="00594061"/>
    <w:rsid w:val="0059439C"/>
    <w:rsid w:val="005A24F9"/>
    <w:rsid w:val="005A7125"/>
    <w:rsid w:val="005B0033"/>
    <w:rsid w:val="005B5984"/>
    <w:rsid w:val="005C14D0"/>
    <w:rsid w:val="005C34CA"/>
    <w:rsid w:val="005C48CA"/>
    <w:rsid w:val="005C6227"/>
    <w:rsid w:val="005D3B38"/>
    <w:rsid w:val="005D7E68"/>
    <w:rsid w:val="005E44BF"/>
    <w:rsid w:val="005E5C8F"/>
    <w:rsid w:val="005F165E"/>
    <w:rsid w:val="00600507"/>
    <w:rsid w:val="0060054A"/>
    <w:rsid w:val="0060463D"/>
    <w:rsid w:val="00605474"/>
    <w:rsid w:val="00605F4A"/>
    <w:rsid w:val="00613525"/>
    <w:rsid w:val="00622496"/>
    <w:rsid w:val="00627B21"/>
    <w:rsid w:val="00630097"/>
    <w:rsid w:val="00630421"/>
    <w:rsid w:val="00630916"/>
    <w:rsid w:val="00632DCF"/>
    <w:rsid w:val="00635FF9"/>
    <w:rsid w:val="00641054"/>
    <w:rsid w:val="00644A0F"/>
    <w:rsid w:val="00647000"/>
    <w:rsid w:val="00651FC1"/>
    <w:rsid w:val="006525DC"/>
    <w:rsid w:val="006531B8"/>
    <w:rsid w:val="006544CD"/>
    <w:rsid w:val="0065623C"/>
    <w:rsid w:val="006575D5"/>
    <w:rsid w:val="00662091"/>
    <w:rsid w:val="0066211A"/>
    <w:rsid w:val="00665C76"/>
    <w:rsid w:val="006732B3"/>
    <w:rsid w:val="0068646A"/>
    <w:rsid w:val="00692236"/>
    <w:rsid w:val="00693F27"/>
    <w:rsid w:val="006A0A48"/>
    <w:rsid w:val="006A5CD0"/>
    <w:rsid w:val="006B184C"/>
    <w:rsid w:val="006B38C5"/>
    <w:rsid w:val="006B59AC"/>
    <w:rsid w:val="006B7C8F"/>
    <w:rsid w:val="006D6B5D"/>
    <w:rsid w:val="006E1221"/>
    <w:rsid w:val="006E50BA"/>
    <w:rsid w:val="006F3B4C"/>
    <w:rsid w:val="00706135"/>
    <w:rsid w:val="00706D8C"/>
    <w:rsid w:val="00714056"/>
    <w:rsid w:val="0072119E"/>
    <w:rsid w:val="00726540"/>
    <w:rsid w:val="00730438"/>
    <w:rsid w:val="00730732"/>
    <w:rsid w:val="007323E9"/>
    <w:rsid w:val="00732856"/>
    <w:rsid w:val="00740482"/>
    <w:rsid w:val="0074213A"/>
    <w:rsid w:val="00743CCF"/>
    <w:rsid w:val="00750CDE"/>
    <w:rsid w:val="00760B2C"/>
    <w:rsid w:val="00761CC9"/>
    <w:rsid w:val="00776EFA"/>
    <w:rsid w:val="0078102B"/>
    <w:rsid w:val="00783FAD"/>
    <w:rsid w:val="00785306"/>
    <w:rsid w:val="0078653E"/>
    <w:rsid w:val="00787640"/>
    <w:rsid w:val="00796CC2"/>
    <w:rsid w:val="0079717B"/>
    <w:rsid w:val="007A44A3"/>
    <w:rsid w:val="007A5607"/>
    <w:rsid w:val="007A5EFE"/>
    <w:rsid w:val="007A73E0"/>
    <w:rsid w:val="007C0428"/>
    <w:rsid w:val="007C4AE2"/>
    <w:rsid w:val="007D2A91"/>
    <w:rsid w:val="007D724B"/>
    <w:rsid w:val="007D7611"/>
    <w:rsid w:val="007E4980"/>
    <w:rsid w:val="007F1B5F"/>
    <w:rsid w:val="00806176"/>
    <w:rsid w:val="00807D42"/>
    <w:rsid w:val="00813520"/>
    <w:rsid w:val="00813CAF"/>
    <w:rsid w:val="00814BB0"/>
    <w:rsid w:val="00824C30"/>
    <w:rsid w:val="00833A61"/>
    <w:rsid w:val="0083659F"/>
    <w:rsid w:val="00843A6E"/>
    <w:rsid w:val="00844C2E"/>
    <w:rsid w:val="00844D36"/>
    <w:rsid w:val="00850AF5"/>
    <w:rsid w:val="00857439"/>
    <w:rsid w:val="008666F3"/>
    <w:rsid w:val="00870F49"/>
    <w:rsid w:val="00873846"/>
    <w:rsid w:val="00874953"/>
    <w:rsid w:val="00877C55"/>
    <w:rsid w:val="00880393"/>
    <w:rsid w:val="008841C5"/>
    <w:rsid w:val="0089578F"/>
    <w:rsid w:val="008958B1"/>
    <w:rsid w:val="008A4B2E"/>
    <w:rsid w:val="008B4E23"/>
    <w:rsid w:val="008B5AF9"/>
    <w:rsid w:val="008C106A"/>
    <w:rsid w:val="008C51CA"/>
    <w:rsid w:val="008C7C14"/>
    <w:rsid w:val="008D3F3C"/>
    <w:rsid w:val="008E07B9"/>
    <w:rsid w:val="008E45E1"/>
    <w:rsid w:val="008F26F2"/>
    <w:rsid w:val="008F3E65"/>
    <w:rsid w:val="008F3EA0"/>
    <w:rsid w:val="008F6888"/>
    <w:rsid w:val="008F7CC1"/>
    <w:rsid w:val="008F7D46"/>
    <w:rsid w:val="00900875"/>
    <w:rsid w:val="009053BF"/>
    <w:rsid w:val="00905C9D"/>
    <w:rsid w:val="00906764"/>
    <w:rsid w:val="009118A7"/>
    <w:rsid w:val="009132AD"/>
    <w:rsid w:val="009274D6"/>
    <w:rsid w:val="00935586"/>
    <w:rsid w:val="00940678"/>
    <w:rsid w:val="0094097B"/>
    <w:rsid w:val="009421E4"/>
    <w:rsid w:val="00942D3B"/>
    <w:rsid w:val="0096529D"/>
    <w:rsid w:val="00966A89"/>
    <w:rsid w:val="0096796F"/>
    <w:rsid w:val="00971690"/>
    <w:rsid w:val="00971A83"/>
    <w:rsid w:val="00974774"/>
    <w:rsid w:val="00974B33"/>
    <w:rsid w:val="009760C5"/>
    <w:rsid w:val="0098490C"/>
    <w:rsid w:val="00986135"/>
    <w:rsid w:val="00992B0A"/>
    <w:rsid w:val="00994629"/>
    <w:rsid w:val="009A53B4"/>
    <w:rsid w:val="009B0B73"/>
    <w:rsid w:val="009B26D5"/>
    <w:rsid w:val="009B2ED6"/>
    <w:rsid w:val="009B6441"/>
    <w:rsid w:val="009C0668"/>
    <w:rsid w:val="009C0A8D"/>
    <w:rsid w:val="009F10A9"/>
    <w:rsid w:val="009F1505"/>
    <w:rsid w:val="00A0196C"/>
    <w:rsid w:val="00A02538"/>
    <w:rsid w:val="00A07AA8"/>
    <w:rsid w:val="00A16FEA"/>
    <w:rsid w:val="00A17DFB"/>
    <w:rsid w:val="00A242C9"/>
    <w:rsid w:val="00A24566"/>
    <w:rsid w:val="00A313F8"/>
    <w:rsid w:val="00A469EE"/>
    <w:rsid w:val="00A520EA"/>
    <w:rsid w:val="00A55555"/>
    <w:rsid w:val="00A6210A"/>
    <w:rsid w:val="00A74BCC"/>
    <w:rsid w:val="00A80AC1"/>
    <w:rsid w:val="00A83FD5"/>
    <w:rsid w:val="00A86CE7"/>
    <w:rsid w:val="00A87776"/>
    <w:rsid w:val="00A92AD6"/>
    <w:rsid w:val="00A9376A"/>
    <w:rsid w:val="00AA1655"/>
    <w:rsid w:val="00AA7284"/>
    <w:rsid w:val="00AB126D"/>
    <w:rsid w:val="00AB49D5"/>
    <w:rsid w:val="00AC27F8"/>
    <w:rsid w:val="00AD0CEA"/>
    <w:rsid w:val="00AD1730"/>
    <w:rsid w:val="00AD4395"/>
    <w:rsid w:val="00AD6DD8"/>
    <w:rsid w:val="00AE3D2A"/>
    <w:rsid w:val="00B00E85"/>
    <w:rsid w:val="00B10449"/>
    <w:rsid w:val="00B146C3"/>
    <w:rsid w:val="00B44960"/>
    <w:rsid w:val="00B44F99"/>
    <w:rsid w:val="00B46834"/>
    <w:rsid w:val="00B60059"/>
    <w:rsid w:val="00B6144F"/>
    <w:rsid w:val="00B62763"/>
    <w:rsid w:val="00B659BE"/>
    <w:rsid w:val="00B77490"/>
    <w:rsid w:val="00B826C3"/>
    <w:rsid w:val="00B837F0"/>
    <w:rsid w:val="00B87A16"/>
    <w:rsid w:val="00BA2C9C"/>
    <w:rsid w:val="00BA4CEA"/>
    <w:rsid w:val="00BB4D7B"/>
    <w:rsid w:val="00BB5614"/>
    <w:rsid w:val="00BB568D"/>
    <w:rsid w:val="00BE04E9"/>
    <w:rsid w:val="00BE4F2F"/>
    <w:rsid w:val="00BF1EFB"/>
    <w:rsid w:val="00C15B24"/>
    <w:rsid w:val="00C160AF"/>
    <w:rsid w:val="00C2135E"/>
    <w:rsid w:val="00C45F58"/>
    <w:rsid w:val="00C50F7F"/>
    <w:rsid w:val="00C6291A"/>
    <w:rsid w:val="00C641C4"/>
    <w:rsid w:val="00C704AC"/>
    <w:rsid w:val="00C7142C"/>
    <w:rsid w:val="00C72A45"/>
    <w:rsid w:val="00C74179"/>
    <w:rsid w:val="00C827AB"/>
    <w:rsid w:val="00C92311"/>
    <w:rsid w:val="00C96EC3"/>
    <w:rsid w:val="00C97300"/>
    <w:rsid w:val="00CA346A"/>
    <w:rsid w:val="00CA5CBD"/>
    <w:rsid w:val="00CB0E51"/>
    <w:rsid w:val="00CD0863"/>
    <w:rsid w:val="00CD1F77"/>
    <w:rsid w:val="00CD5A65"/>
    <w:rsid w:val="00CE4602"/>
    <w:rsid w:val="00CE5225"/>
    <w:rsid w:val="00CE5677"/>
    <w:rsid w:val="00CE58D3"/>
    <w:rsid w:val="00D00E25"/>
    <w:rsid w:val="00D013CE"/>
    <w:rsid w:val="00D34A18"/>
    <w:rsid w:val="00D40FA1"/>
    <w:rsid w:val="00D43C65"/>
    <w:rsid w:val="00D44388"/>
    <w:rsid w:val="00D45AD7"/>
    <w:rsid w:val="00D51D3C"/>
    <w:rsid w:val="00D57C74"/>
    <w:rsid w:val="00D63140"/>
    <w:rsid w:val="00D840C6"/>
    <w:rsid w:val="00D8454B"/>
    <w:rsid w:val="00D91A83"/>
    <w:rsid w:val="00DA609F"/>
    <w:rsid w:val="00DC3F13"/>
    <w:rsid w:val="00DC46CC"/>
    <w:rsid w:val="00DC72EC"/>
    <w:rsid w:val="00DD1188"/>
    <w:rsid w:val="00DD3E87"/>
    <w:rsid w:val="00DD6B23"/>
    <w:rsid w:val="00DE19F1"/>
    <w:rsid w:val="00DE3A55"/>
    <w:rsid w:val="00DE635B"/>
    <w:rsid w:val="00E02DCF"/>
    <w:rsid w:val="00E04164"/>
    <w:rsid w:val="00E06BBB"/>
    <w:rsid w:val="00E12507"/>
    <w:rsid w:val="00E12816"/>
    <w:rsid w:val="00E1679E"/>
    <w:rsid w:val="00E211EB"/>
    <w:rsid w:val="00E25D8C"/>
    <w:rsid w:val="00E262EF"/>
    <w:rsid w:val="00E32768"/>
    <w:rsid w:val="00E457AB"/>
    <w:rsid w:val="00E50BBB"/>
    <w:rsid w:val="00E53866"/>
    <w:rsid w:val="00E54F66"/>
    <w:rsid w:val="00E55763"/>
    <w:rsid w:val="00E603E3"/>
    <w:rsid w:val="00E60FEE"/>
    <w:rsid w:val="00E63D98"/>
    <w:rsid w:val="00E7159F"/>
    <w:rsid w:val="00E73744"/>
    <w:rsid w:val="00E77E0D"/>
    <w:rsid w:val="00E92860"/>
    <w:rsid w:val="00EB0D56"/>
    <w:rsid w:val="00EB1EA0"/>
    <w:rsid w:val="00EB2663"/>
    <w:rsid w:val="00EC7B50"/>
    <w:rsid w:val="00EC7B7D"/>
    <w:rsid w:val="00ED48A8"/>
    <w:rsid w:val="00EE24E8"/>
    <w:rsid w:val="00EE4CCB"/>
    <w:rsid w:val="00EE52CE"/>
    <w:rsid w:val="00EF284A"/>
    <w:rsid w:val="00F02A42"/>
    <w:rsid w:val="00F060EA"/>
    <w:rsid w:val="00F0753B"/>
    <w:rsid w:val="00F1714F"/>
    <w:rsid w:val="00F251C3"/>
    <w:rsid w:val="00F3680E"/>
    <w:rsid w:val="00F40870"/>
    <w:rsid w:val="00F45C68"/>
    <w:rsid w:val="00F51480"/>
    <w:rsid w:val="00F540B2"/>
    <w:rsid w:val="00F55324"/>
    <w:rsid w:val="00F56A98"/>
    <w:rsid w:val="00F70141"/>
    <w:rsid w:val="00F82906"/>
    <w:rsid w:val="00F8413A"/>
    <w:rsid w:val="00F955E0"/>
    <w:rsid w:val="00F977A8"/>
    <w:rsid w:val="00FA6310"/>
    <w:rsid w:val="00FA7429"/>
    <w:rsid w:val="00FC10EF"/>
    <w:rsid w:val="00FC21F0"/>
    <w:rsid w:val="00FC57A3"/>
    <w:rsid w:val="00FD6342"/>
    <w:rsid w:val="00FD6ABB"/>
    <w:rsid w:val="00FE422A"/>
    <w:rsid w:val="00FF2D8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1B"/>
    <w:rPr>
      <w:lang w:val="es-ES" w:eastAsia="en-US"/>
    </w:rPr>
  </w:style>
  <w:style w:type="paragraph" w:styleId="Heading1">
    <w:name w:val="heading 1"/>
    <w:basedOn w:val="Normal"/>
    <w:next w:val="Normal"/>
    <w:qFormat/>
    <w:rsid w:val="00091F1B"/>
    <w:pPr>
      <w:keepNext/>
      <w:jc w:val="center"/>
      <w:outlineLvl w:val="0"/>
    </w:pPr>
    <w:rPr>
      <w:rFonts w:ascii="Times New Roman Bold" w:hAnsi="Times New Roman Bold"/>
      <w:b/>
      <w:bCs/>
      <w:caps/>
      <w:sz w:val="24"/>
      <w:lang w:val="en-US"/>
    </w:rPr>
  </w:style>
  <w:style w:type="paragraph" w:styleId="Heading2">
    <w:name w:val="heading 2"/>
    <w:basedOn w:val="Normal"/>
    <w:next w:val="Normal"/>
    <w:link w:val="Heading2Char"/>
    <w:semiHidden/>
    <w:unhideWhenUsed/>
    <w:qFormat/>
    <w:rsid w:val="007323E9"/>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323E9"/>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323E9"/>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323E9"/>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323E9"/>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323E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323E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323E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91F1B"/>
    <w:pPr>
      <w:autoSpaceDE w:val="0"/>
      <w:autoSpaceDN w:val="0"/>
      <w:adjustRightInd w:val="0"/>
    </w:pPr>
    <w:rPr>
      <w:color w:val="000000"/>
      <w:sz w:val="24"/>
      <w:szCs w:val="24"/>
      <w:lang w:val="en-US" w:eastAsia="en-US"/>
    </w:rPr>
  </w:style>
  <w:style w:type="paragraph" w:styleId="BodyText">
    <w:name w:val="Body Text"/>
    <w:basedOn w:val="Default"/>
    <w:next w:val="Default"/>
    <w:link w:val="BodyTextChar"/>
    <w:rsid w:val="00091F1B"/>
    <w:rPr>
      <w:color w:val="auto"/>
    </w:rPr>
  </w:style>
  <w:style w:type="paragraph" w:styleId="ListBullet">
    <w:name w:val="List Bullet"/>
    <w:basedOn w:val="Normal"/>
    <w:rsid w:val="00091F1B"/>
    <w:pPr>
      <w:numPr>
        <w:numId w:val="2"/>
      </w:numPr>
      <w:tabs>
        <w:tab w:val="clear" w:pos="360"/>
        <w:tab w:val="num" w:pos="720"/>
      </w:tabs>
      <w:spacing w:after="240"/>
      <w:ind w:left="720" w:hanging="720"/>
    </w:pPr>
    <w:rPr>
      <w:bCs/>
      <w:sz w:val="24"/>
      <w:szCs w:val="24"/>
      <w:lang w:val="en-US"/>
    </w:rPr>
  </w:style>
  <w:style w:type="paragraph" w:styleId="Header">
    <w:name w:val="header"/>
    <w:basedOn w:val="Normal"/>
    <w:link w:val="HeaderChar"/>
    <w:uiPriority w:val="99"/>
    <w:rsid w:val="00091F1B"/>
    <w:pPr>
      <w:tabs>
        <w:tab w:val="center" w:pos="4320"/>
        <w:tab w:val="right" w:pos="8640"/>
      </w:tabs>
    </w:pPr>
  </w:style>
  <w:style w:type="paragraph" w:styleId="Footer">
    <w:name w:val="footer"/>
    <w:basedOn w:val="Normal"/>
    <w:link w:val="FooterChar"/>
    <w:uiPriority w:val="99"/>
    <w:rsid w:val="00091F1B"/>
    <w:pPr>
      <w:tabs>
        <w:tab w:val="center" w:pos="4320"/>
        <w:tab w:val="right" w:pos="8640"/>
      </w:tabs>
    </w:pPr>
  </w:style>
  <w:style w:type="character" w:styleId="PageNumber">
    <w:name w:val="page number"/>
    <w:basedOn w:val="DefaultParagraphFont"/>
    <w:rsid w:val="00091F1B"/>
  </w:style>
  <w:style w:type="paragraph" w:styleId="BodyText2">
    <w:name w:val="Body Text 2"/>
    <w:basedOn w:val="Normal"/>
    <w:rsid w:val="00091F1B"/>
    <w:pPr>
      <w:spacing w:before="60" w:after="60"/>
    </w:pPr>
    <w:rPr>
      <w:b/>
      <w:bCs/>
      <w:lang w:val="en-US"/>
    </w:rPr>
  </w:style>
  <w:style w:type="paragraph" w:styleId="BodyText3">
    <w:name w:val="Body Text 3"/>
    <w:basedOn w:val="Normal"/>
    <w:rsid w:val="00091F1B"/>
    <w:pPr>
      <w:spacing w:before="60" w:after="60"/>
    </w:pPr>
    <w:rPr>
      <w:sz w:val="22"/>
      <w:lang w:val="en-US"/>
    </w:rPr>
  </w:style>
  <w:style w:type="character" w:styleId="FootnoteReference">
    <w:name w:val="footnote reference"/>
    <w:aliases w:val="ftref"/>
    <w:basedOn w:val="DefaultParagraphFont"/>
    <w:semiHidden/>
    <w:rsid w:val="003A211F"/>
    <w:rPr>
      <w:vertAlign w:val="superscript"/>
    </w:rPr>
  </w:style>
  <w:style w:type="paragraph" w:styleId="FootnoteText">
    <w:name w:val="footnote text"/>
    <w:aliases w:val="fn,FOOTNOTES,single space,ALTS FOOTNOTE,Footnote Text Char1,Footnote Text Char Char,Note de bas de page Car,footnote text,Footnote Text Char,Fodnotetekst Tegn,Fodnotetekst Tegn Char,footnote text Char Char Char"/>
    <w:basedOn w:val="Normal"/>
    <w:semiHidden/>
    <w:rsid w:val="003A211F"/>
    <w:pPr>
      <w:keepNext/>
      <w:keepLines/>
      <w:spacing w:after="120"/>
      <w:ind w:left="288" w:hanging="288"/>
      <w:jc w:val="both"/>
    </w:pPr>
    <w:rPr>
      <w:spacing w:val="-3"/>
      <w:lang w:val="en-US"/>
    </w:rPr>
  </w:style>
  <w:style w:type="character" w:styleId="CommentReference">
    <w:name w:val="annotation reference"/>
    <w:basedOn w:val="DefaultParagraphFont"/>
    <w:semiHidden/>
    <w:rsid w:val="00BB568D"/>
    <w:rPr>
      <w:sz w:val="16"/>
      <w:szCs w:val="16"/>
    </w:rPr>
  </w:style>
  <w:style w:type="paragraph" w:styleId="CommentText">
    <w:name w:val="annotation text"/>
    <w:basedOn w:val="Normal"/>
    <w:semiHidden/>
    <w:rsid w:val="00BB568D"/>
  </w:style>
  <w:style w:type="paragraph" w:styleId="CommentSubject">
    <w:name w:val="annotation subject"/>
    <w:basedOn w:val="CommentText"/>
    <w:next w:val="CommentText"/>
    <w:semiHidden/>
    <w:rsid w:val="00BB568D"/>
    <w:rPr>
      <w:b/>
      <w:bCs/>
    </w:rPr>
  </w:style>
  <w:style w:type="paragraph" w:styleId="BalloonText">
    <w:name w:val="Balloon Text"/>
    <w:basedOn w:val="Normal"/>
    <w:semiHidden/>
    <w:rsid w:val="00BB568D"/>
    <w:rPr>
      <w:rFonts w:ascii="Tahoma" w:hAnsi="Tahoma" w:cs="Tahoma"/>
      <w:sz w:val="16"/>
      <w:szCs w:val="16"/>
    </w:rPr>
  </w:style>
  <w:style w:type="character" w:customStyle="1" w:styleId="HeaderChar">
    <w:name w:val="Header Char"/>
    <w:basedOn w:val="DefaultParagraphFont"/>
    <w:link w:val="Header"/>
    <w:uiPriority w:val="99"/>
    <w:rsid w:val="006E50BA"/>
    <w:rPr>
      <w:lang w:val="es-ES" w:eastAsia="en-US"/>
    </w:rPr>
  </w:style>
  <w:style w:type="character" w:customStyle="1" w:styleId="FooterChar">
    <w:name w:val="Footer Char"/>
    <w:basedOn w:val="DefaultParagraphFont"/>
    <w:link w:val="Footer"/>
    <w:uiPriority w:val="99"/>
    <w:rsid w:val="006E50BA"/>
    <w:rPr>
      <w:lang w:val="es-ES" w:eastAsia="en-US"/>
    </w:rPr>
  </w:style>
  <w:style w:type="paragraph" w:styleId="ListParagraph">
    <w:name w:val="List Paragraph"/>
    <w:basedOn w:val="Normal"/>
    <w:uiPriority w:val="34"/>
    <w:qFormat/>
    <w:rsid w:val="006D6B5D"/>
    <w:pPr>
      <w:ind w:left="720"/>
      <w:contextualSpacing/>
    </w:pPr>
  </w:style>
  <w:style w:type="character" w:customStyle="1" w:styleId="BodyTextChar">
    <w:name w:val="Body Text Char"/>
    <w:basedOn w:val="DefaultParagraphFont"/>
    <w:link w:val="BodyText"/>
    <w:rsid w:val="006B7C8F"/>
    <w:rPr>
      <w:sz w:val="24"/>
      <w:szCs w:val="24"/>
      <w:lang w:val="en-US" w:eastAsia="en-US"/>
    </w:rPr>
  </w:style>
  <w:style w:type="paragraph" w:styleId="EndnoteText">
    <w:name w:val="endnote text"/>
    <w:basedOn w:val="Normal"/>
    <w:link w:val="EndnoteTextChar"/>
    <w:uiPriority w:val="99"/>
    <w:unhideWhenUsed/>
    <w:rsid w:val="00C97300"/>
    <w:rPr>
      <w:lang w:val="en-US"/>
    </w:rPr>
  </w:style>
  <w:style w:type="character" w:customStyle="1" w:styleId="EndnoteTextChar">
    <w:name w:val="Endnote Text Char"/>
    <w:basedOn w:val="DefaultParagraphFont"/>
    <w:link w:val="EndnoteText"/>
    <w:uiPriority w:val="99"/>
    <w:rsid w:val="00C97300"/>
    <w:rPr>
      <w:lang w:val="en-US" w:eastAsia="en-US"/>
    </w:rPr>
  </w:style>
  <w:style w:type="character" w:styleId="EndnoteReference">
    <w:name w:val="endnote reference"/>
    <w:basedOn w:val="DefaultParagraphFont"/>
    <w:uiPriority w:val="99"/>
    <w:unhideWhenUsed/>
    <w:rsid w:val="00C97300"/>
    <w:rPr>
      <w:vertAlign w:val="superscript"/>
    </w:rPr>
  </w:style>
  <w:style w:type="paragraph" w:customStyle="1" w:styleId="Chapter">
    <w:name w:val="Chapter"/>
    <w:basedOn w:val="Normal"/>
    <w:next w:val="Normal"/>
    <w:link w:val="ChapterChar"/>
    <w:rsid w:val="007323E9"/>
    <w:pPr>
      <w:keepNext/>
      <w:numPr>
        <w:numId w:val="16"/>
      </w:numPr>
      <w:tabs>
        <w:tab w:val="num" w:pos="648"/>
        <w:tab w:val="left" w:pos="1440"/>
      </w:tabs>
      <w:spacing w:before="240" w:after="240"/>
      <w:ind w:left="0" w:firstLine="288"/>
      <w:jc w:val="center"/>
    </w:pPr>
    <w:rPr>
      <w:b/>
      <w:smallCaps/>
      <w:color w:val="000000"/>
      <w:sz w:val="24"/>
      <w:szCs w:val="24"/>
    </w:rPr>
  </w:style>
  <w:style w:type="character" w:customStyle="1" w:styleId="DefaultChar">
    <w:name w:val="Default Char"/>
    <w:basedOn w:val="DefaultParagraphFont"/>
    <w:link w:val="Default"/>
    <w:rsid w:val="007323E9"/>
    <w:rPr>
      <w:color w:val="000000"/>
      <w:sz w:val="24"/>
      <w:szCs w:val="24"/>
      <w:lang w:val="en-US" w:eastAsia="en-US"/>
    </w:rPr>
  </w:style>
  <w:style w:type="character" w:customStyle="1" w:styleId="ChapterChar">
    <w:name w:val="Chapter Char"/>
    <w:basedOn w:val="DefaultChar"/>
    <w:link w:val="Chapter"/>
    <w:rsid w:val="007323E9"/>
    <w:rPr>
      <w:b/>
      <w:smallCaps/>
      <w:color w:val="000000"/>
      <w:sz w:val="24"/>
      <w:szCs w:val="24"/>
      <w:lang w:val="es-ES" w:eastAsia="en-US"/>
    </w:rPr>
  </w:style>
  <w:style w:type="paragraph" w:customStyle="1" w:styleId="FirstHeading">
    <w:name w:val="FirstHeading"/>
    <w:basedOn w:val="Normal"/>
    <w:next w:val="Normal"/>
    <w:link w:val="FirstHeadingChar"/>
    <w:rsid w:val="007323E9"/>
    <w:pPr>
      <w:keepNext/>
      <w:numPr>
        <w:numId w:val="14"/>
      </w:numPr>
      <w:tabs>
        <w:tab w:val="left" w:pos="0"/>
        <w:tab w:val="left" w:pos="86"/>
      </w:tabs>
      <w:spacing w:before="120" w:after="120"/>
      <w:ind w:left="720" w:hanging="720"/>
    </w:pPr>
    <w:rPr>
      <w:b/>
      <w:color w:val="000000"/>
      <w:sz w:val="24"/>
      <w:szCs w:val="24"/>
    </w:rPr>
  </w:style>
  <w:style w:type="character" w:customStyle="1" w:styleId="FirstHeadingChar">
    <w:name w:val="FirstHeading Char"/>
    <w:basedOn w:val="DefaultChar"/>
    <w:link w:val="FirstHeading"/>
    <w:rsid w:val="007323E9"/>
    <w:rPr>
      <w:b/>
      <w:color w:val="000000"/>
      <w:sz w:val="24"/>
      <w:szCs w:val="24"/>
      <w:lang w:val="es-ES" w:eastAsia="en-US"/>
    </w:rPr>
  </w:style>
  <w:style w:type="paragraph" w:customStyle="1" w:styleId="SecHeading">
    <w:name w:val="SecHeading"/>
    <w:basedOn w:val="Normal"/>
    <w:next w:val="Paragraph"/>
    <w:link w:val="SecHeadingChar"/>
    <w:rsid w:val="007323E9"/>
    <w:pPr>
      <w:keepNext/>
      <w:tabs>
        <w:tab w:val="num" w:pos="1296"/>
      </w:tabs>
      <w:spacing w:before="120" w:after="120"/>
      <w:ind w:left="1296" w:hanging="576"/>
    </w:pPr>
    <w:rPr>
      <w:b/>
      <w:color w:val="000000"/>
      <w:sz w:val="24"/>
      <w:szCs w:val="24"/>
    </w:rPr>
  </w:style>
  <w:style w:type="character" w:customStyle="1" w:styleId="SecHeadingChar">
    <w:name w:val="SecHeading Char"/>
    <w:basedOn w:val="DefaultChar"/>
    <w:link w:val="SecHeading"/>
    <w:rsid w:val="007323E9"/>
    <w:rPr>
      <w:b/>
      <w:color w:val="000000"/>
      <w:sz w:val="24"/>
      <w:szCs w:val="24"/>
      <w:lang w:val="es-ES" w:eastAsia="en-US"/>
    </w:rPr>
  </w:style>
  <w:style w:type="paragraph" w:customStyle="1" w:styleId="SubHeading1">
    <w:name w:val="SubHeading1"/>
    <w:basedOn w:val="SecHeading"/>
    <w:link w:val="SubHeading1Char"/>
    <w:rsid w:val="007323E9"/>
    <w:pPr>
      <w:tabs>
        <w:tab w:val="clear" w:pos="1296"/>
        <w:tab w:val="num" w:pos="1872"/>
      </w:tabs>
      <w:ind w:left="1872"/>
    </w:pPr>
    <w:rPr>
      <w:color w:val="auto"/>
    </w:rPr>
  </w:style>
  <w:style w:type="character" w:customStyle="1" w:styleId="SubHeading1Char">
    <w:name w:val="SubHeading1 Char"/>
    <w:basedOn w:val="DefaultChar"/>
    <w:link w:val="SubHeading1"/>
    <w:rsid w:val="007323E9"/>
    <w:rPr>
      <w:b/>
      <w:color w:val="000000"/>
      <w:sz w:val="24"/>
      <w:szCs w:val="24"/>
      <w:lang w:val="es-ES" w:eastAsia="en-US"/>
    </w:rPr>
  </w:style>
  <w:style w:type="paragraph" w:customStyle="1" w:styleId="Subheading2">
    <w:name w:val="Subheading2"/>
    <w:basedOn w:val="SecHeading"/>
    <w:link w:val="Subheading2Char"/>
    <w:rsid w:val="007323E9"/>
    <w:pPr>
      <w:tabs>
        <w:tab w:val="clear" w:pos="1296"/>
        <w:tab w:val="num" w:pos="2376"/>
      </w:tabs>
      <w:ind w:left="2376" w:hanging="288"/>
    </w:pPr>
    <w:rPr>
      <w:color w:val="auto"/>
    </w:rPr>
  </w:style>
  <w:style w:type="character" w:customStyle="1" w:styleId="Subheading2Char">
    <w:name w:val="Subheading2 Char"/>
    <w:basedOn w:val="DefaultChar"/>
    <w:link w:val="Subheading2"/>
    <w:rsid w:val="007323E9"/>
    <w:rPr>
      <w:b/>
      <w:color w:val="000000"/>
      <w:sz w:val="24"/>
      <w:szCs w:val="24"/>
      <w:lang w:val="es-ES" w:eastAsia="en-US"/>
    </w:rPr>
  </w:style>
  <w:style w:type="paragraph" w:customStyle="1" w:styleId="Paragraph">
    <w:name w:val="Paragraph"/>
    <w:basedOn w:val="BodyTextIndent"/>
    <w:link w:val="ParagraphChar"/>
    <w:rsid w:val="007323E9"/>
    <w:pPr>
      <w:tabs>
        <w:tab w:val="num" w:pos="720"/>
      </w:tabs>
      <w:spacing w:before="120"/>
      <w:ind w:left="720" w:hanging="720"/>
      <w:jc w:val="both"/>
      <w:outlineLvl w:val="1"/>
    </w:pPr>
    <w:rPr>
      <w:color w:val="000000"/>
      <w:szCs w:val="24"/>
    </w:rPr>
  </w:style>
  <w:style w:type="character" w:customStyle="1" w:styleId="ParagraphChar">
    <w:name w:val="Paragraph Char"/>
    <w:basedOn w:val="DefaultChar"/>
    <w:link w:val="Paragraph"/>
    <w:rsid w:val="007323E9"/>
    <w:rPr>
      <w:color w:val="000000"/>
      <w:sz w:val="24"/>
      <w:szCs w:val="24"/>
      <w:lang w:val="es-ES" w:eastAsia="en-US"/>
    </w:rPr>
  </w:style>
  <w:style w:type="paragraph" w:customStyle="1" w:styleId="subpar">
    <w:name w:val="subpar"/>
    <w:basedOn w:val="BodyTextIndent3"/>
    <w:link w:val="subparChar"/>
    <w:rsid w:val="007323E9"/>
    <w:pPr>
      <w:tabs>
        <w:tab w:val="num" w:pos="1152"/>
      </w:tabs>
      <w:spacing w:before="120"/>
      <w:ind w:left="1152" w:hanging="432"/>
      <w:jc w:val="both"/>
      <w:outlineLvl w:val="2"/>
    </w:pPr>
    <w:rPr>
      <w:color w:val="000000"/>
    </w:rPr>
  </w:style>
  <w:style w:type="character" w:customStyle="1" w:styleId="subparChar">
    <w:name w:val="subpar Char"/>
    <w:basedOn w:val="DefaultChar"/>
    <w:link w:val="subpar"/>
    <w:rsid w:val="007323E9"/>
    <w:rPr>
      <w:color w:val="000000"/>
      <w:sz w:val="24"/>
      <w:szCs w:val="16"/>
      <w:lang w:val="es-ES" w:eastAsia="en-US"/>
    </w:rPr>
  </w:style>
  <w:style w:type="paragraph" w:customStyle="1" w:styleId="SubSubPar">
    <w:name w:val="SubSubPar"/>
    <w:basedOn w:val="subpar"/>
    <w:link w:val="SubSubParChar"/>
    <w:rsid w:val="007323E9"/>
    <w:pPr>
      <w:tabs>
        <w:tab w:val="clear" w:pos="1152"/>
        <w:tab w:val="left" w:pos="0"/>
        <w:tab w:val="num" w:pos="1296"/>
      </w:tabs>
      <w:ind w:left="1296" w:hanging="288"/>
    </w:pPr>
  </w:style>
  <w:style w:type="character" w:customStyle="1" w:styleId="SubSubParChar">
    <w:name w:val="SubSubPar Char"/>
    <w:basedOn w:val="DefaultChar"/>
    <w:link w:val="SubSubPar"/>
    <w:rsid w:val="007323E9"/>
    <w:rPr>
      <w:color w:val="000000"/>
      <w:sz w:val="24"/>
      <w:szCs w:val="16"/>
      <w:lang w:val="es-ES" w:eastAsia="en-US"/>
    </w:rPr>
  </w:style>
  <w:style w:type="paragraph" w:customStyle="1" w:styleId="Regtable">
    <w:name w:val="Regtable"/>
    <w:basedOn w:val="Normal"/>
    <w:link w:val="RegtableChar"/>
    <w:rsid w:val="007323E9"/>
    <w:pPr>
      <w:keepLines/>
      <w:framePr w:wrap="around" w:vAnchor="text" w:hAnchor="text" w:y="1"/>
      <w:spacing w:before="20" w:after="20"/>
    </w:pPr>
    <w:rPr>
      <w:color w:val="000000"/>
      <w:sz w:val="24"/>
      <w:szCs w:val="24"/>
    </w:rPr>
  </w:style>
  <w:style w:type="character" w:customStyle="1" w:styleId="RegtableChar">
    <w:name w:val="Regtable Char"/>
    <w:basedOn w:val="DefaultChar"/>
    <w:link w:val="Regtable"/>
    <w:rsid w:val="007323E9"/>
    <w:rPr>
      <w:color w:val="000000"/>
      <w:sz w:val="24"/>
      <w:szCs w:val="24"/>
      <w:lang w:val="es-ES" w:eastAsia="en-US"/>
    </w:rPr>
  </w:style>
  <w:style w:type="paragraph" w:customStyle="1" w:styleId="TableTitle">
    <w:name w:val="TableTitle"/>
    <w:basedOn w:val="Normal"/>
    <w:link w:val="TableTitleChar"/>
    <w:rsid w:val="007323E9"/>
    <w:pPr>
      <w:keepNext/>
      <w:framePr w:wrap="around" w:vAnchor="text" w:hAnchor="text" w:y="1"/>
      <w:spacing w:before="20" w:after="20"/>
      <w:jc w:val="center"/>
    </w:pPr>
    <w:rPr>
      <w:rFonts w:ascii="Times New Roman Bold" w:hAnsi="Times New Roman Bold" w:cs="Times New Roman Bold"/>
      <w:b/>
      <w:color w:val="000000"/>
      <w:spacing w:val="-3"/>
      <w:sz w:val="24"/>
      <w:szCs w:val="24"/>
    </w:rPr>
  </w:style>
  <w:style w:type="character" w:customStyle="1" w:styleId="TableTitleChar">
    <w:name w:val="TableTitle Char"/>
    <w:basedOn w:val="DefaultChar"/>
    <w:link w:val="TableTitle"/>
    <w:rsid w:val="007323E9"/>
    <w:rPr>
      <w:rFonts w:ascii="Times New Roman Bold" w:hAnsi="Times New Roman Bold" w:cs="Times New Roman Bold"/>
      <w:b/>
      <w:color w:val="000000"/>
      <w:spacing w:val="-3"/>
      <w:sz w:val="24"/>
      <w:szCs w:val="24"/>
      <w:lang w:val="es-ES" w:eastAsia="en-US"/>
    </w:rPr>
  </w:style>
  <w:style w:type="character" w:customStyle="1" w:styleId="Heading2Char">
    <w:name w:val="Heading 2 Char"/>
    <w:basedOn w:val="DefaultParagraphFont"/>
    <w:link w:val="Heading2"/>
    <w:semiHidden/>
    <w:rsid w:val="007323E9"/>
    <w:rPr>
      <w:rFonts w:asciiTheme="majorHAnsi" w:eastAsiaTheme="majorEastAsia" w:hAnsiTheme="majorHAnsi" w:cstheme="majorBidi"/>
      <w:b/>
      <w:bCs/>
      <w:color w:val="4F81BD" w:themeColor="accent1"/>
      <w:sz w:val="26"/>
      <w:szCs w:val="26"/>
      <w:lang w:val="es-ES" w:eastAsia="en-US"/>
    </w:rPr>
  </w:style>
  <w:style w:type="character" w:customStyle="1" w:styleId="Heading3Char">
    <w:name w:val="Heading 3 Char"/>
    <w:basedOn w:val="DefaultParagraphFont"/>
    <w:link w:val="Heading3"/>
    <w:semiHidden/>
    <w:rsid w:val="007323E9"/>
    <w:rPr>
      <w:rFonts w:asciiTheme="majorHAnsi" w:eastAsiaTheme="majorEastAsia" w:hAnsiTheme="majorHAnsi" w:cstheme="majorBidi"/>
      <w:b/>
      <w:bCs/>
      <w:color w:val="4F81BD" w:themeColor="accent1"/>
      <w:lang w:val="es-ES" w:eastAsia="en-US"/>
    </w:rPr>
  </w:style>
  <w:style w:type="character" w:customStyle="1" w:styleId="Heading4Char">
    <w:name w:val="Heading 4 Char"/>
    <w:basedOn w:val="DefaultParagraphFont"/>
    <w:link w:val="Heading4"/>
    <w:semiHidden/>
    <w:rsid w:val="007323E9"/>
    <w:rPr>
      <w:rFonts w:asciiTheme="majorHAnsi" w:eastAsiaTheme="majorEastAsia" w:hAnsiTheme="majorHAnsi" w:cstheme="majorBidi"/>
      <w:b/>
      <w:bCs/>
      <w:i/>
      <w:iCs/>
      <w:color w:val="4F81BD" w:themeColor="accent1"/>
      <w:lang w:val="es-ES" w:eastAsia="en-US"/>
    </w:rPr>
  </w:style>
  <w:style w:type="character" w:customStyle="1" w:styleId="Heading5Char">
    <w:name w:val="Heading 5 Char"/>
    <w:basedOn w:val="DefaultParagraphFont"/>
    <w:link w:val="Heading5"/>
    <w:semiHidden/>
    <w:rsid w:val="007323E9"/>
    <w:rPr>
      <w:rFonts w:asciiTheme="majorHAnsi" w:eastAsiaTheme="majorEastAsia" w:hAnsiTheme="majorHAnsi" w:cstheme="majorBidi"/>
      <w:color w:val="243F60" w:themeColor="accent1" w:themeShade="7F"/>
      <w:lang w:val="es-ES" w:eastAsia="en-US"/>
    </w:rPr>
  </w:style>
  <w:style w:type="character" w:customStyle="1" w:styleId="Heading6Char">
    <w:name w:val="Heading 6 Char"/>
    <w:basedOn w:val="DefaultParagraphFont"/>
    <w:link w:val="Heading6"/>
    <w:semiHidden/>
    <w:rsid w:val="007323E9"/>
    <w:rPr>
      <w:rFonts w:asciiTheme="majorHAnsi" w:eastAsiaTheme="majorEastAsia" w:hAnsiTheme="majorHAnsi" w:cstheme="majorBidi"/>
      <w:i/>
      <w:iCs/>
      <w:color w:val="243F60" w:themeColor="accent1" w:themeShade="7F"/>
      <w:lang w:val="es-ES" w:eastAsia="en-US"/>
    </w:rPr>
  </w:style>
  <w:style w:type="character" w:customStyle="1" w:styleId="Heading7Char">
    <w:name w:val="Heading 7 Char"/>
    <w:basedOn w:val="DefaultParagraphFont"/>
    <w:link w:val="Heading7"/>
    <w:semiHidden/>
    <w:rsid w:val="007323E9"/>
    <w:rPr>
      <w:rFonts w:asciiTheme="majorHAnsi" w:eastAsiaTheme="majorEastAsia" w:hAnsiTheme="majorHAnsi" w:cstheme="majorBidi"/>
      <w:i/>
      <w:iCs/>
      <w:color w:val="404040" w:themeColor="text1" w:themeTint="BF"/>
      <w:lang w:val="es-ES" w:eastAsia="en-US"/>
    </w:rPr>
  </w:style>
  <w:style w:type="character" w:customStyle="1" w:styleId="Heading8Char">
    <w:name w:val="Heading 8 Char"/>
    <w:basedOn w:val="DefaultParagraphFont"/>
    <w:link w:val="Heading8"/>
    <w:semiHidden/>
    <w:rsid w:val="007323E9"/>
    <w:rPr>
      <w:rFonts w:asciiTheme="majorHAnsi" w:eastAsiaTheme="majorEastAsia" w:hAnsiTheme="majorHAnsi" w:cstheme="majorBidi"/>
      <w:color w:val="404040" w:themeColor="text1" w:themeTint="BF"/>
      <w:lang w:val="es-ES" w:eastAsia="en-US"/>
    </w:rPr>
  </w:style>
  <w:style w:type="character" w:customStyle="1" w:styleId="Heading9Char">
    <w:name w:val="Heading 9 Char"/>
    <w:basedOn w:val="DefaultParagraphFont"/>
    <w:link w:val="Heading9"/>
    <w:semiHidden/>
    <w:rsid w:val="007323E9"/>
    <w:rPr>
      <w:rFonts w:asciiTheme="majorHAnsi" w:eastAsiaTheme="majorEastAsia" w:hAnsiTheme="majorHAnsi" w:cstheme="majorBidi"/>
      <w:i/>
      <w:iCs/>
      <w:color w:val="404040" w:themeColor="text1" w:themeTint="BF"/>
      <w:lang w:val="es-ES" w:eastAsia="en-US"/>
    </w:rPr>
  </w:style>
  <w:style w:type="paragraph" w:styleId="BodyTextIndent">
    <w:name w:val="Body Text Indent"/>
    <w:basedOn w:val="Normal"/>
    <w:link w:val="BodyTextIndentChar"/>
    <w:rsid w:val="007323E9"/>
    <w:pPr>
      <w:spacing w:after="120"/>
      <w:ind w:left="360"/>
    </w:pPr>
    <w:rPr>
      <w:sz w:val="24"/>
    </w:rPr>
  </w:style>
  <w:style w:type="character" w:customStyle="1" w:styleId="BodyTextIndentChar">
    <w:name w:val="Body Text Indent Char"/>
    <w:basedOn w:val="DefaultParagraphFont"/>
    <w:link w:val="BodyTextIndent"/>
    <w:rsid w:val="007323E9"/>
    <w:rPr>
      <w:sz w:val="24"/>
      <w:lang w:val="es-ES" w:eastAsia="en-US"/>
    </w:rPr>
  </w:style>
  <w:style w:type="paragraph" w:styleId="BodyTextIndent3">
    <w:name w:val="Body Text Indent 3"/>
    <w:basedOn w:val="Normal"/>
    <w:link w:val="BodyTextIndent3Char"/>
    <w:rsid w:val="007323E9"/>
    <w:pPr>
      <w:spacing w:after="120"/>
      <w:ind w:left="360"/>
    </w:pPr>
    <w:rPr>
      <w:sz w:val="24"/>
      <w:szCs w:val="16"/>
    </w:rPr>
  </w:style>
  <w:style w:type="character" w:customStyle="1" w:styleId="BodyTextIndent3Char">
    <w:name w:val="Body Text Indent 3 Char"/>
    <w:basedOn w:val="DefaultParagraphFont"/>
    <w:link w:val="BodyTextIndent3"/>
    <w:rsid w:val="007323E9"/>
    <w:rPr>
      <w:sz w:val="24"/>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1B"/>
    <w:rPr>
      <w:lang w:val="es-ES" w:eastAsia="en-US"/>
    </w:rPr>
  </w:style>
  <w:style w:type="paragraph" w:styleId="Heading1">
    <w:name w:val="heading 1"/>
    <w:basedOn w:val="Normal"/>
    <w:next w:val="Normal"/>
    <w:qFormat/>
    <w:rsid w:val="00091F1B"/>
    <w:pPr>
      <w:keepNext/>
      <w:jc w:val="center"/>
      <w:outlineLvl w:val="0"/>
    </w:pPr>
    <w:rPr>
      <w:rFonts w:ascii="Times New Roman Bold" w:hAnsi="Times New Roman Bold"/>
      <w:b/>
      <w:bCs/>
      <w:caps/>
      <w:sz w:val="24"/>
      <w:lang w:val="en-US"/>
    </w:rPr>
  </w:style>
  <w:style w:type="paragraph" w:styleId="Heading2">
    <w:name w:val="heading 2"/>
    <w:basedOn w:val="Normal"/>
    <w:next w:val="Normal"/>
    <w:link w:val="Heading2Char"/>
    <w:semiHidden/>
    <w:unhideWhenUsed/>
    <w:qFormat/>
    <w:rsid w:val="007323E9"/>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323E9"/>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323E9"/>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323E9"/>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323E9"/>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323E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323E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323E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91F1B"/>
    <w:pPr>
      <w:autoSpaceDE w:val="0"/>
      <w:autoSpaceDN w:val="0"/>
      <w:adjustRightInd w:val="0"/>
    </w:pPr>
    <w:rPr>
      <w:color w:val="000000"/>
      <w:sz w:val="24"/>
      <w:szCs w:val="24"/>
      <w:lang w:val="en-US" w:eastAsia="en-US"/>
    </w:rPr>
  </w:style>
  <w:style w:type="paragraph" w:styleId="BodyText">
    <w:name w:val="Body Text"/>
    <w:basedOn w:val="Default"/>
    <w:next w:val="Default"/>
    <w:link w:val="BodyTextChar"/>
    <w:rsid w:val="00091F1B"/>
    <w:rPr>
      <w:color w:val="auto"/>
    </w:rPr>
  </w:style>
  <w:style w:type="paragraph" w:styleId="ListBullet">
    <w:name w:val="List Bullet"/>
    <w:basedOn w:val="Normal"/>
    <w:rsid w:val="00091F1B"/>
    <w:pPr>
      <w:numPr>
        <w:numId w:val="2"/>
      </w:numPr>
      <w:tabs>
        <w:tab w:val="clear" w:pos="360"/>
        <w:tab w:val="num" w:pos="720"/>
      </w:tabs>
      <w:spacing w:after="240"/>
      <w:ind w:left="720" w:hanging="720"/>
    </w:pPr>
    <w:rPr>
      <w:bCs/>
      <w:sz w:val="24"/>
      <w:szCs w:val="24"/>
      <w:lang w:val="en-US"/>
    </w:rPr>
  </w:style>
  <w:style w:type="paragraph" w:styleId="Header">
    <w:name w:val="header"/>
    <w:basedOn w:val="Normal"/>
    <w:link w:val="HeaderChar"/>
    <w:uiPriority w:val="99"/>
    <w:rsid w:val="00091F1B"/>
    <w:pPr>
      <w:tabs>
        <w:tab w:val="center" w:pos="4320"/>
        <w:tab w:val="right" w:pos="8640"/>
      </w:tabs>
    </w:pPr>
  </w:style>
  <w:style w:type="paragraph" w:styleId="Footer">
    <w:name w:val="footer"/>
    <w:basedOn w:val="Normal"/>
    <w:link w:val="FooterChar"/>
    <w:uiPriority w:val="99"/>
    <w:rsid w:val="00091F1B"/>
    <w:pPr>
      <w:tabs>
        <w:tab w:val="center" w:pos="4320"/>
        <w:tab w:val="right" w:pos="8640"/>
      </w:tabs>
    </w:pPr>
  </w:style>
  <w:style w:type="character" w:styleId="PageNumber">
    <w:name w:val="page number"/>
    <w:basedOn w:val="DefaultParagraphFont"/>
    <w:rsid w:val="00091F1B"/>
  </w:style>
  <w:style w:type="paragraph" w:styleId="BodyText2">
    <w:name w:val="Body Text 2"/>
    <w:basedOn w:val="Normal"/>
    <w:rsid w:val="00091F1B"/>
    <w:pPr>
      <w:spacing w:before="60" w:after="60"/>
    </w:pPr>
    <w:rPr>
      <w:b/>
      <w:bCs/>
      <w:lang w:val="en-US"/>
    </w:rPr>
  </w:style>
  <w:style w:type="paragraph" w:styleId="BodyText3">
    <w:name w:val="Body Text 3"/>
    <w:basedOn w:val="Normal"/>
    <w:rsid w:val="00091F1B"/>
    <w:pPr>
      <w:spacing w:before="60" w:after="60"/>
    </w:pPr>
    <w:rPr>
      <w:sz w:val="22"/>
      <w:lang w:val="en-US"/>
    </w:rPr>
  </w:style>
  <w:style w:type="character" w:styleId="FootnoteReference">
    <w:name w:val="footnote reference"/>
    <w:aliases w:val="ftref"/>
    <w:basedOn w:val="DefaultParagraphFont"/>
    <w:semiHidden/>
    <w:rsid w:val="003A211F"/>
    <w:rPr>
      <w:vertAlign w:val="superscript"/>
    </w:rPr>
  </w:style>
  <w:style w:type="paragraph" w:styleId="FootnoteText">
    <w:name w:val="footnote text"/>
    <w:aliases w:val="fn,FOOTNOTES,single space,ALTS FOOTNOTE,Footnote Text Char1,Footnote Text Char Char,Note de bas de page Car,footnote text,Footnote Text Char,Fodnotetekst Tegn,Fodnotetekst Tegn Char,footnote text Char Char Char"/>
    <w:basedOn w:val="Normal"/>
    <w:semiHidden/>
    <w:rsid w:val="003A211F"/>
    <w:pPr>
      <w:keepNext/>
      <w:keepLines/>
      <w:spacing w:after="120"/>
      <w:ind w:left="288" w:hanging="288"/>
      <w:jc w:val="both"/>
    </w:pPr>
    <w:rPr>
      <w:spacing w:val="-3"/>
      <w:lang w:val="en-US"/>
    </w:rPr>
  </w:style>
  <w:style w:type="character" w:styleId="CommentReference">
    <w:name w:val="annotation reference"/>
    <w:basedOn w:val="DefaultParagraphFont"/>
    <w:semiHidden/>
    <w:rsid w:val="00BB568D"/>
    <w:rPr>
      <w:sz w:val="16"/>
      <w:szCs w:val="16"/>
    </w:rPr>
  </w:style>
  <w:style w:type="paragraph" w:styleId="CommentText">
    <w:name w:val="annotation text"/>
    <w:basedOn w:val="Normal"/>
    <w:semiHidden/>
    <w:rsid w:val="00BB568D"/>
  </w:style>
  <w:style w:type="paragraph" w:styleId="CommentSubject">
    <w:name w:val="annotation subject"/>
    <w:basedOn w:val="CommentText"/>
    <w:next w:val="CommentText"/>
    <w:semiHidden/>
    <w:rsid w:val="00BB568D"/>
    <w:rPr>
      <w:b/>
      <w:bCs/>
    </w:rPr>
  </w:style>
  <w:style w:type="paragraph" w:styleId="BalloonText">
    <w:name w:val="Balloon Text"/>
    <w:basedOn w:val="Normal"/>
    <w:semiHidden/>
    <w:rsid w:val="00BB568D"/>
    <w:rPr>
      <w:rFonts w:ascii="Tahoma" w:hAnsi="Tahoma" w:cs="Tahoma"/>
      <w:sz w:val="16"/>
      <w:szCs w:val="16"/>
    </w:rPr>
  </w:style>
  <w:style w:type="character" w:customStyle="1" w:styleId="HeaderChar">
    <w:name w:val="Header Char"/>
    <w:basedOn w:val="DefaultParagraphFont"/>
    <w:link w:val="Header"/>
    <w:uiPriority w:val="99"/>
    <w:rsid w:val="006E50BA"/>
    <w:rPr>
      <w:lang w:val="es-ES" w:eastAsia="en-US"/>
    </w:rPr>
  </w:style>
  <w:style w:type="character" w:customStyle="1" w:styleId="FooterChar">
    <w:name w:val="Footer Char"/>
    <w:basedOn w:val="DefaultParagraphFont"/>
    <w:link w:val="Footer"/>
    <w:uiPriority w:val="99"/>
    <w:rsid w:val="006E50BA"/>
    <w:rPr>
      <w:lang w:val="es-ES" w:eastAsia="en-US"/>
    </w:rPr>
  </w:style>
  <w:style w:type="paragraph" w:styleId="ListParagraph">
    <w:name w:val="List Paragraph"/>
    <w:basedOn w:val="Normal"/>
    <w:uiPriority w:val="34"/>
    <w:qFormat/>
    <w:rsid w:val="006D6B5D"/>
    <w:pPr>
      <w:ind w:left="720"/>
      <w:contextualSpacing/>
    </w:pPr>
  </w:style>
  <w:style w:type="character" w:customStyle="1" w:styleId="BodyTextChar">
    <w:name w:val="Body Text Char"/>
    <w:basedOn w:val="DefaultParagraphFont"/>
    <w:link w:val="BodyText"/>
    <w:rsid w:val="006B7C8F"/>
    <w:rPr>
      <w:sz w:val="24"/>
      <w:szCs w:val="24"/>
      <w:lang w:val="en-US" w:eastAsia="en-US"/>
    </w:rPr>
  </w:style>
  <w:style w:type="paragraph" w:styleId="EndnoteText">
    <w:name w:val="endnote text"/>
    <w:basedOn w:val="Normal"/>
    <w:link w:val="EndnoteTextChar"/>
    <w:uiPriority w:val="99"/>
    <w:unhideWhenUsed/>
    <w:rsid w:val="00C97300"/>
    <w:rPr>
      <w:lang w:val="en-US"/>
    </w:rPr>
  </w:style>
  <w:style w:type="character" w:customStyle="1" w:styleId="EndnoteTextChar">
    <w:name w:val="Endnote Text Char"/>
    <w:basedOn w:val="DefaultParagraphFont"/>
    <w:link w:val="EndnoteText"/>
    <w:uiPriority w:val="99"/>
    <w:rsid w:val="00C97300"/>
    <w:rPr>
      <w:lang w:val="en-US" w:eastAsia="en-US"/>
    </w:rPr>
  </w:style>
  <w:style w:type="character" w:styleId="EndnoteReference">
    <w:name w:val="endnote reference"/>
    <w:basedOn w:val="DefaultParagraphFont"/>
    <w:uiPriority w:val="99"/>
    <w:unhideWhenUsed/>
    <w:rsid w:val="00C97300"/>
    <w:rPr>
      <w:vertAlign w:val="superscript"/>
    </w:rPr>
  </w:style>
  <w:style w:type="paragraph" w:customStyle="1" w:styleId="Chapter">
    <w:name w:val="Chapter"/>
    <w:basedOn w:val="Normal"/>
    <w:next w:val="Normal"/>
    <w:link w:val="ChapterChar"/>
    <w:rsid w:val="007323E9"/>
    <w:pPr>
      <w:keepNext/>
      <w:numPr>
        <w:numId w:val="16"/>
      </w:numPr>
      <w:tabs>
        <w:tab w:val="num" w:pos="648"/>
        <w:tab w:val="left" w:pos="1440"/>
      </w:tabs>
      <w:spacing w:before="240" w:after="240"/>
      <w:ind w:left="0" w:firstLine="288"/>
      <w:jc w:val="center"/>
    </w:pPr>
    <w:rPr>
      <w:b/>
      <w:smallCaps/>
      <w:color w:val="000000"/>
      <w:sz w:val="24"/>
      <w:szCs w:val="24"/>
    </w:rPr>
  </w:style>
  <w:style w:type="character" w:customStyle="1" w:styleId="DefaultChar">
    <w:name w:val="Default Char"/>
    <w:basedOn w:val="DefaultParagraphFont"/>
    <w:link w:val="Default"/>
    <w:rsid w:val="007323E9"/>
    <w:rPr>
      <w:color w:val="000000"/>
      <w:sz w:val="24"/>
      <w:szCs w:val="24"/>
      <w:lang w:val="en-US" w:eastAsia="en-US"/>
    </w:rPr>
  </w:style>
  <w:style w:type="character" w:customStyle="1" w:styleId="ChapterChar">
    <w:name w:val="Chapter Char"/>
    <w:basedOn w:val="DefaultChar"/>
    <w:link w:val="Chapter"/>
    <w:rsid w:val="007323E9"/>
    <w:rPr>
      <w:b/>
      <w:smallCaps/>
      <w:color w:val="000000"/>
      <w:sz w:val="24"/>
      <w:szCs w:val="24"/>
      <w:lang w:val="es-ES" w:eastAsia="en-US"/>
    </w:rPr>
  </w:style>
  <w:style w:type="paragraph" w:customStyle="1" w:styleId="FirstHeading">
    <w:name w:val="FirstHeading"/>
    <w:basedOn w:val="Normal"/>
    <w:next w:val="Normal"/>
    <w:link w:val="FirstHeadingChar"/>
    <w:rsid w:val="007323E9"/>
    <w:pPr>
      <w:keepNext/>
      <w:numPr>
        <w:numId w:val="14"/>
      </w:numPr>
      <w:tabs>
        <w:tab w:val="left" w:pos="0"/>
        <w:tab w:val="left" w:pos="86"/>
      </w:tabs>
      <w:spacing w:before="120" w:after="120"/>
      <w:ind w:left="720" w:hanging="720"/>
    </w:pPr>
    <w:rPr>
      <w:b/>
      <w:color w:val="000000"/>
      <w:sz w:val="24"/>
      <w:szCs w:val="24"/>
    </w:rPr>
  </w:style>
  <w:style w:type="character" w:customStyle="1" w:styleId="FirstHeadingChar">
    <w:name w:val="FirstHeading Char"/>
    <w:basedOn w:val="DefaultChar"/>
    <w:link w:val="FirstHeading"/>
    <w:rsid w:val="007323E9"/>
    <w:rPr>
      <w:b/>
      <w:color w:val="000000"/>
      <w:sz w:val="24"/>
      <w:szCs w:val="24"/>
      <w:lang w:val="es-ES" w:eastAsia="en-US"/>
    </w:rPr>
  </w:style>
  <w:style w:type="paragraph" w:customStyle="1" w:styleId="SecHeading">
    <w:name w:val="SecHeading"/>
    <w:basedOn w:val="Normal"/>
    <w:next w:val="Paragraph"/>
    <w:link w:val="SecHeadingChar"/>
    <w:rsid w:val="007323E9"/>
    <w:pPr>
      <w:keepNext/>
      <w:tabs>
        <w:tab w:val="num" w:pos="1296"/>
      </w:tabs>
      <w:spacing w:before="120" w:after="120"/>
      <w:ind w:left="1296" w:hanging="576"/>
    </w:pPr>
    <w:rPr>
      <w:b/>
      <w:color w:val="000000"/>
      <w:sz w:val="24"/>
      <w:szCs w:val="24"/>
    </w:rPr>
  </w:style>
  <w:style w:type="character" w:customStyle="1" w:styleId="SecHeadingChar">
    <w:name w:val="SecHeading Char"/>
    <w:basedOn w:val="DefaultChar"/>
    <w:link w:val="SecHeading"/>
    <w:rsid w:val="007323E9"/>
    <w:rPr>
      <w:b/>
      <w:color w:val="000000"/>
      <w:sz w:val="24"/>
      <w:szCs w:val="24"/>
      <w:lang w:val="es-ES" w:eastAsia="en-US"/>
    </w:rPr>
  </w:style>
  <w:style w:type="paragraph" w:customStyle="1" w:styleId="SubHeading1">
    <w:name w:val="SubHeading1"/>
    <w:basedOn w:val="SecHeading"/>
    <w:link w:val="SubHeading1Char"/>
    <w:rsid w:val="007323E9"/>
    <w:pPr>
      <w:tabs>
        <w:tab w:val="clear" w:pos="1296"/>
        <w:tab w:val="num" w:pos="1872"/>
      </w:tabs>
      <w:ind w:left="1872"/>
    </w:pPr>
    <w:rPr>
      <w:color w:val="auto"/>
    </w:rPr>
  </w:style>
  <w:style w:type="character" w:customStyle="1" w:styleId="SubHeading1Char">
    <w:name w:val="SubHeading1 Char"/>
    <w:basedOn w:val="DefaultChar"/>
    <w:link w:val="SubHeading1"/>
    <w:rsid w:val="007323E9"/>
    <w:rPr>
      <w:b/>
      <w:color w:val="000000"/>
      <w:sz w:val="24"/>
      <w:szCs w:val="24"/>
      <w:lang w:val="es-ES" w:eastAsia="en-US"/>
    </w:rPr>
  </w:style>
  <w:style w:type="paragraph" w:customStyle="1" w:styleId="Subheading2">
    <w:name w:val="Subheading2"/>
    <w:basedOn w:val="SecHeading"/>
    <w:link w:val="Subheading2Char"/>
    <w:rsid w:val="007323E9"/>
    <w:pPr>
      <w:tabs>
        <w:tab w:val="clear" w:pos="1296"/>
        <w:tab w:val="num" w:pos="2376"/>
      </w:tabs>
      <w:ind w:left="2376" w:hanging="288"/>
    </w:pPr>
    <w:rPr>
      <w:color w:val="auto"/>
    </w:rPr>
  </w:style>
  <w:style w:type="character" w:customStyle="1" w:styleId="Subheading2Char">
    <w:name w:val="Subheading2 Char"/>
    <w:basedOn w:val="DefaultChar"/>
    <w:link w:val="Subheading2"/>
    <w:rsid w:val="007323E9"/>
    <w:rPr>
      <w:b/>
      <w:color w:val="000000"/>
      <w:sz w:val="24"/>
      <w:szCs w:val="24"/>
      <w:lang w:val="es-ES" w:eastAsia="en-US"/>
    </w:rPr>
  </w:style>
  <w:style w:type="paragraph" w:customStyle="1" w:styleId="Paragraph">
    <w:name w:val="Paragraph"/>
    <w:basedOn w:val="BodyTextIndent"/>
    <w:link w:val="ParagraphChar"/>
    <w:rsid w:val="007323E9"/>
    <w:pPr>
      <w:tabs>
        <w:tab w:val="num" w:pos="720"/>
      </w:tabs>
      <w:spacing w:before="120"/>
      <w:ind w:left="720" w:hanging="720"/>
      <w:jc w:val="both"/>
      <w:outlineLvl w:val="1"/>
    </w:pPr>
    <w:rPr>
      <w:color w:val="000000"/>
      <w:szCs w:val="24"/>
    </w:rPr>
  </w:style>
  <w:style w:type="character" w:customStyle="1" w:styleId="ParagraphChar">
    <w:name w:val="Paragraph Char"/>
    <w:basedOn w:val="DefaultChar"/>
    <w:link w:val="Paragraph"/>
    <w:rsid w:val="007323E9"/>
    <w:rPr>
      <w:color w:val="000000"/>
      <w:sz w:val="24"/>
      <w:szCs w:val="24"/>
      <w:lang w:val="es-ES" w:eastAsia="en-US"/>
    </w:rPr>
  </w:style>
  <w:style w:type="paragraph" w:customStyle="1" w:styleId="subpar">
    <w:name w:val="subpar"/>
    <w:basedOn w:val="BodyTextIndent3"/>
    <w:link w:val="subparChar"/>
    <w:rsid w:val="007323E9"/>
    <w:pPr>
      <w:tabs>
        <w:tab w:val="num" w:pos="1152"/>
      </w:tabs>
      <w:spacing w:before="120"/>
      <w:ind w:left="1152" w:hanging="432"/>
      <w:jc w:val="both"/>
      <w:outlineLvl w:val="2"/>
    </w:pPr>
    <w:rPr>
      <w:color w:val="000000"/>
    </w:rPr>
  </w:style>
  <w:style w:type="character" w:customStyle="1" w:styleId="subparChar">
    <w:name w:val="subpar Char"/>
    <w:basedOn w:val="DefaultChar"/>
    <w:link w:val="subpar"/>
    <w:rsid w:val="007323E9"/>
    <w:rPr>
      <w:color w:val="000000"/>
      <w:sz w:val="24"/>
      <w:szCs w:val="16"/>
      <w:lang w:val="es-ES" w:eastAsia="en-US"/>
    </w:rPr>
  </w:style>
  <w:style w:type="paragraph" w:customStyle="1" w:styleId="SubSubPar">
    <w:name w:val="SubSubPar"/>
    <w:basedOn w:val="subpar"/>
    <w:link w:val="SubSubParChar"/>
    <w:rsid w:val="007323E9"/>
    <w:pPr>
      <w:tabs>
        <w:tab w:val="clear" w:pos="1152"/>
        <w:tab w:val="left" w:pos="0"/>
        <w:tab w:val="num" w:pos="1296"/>
      </w:tabs>
      <w:ind w:left="1296" w:hanging="288"/>
    </w:pPr>
  </w:style>
  <w:style w:type="character" w:customStyle="1" w:styleId="SubSubParChar">
    <w:name w:val="SubSubPar Char"/>
    <w:basedOn w:val="DefaultChar"/>
    <w:link w:val="SubSubPar"/>
    <w:rsid w:val="007323E9"/>
    <w:rPr>
      <w:color w:val="000000"/>
      <w:sz w:val="24"/>
      <w:szCs w:val="16"/>
      <w:lang w:val="es-ES" w:eastAsia="en-US"/>
    </w:rPr>
  </w:style>
  <w:style w:type="paragraph" w:customStyle="1" w:styleId="Regtable">
    <w:name w:val="Regtable"/>
    <w:basedOn w:val="Normal"/>
    <w:link w:val="RegtableChar"/>
    <w:rsid w:val="007323E9"/>
    <w:pPr>
      <w:keepLines/>
      <w:framePr w:wrap="around" w:vAnchor="text" w:hAnchor="text" w:y="1"/>
      <w:spacing w:before="20" w:after="20"/>
    </w:pPr>
    <w:rPr>
      <w:color w:val="000000"/>
      <w:sz w:val="24"/>
      <w:szCs w:val="24"/>
    </w:rPr>
  </w:style>
  <w:style w:type="character" w:customStyle="1" w:styleId="RegtableChar">
    <w:name w:val="Regtable Char"/>
    <w:basedOn w:val="DefaultChar"/>
    <w:link w:val="Regtable"/>
    <w:rsid w:val="007323E9"/>
    <w:rPr>
      <w:color w:val="000000"/>
      <w:sz w:val="24"/>
      <w:szCs w:val="24"/>
      <w:lang w:val="es-ES" w:eastAsia="en-US"/>
    </w:rPr>
  </w:style>
  <w:style w:type="paragraph" w:customStyle="1" w:styleId="TableTitle">
    <w:name w:val="TableTitle"/>
    <w:basedOn w:val="Normal"/>
    <w:link w:val="TableTitleChar"/>
    <w:rsid w:val="007323E9"/>
    <w:pPr>
      <w:keepNext/>
      <w:framePr w:wrap="around" w:vAnchor="text" w:hAnchor="text" w:y="1"/>
      <w:spacing w:before="20" w:after="20"/>
      <w:jc w:val="center"/>
    </w:pPr>
    <w:rPr>
      <w:rFonts w:ascii="Times New Roman Bold" w:hAnsi="Times New Roman Bold" w:cs="Times New Roman Bold"/>
      <w:b/>
      <w:color w:val="000000"/>
      <w:spacing w:val="-3"/>
      <w:sz w:val="24"/>
      <w:szCs w:val="24"/>
    </w:rPr>
  </w:style>
  <w:style w:type="character" w:customStyle="1" w:styleId="TableTitleChar">
    <w:name w:val="TableTitle Char"/>
    <w:basedOn w:val="DefaultChar"/>
    <w:link w:val="TableTitle"/>
    <w:rsid w:val="007323E9"/>
    <w:rPr>
      <w:rFonts w:ascii="Times New Roman Bold" w:hAnsi="Times New Roman Bold" w:cs="Times New Roman Bold"/>
      <w:b/>
      <w:color w:val="000000"/>
      <w:spacing w:val="-3"/>
      <w:sz w:val="24"/>
      <w:szCs w:val="24"/>
      <w:lang w:val="es-ES" w:eastAsia="en-US"/>
    </w:rPr>
  </w:style>
  <w:style w:type="character" w:customStyle="1" w:styleId="Heading2Char">
    <w:name w:val="Heading 2 Char"/>
    <w:basedOn w:val="DefaultParagraphFont"/>
    <w:link w:val="Heading2"/>
    <w:semiHidden/>
    <w:rsid w:val="007323E9"/>
    <w:rPr>
      <w:rFonts w:asciiTheme="majorHAnsi" w:eastAsiaTheme="majorEastAsia" w:hAnsiTheme="majorHAnsi" w:cstheme="majorBidi"/>
      <w:b/>
      <w:bCs/>
      <w:color w:val="4F81BD" w:themeColor="accent1"/>
      <w:sz w:val="26"/>
      <w:szCs w:val="26"/>
      <w:lang w:val="es-ES" w:eastAsia="en-US"/>
    </w:rPr>
  </w:style>
  <w:style w:type="character" w:customStyle="1" w:styleId="Heading3Char">
    <w:name w:val="Heading 3 Char"/>
    <w:basedOn w:val="DefaultParagraphFont"/>
    <w:link w:val="Heading3"/>
    <w:semiHidden/>
    <w:rsid w:val="007323E9"/>
    <w:rPr>
      <w:rFonts w:asciiTheme="majorHAnsi" w:eastAsiaTheme="majorEastAsia" w:hAnsiTheme="majorHAnsi" w:cstheme="majorBidi"/>
      <w:b/>
      <w:bCs/>
      <w:color w:val="4F81BD" w:themeColor="accent1"/>
      <w:lang w:val="es-ES" w:eastAsia="en-US"/>
    </w:rPr>
  </w:style>
  <w:style w:type="character" w:customStyle="1" w:styleId="Heading4Char">
    <w:name w:val="Heading 4 Char"/>
    <w:basedOn w:val="DefaultParagraphFont"/>
    <w:link w:val="Heading4"/>
    <w:semiHidden/>
    <w:rsid w:val="007323E9"/>
    <w:rPr>
      <w:rFonts w:asciiTheme="majorHAnsi" w:eastAsiaTheme="majorEastAsia" w:hAnsiTheme="majorHAnsi" w:cstheme="majorBidi"/>
      <w:b/>
      <w:bCs/>
      <w:i/>
      <w:iCs/>
      <w:color w:val="4F81BD" w:themeColor="accent1"/>
      <w:lang w:val="es-ES" w:eastAsia="en-US"/>
    </w:rPr>
  </w:style>
  <w:style w:type="character" w:customStyle="1" w:styleId="Heading5Char">
    <w:name w:val="Heading 5 Char"/>
    <w:basedOn w:val="DefaultParagraphFont"/>
    <w:link w:val="Heading5"/>
    <w:semiHidden/>
    <w:rsid w:val="007323E9"/>
    <w:rPr>
      <w:rFonts w:asciiTheme="majorHAnsi" w:eastAsiaTheme="majorEastAsia" w:hAnsiTheme="majorHAnsi" w:cstheme="majorBidi"/>
      <w:color w:val="243F60" w:themeColor="accent1" w:themeShade="7F"/>
      <w:lang w:val="es-ES" w:eastAsia="en-US"/>
    </w:rPr>
  </w:style>
  <w:style w:type="character" w:customStyle="1" w:styleId="Heading6Char">
    <w:name w:val="Heading 6 Char"/>
    <w:basedOn w:val="DefaultParagraphFont"/>
    <w:link w:val="Heading6"/>
    <w:semiHidden/>
    <w:rsid w:val="007323E9"/>
    <w:rPr>
      <w:rFonts w:asciiTheme="majorHAnsi" w:eastAsiaTheme="majorEastAsia" w:hAnsiTheme="majorHAnsi" w:cstheme="majorBidi"/>
      <w:i/>
      <w:iCs/>
      <w:color w:val="243F60" w:themeColor="accent1" w:themeShade="7F"/>
      <w:lang w:val="es-ES" w:eastAsia="en-US"/>
    </w:rPr>
  </w:style>
  <w:style w:type="character" w:customStyle="1" w:styleId="Heading7Char">
    <w:name w:val="Heading 7 Char"/>
    <w:basedOn w:val="DefaultParagraphFont"/>
    <w:link w:val="Heading7"/>
    <w:semiHidden/>
    <w:rsid w:val="007323E9"/>
    <w:rPr>
      <w:rFonts w:asciiTheme="majorHAnsi" w:eastAsiaTheme="majorEastAsia" w:hAnsiTheme="majorHAnsi" w:cstheme="majorBidi"/>
      <w:i/>
      <w:iCs/>
      <w:color w:val="404040" w:themeColor="text1" w:themeTint="BF"/>
      <w:lang w:val="es-ES" w:eastAsia="en-US"/>
    </w:rPr>
  </w:style>
  <w:style w:type="character" w:customStyle="1" w:styleId="Heading8Char">
    <w:name w:val="Heading 8 Char"/>
    <w:basedOn w:val="DefaultParagraphFont"/>
    <w:link w:val="Heading8"/>
    <w:semiHidden/>
    <w:rsid w:val="007323E9"/>
    <w:rPr>
      <w:rFonts w:asciiTheme="majorHAnsi" w:eastAsiaTheme="majorEastAsia" w:hAnsiTheme="majorHAnsi" w:cstheme="majorBidi"/>
      <w:color w:val="404040" w:themeColor="text1" w:themeTint="BF"/>
      <w:lang w:val="es-ES" w:eastAsia="en-US"/>
    </w:rPr>
  </w:style>
  <w:style w:type="character" w:customStyle="1" w:styleId="Heading9Char">
    <w:name w:val="Heading 9 Char"/>
    <w:basedOn w:val="DefaultParagraphFont"/>
    <w:link w:val="Heading9"/>
    <w:semiHidden/>
    <w:rsid w:val="007323E9"/>
    <w:rPr>
      <w:rFonts w:asciiTheme="majorHAnsi" w:eastAsiaTheme="majorEastAsia" w:hAnsiTheme="majorHAnsi" w:cstheme="majorBidi"/>
      <w:i/>
      <w:iCs/>
      <w:color w:val="404040" w:themeColor="text1" w:themeTint="BF"/>
      <w:lang w:val="es-ES" w:eastAsia="en-US"/>
    </w:rPr>
  </w:style>
  <w:style w:type="paragraph" w:styleId="BodyTextIndent">
    <w:name w:val="Body Text Indent"/>
    <w:basedOn w:val="Normal"/>
    <w:link w:val="BodyTextIndentChar"/>
    <w:rsid w:val="007323E9"/>
    <w:pPr>
      <w:spacing w:after="120"/>
      <w:ind w:left="360"/>
    </w:pPr>
    <w:rPr>
      <w:sz w:val="24"/>
    </w:rPr>
  </w:style>
  <w:style w:type="character" w:customStyle="1" w:styleId="BodyTextIndentChar">
    <w:name w:val="Body Text Indent Char"/>
    <w:basedOn w:val="DefaultParagraphFont"/>
    <w:link w:val="BodyTextIndent"/>
    <w:rsid w:val="007323E9"/>
    <w:rPr>
      <w:sz w:val="24"/>
      <w:lang w:val="es-ES" w:eastAsia="en-US"/>
    </w:rPr>
  </w:style>
  <w:style w:type="paragraph" w:styleId="BodyTextIndent3">
    <w:name w:val="Body Text Indent 3"/>
    <w:basedOn w:val="Normal"/>
    <w:link w:val="BodyTextIndent3Char"/>
    <w:rsid w:val="007323E9"/>
    <w:pPr>
      <w:spacing w:after="120"/>
      <w:ind w:left="360"/>
    </w:pPr>
    <w:rPr>
      <w:sz w:val="24"/>
      <w:szCs w:val="16"/>
    </w:rPr>
  </w:style>
  <w:style w:type="character" w:customStyle="1" w:styleId="BodyTextIndent3Char">
    <w:name w:val="Body Text Indent 3 Char"/>
    <w:basedOn w:val="DefaultParagraphFont"/>
    <w:link w:val="BodyTextIndent3"/>
    <w:rsid w:val="007323E9"/>
    <w:rPr>
      <w:sz w:val="24"/>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2828">
      <w:bodyDiv w:val="1"/>
      <w:marLeft w:val="0"/>
      <w:marRight w:val="0"/>
      <w:marTop w:val="0"/>
      <w:marBottom w:val="0"/>
      <w:divBdr>
        <w:top w:val="none" w:sz="0" w:space="0" w:color="auto"/>
        <w:left w:val="none" w:sz="0" w:space="0" w:color="auto"/>
        <w:bottom w:val="none" w:sz="0" w:space="0" w:color="auto"/>
        <w:right w:val="none" w:sz="0" w:space="0" w:color="auto"/>
      </w:divBdr>
    </w:div>
    <w:div w:id="665086959">
      <w:bodyDiv w:val="1"/>
      <w:marLeft w:val="0"/>
      <w:marRight w:val="0"/>
      <w:marTop w:val="0"/>
      <w:marBottom w:val="0"/>
      <w:divBdr>
        <w:top w:val="none" w:sz="0" w:space="0" w:color="auto"/>
        <w:left w:val="none" w:sz="0" w:space="0" w:color="auto"/>
        <w:bottom w:val="none" w:sz="0" w:space="0" w:color="auto"/>
        <w:right w:val="none" w:sz="0" w:space="0" w:color="auto"/>
      </w:divBdr>
    </w:div>
    <w:div w:id="7585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7584-E9AC-40B1-A311-F12A452E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1123</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Problem</vt:lpstr>
    </vt:vector>
  </TitlesOfParts>
  <Company>Inter-American Development Bank</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dc:title>
  <dc:creator>SANDRAB</dc:creator>
  <cp:lastModifiedBy>Roger Sallent</cp:lastModifiedBy>
  <cp:revision>2</cp:revision>
  <cp:lastPrinted>2011-07-20T22:27:00Z</cp:lastPrinted>
  <dcterms:created xsi:type="dcterms:W3CDTF">2016-05-25T21:15:00Z</dcterms:created>
  <dcterms:modified xsi:type="dcterms:W3CDTF">2016-05-25T21:15:00Z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