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246"/>
        <w:gridCol w:w="4267"/>
        <w:gridCol w:w="4545"/>
        <w:gridCol w:w="2524"/>
      </w:tblGrid>
      <w:tr w:rsidR="004310EC" w:rsidRPr="002D4641" w:rsidTr="004F70CB">
        <w:trPr>
          <w:cantSplit/>
          <w:trHeight w:val="1388"/>
          <w:tblHeader/>
          <w:jc w:val="center"/>
        </w:trPr>
        <w:tc>
          <w:tcPr>
            <w:tcW w:w="13582" w:type="dxa"/>
            <w:gridSpan w:val="4"/>
            <w:shd w:val="clear" w:color="auto" w:fill="D9D9D9" w:themeFill="background1" w:themeFillShade="D9"/>
          </w:tcPr>
          <w:p w:rsidR="004310EC" w:rsidRPr="00593496" w:rsidRDefault="004310EC" w:rsidP="004F70CB">
            <w:pPr>
              <w:spacing w:before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93496">
              <w:rPr>
                <w:b/>
                <w:bCs/>
                <w:sz w:val="22"/>
                <w:szCs w:val="22"/>
                <w:lang w:val="en-US"/>
              </w:rPr>
              <w:t>SURINAME</w:t>
            </w:r>
          </w:p>
          <w:p w:rsidR="004310EC" w:rsidRDefault="004310EC" w:rsidP="004F70C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D4641">
              <w:rPr>
                <w:b/>
                <w:smallCaps/>
                <w:sz w:val="22"/>
                <w:szCs w:val="22"/>
                <w:lang w:val="en-US"/>
              </w:rPr>
              <w:t>SUPPORT TO THE INSTITUTIONAL AND OPERATIONAL STRENGTHENING OF THE ENERGY SECTOR II</w:t>
            </w:r>
          </w:p>
          <w:p w:rsidR="004310EC" w:rsidRPr="00561D47" w:rsidRDefault="004310EC" w:rsidP="004F70C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9349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61D47">
              <w:rPr>
                <w:b/>
                <w:bCs/>
                <w:sz w:val="22"/>
                <w:szCs w:val="22"/>
                <w:lang w:val="en-US"/>
              </w:rPr>
              <w:t>(SU-L1035)</w:t>
            </w:r>
          </w:p>
          <w:p w:rsidR="004310EC" w:rsidRPr="00593496" w:rsidRDefault="004310EC" w:rsidP="004F70CB">
            <w:pPr>
              <w:spacing w:before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93496">
              <w:rPr>
                <w:b/>
                <w:bCs/>
                <w:sz w:val="22"/>
                <w:szCs w:val="22"/>
                <w:lang w:val="en-US"/>
              </w:rPr>
              <w:t>VERIFICATION MATRIX</w:t>
            </w:r>
          </w:p>
        </w:tc>
      </w:tr>
      <w:tr w:rsidR="004310EC" w:rsidRPr="00593496" w:rsidTr="004F70CB">
        <w:trPr>
          <w:cantSplit/>
          <w:trHeight w:val="650"/>
          <w:tblHeader/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4310EC" w:rsidRPr="00593496" w:rsidRDefault="004310EC" w:rsidP="004F70C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93496">
              <w:rPr>
                <w:b/>
                <w:bCs/>
                <w:sz w:val="22"/>
                <w:szCs w:val="22"/>
                <w:lang w:val="en-US"/>
              </w:rPr>
              <w:t>Objectives</w:t>
            </w:r>
          </w:p>
        </w:tc>
        <w:tc>
          <w:tcPr>
            <w:tcW w:w="4267" w:type="dxa"/>
            <w:shd w:val="clear" w:color="auto" w:fill="D9D9D9" w:themeFill="background1" w:themeFillShade="D9"/>
            <w:vAlign w:val="center"/>
          </w:tcPr>
          <w:p w:rsidR="004310EC" w:rsidRPr="00593496" w:rsidRDefault="004310EC" w:rsidP="004F70C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93496">
              <w:rPr>
                <w:b/>
                <w:bCs/>
                <w:sz w:val="22"/>
                <w:szCs w:val="22"/>
                <w:lang w:val="en-US"/>
              </w:rPr>
              <w:t>Conditions for</w:t>
            </w:r>
          </w:p>
          <w:p w:rsidR="004310EC" w:rsidRPr="00593496" w:rsidRDefault="004310EC" w:rsidP="004F70C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Second</w:t>
            </w:r>
            <w:r w:rsidRPr="00593496">
              <w:rPr>
                <w:b/>
                <w:bCs/>
                <w:sz w:val="22"/>
                <w:szCs w:val="22"/>
                <w:lang w:val="en-US"/>
              </w:rPr>
              <w:t xml:space="preserve"> Programmatic PBL (201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59349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593496">
              <w:rPr>
                <w:rStyle w:val="EndnoteReference"/>
                <w:b/>
                <w:bCs/>
                <w:sz w:val="22"/>
                <w:szCs w:val="22"/>
                <w:lang w:val="en-US"/>
              </w:rPr>
              <w:endnoteReference w:id="1"/>
            </w:r>
          </w:p>
        </w:tc>
        <w:tc>
          <w:tcPr>
            <w:tcW w:w="4545" w:type="dxa"/>
            <w:shd w:val="clear" w:color="auto" w:fill="D9D9D9" w:themeFill="background1" w:themeFillShade="D9"/>
            <w:vAlign w:val="center"/>
          </w:tcPr>
          <w:p w:rsidR="004310EC" w:rsidRPr="00593496" w:rsidRDefault="004310EC" w:rsidP="004F70C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93496">
              <w:rPr>
                <w:b/>
                <w:bCs/>
                <w:sz w:val="22"/>
                <w:szCs w:val="22"/>
                <w:lang w:val="en-US"/>
              </w:rPr>
              <w:t>Means of Verification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4310EC" w:rsidRPr="00593496" w:rsidRDefault="004310EC" w:rsidP="004F70C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93496">
              <w:rPr>
                <w:b/>
                <w:bCs/>
                <w:sz w:val="22"/>
                <w:szCs w:val="22"/>
                <w:lang w:val="en-US"/>
              </w:rPr>
              <w:t>Responsibility</w:t>
            </w:r>
          </w:p>
        </w:tc>
      </w:tr>
      <w:tr w:rsidR="004310EC" w:rsidRPr="005F419F" w:rsidTr="004F70CB">
        <w:trPr>
          <w:cantSplit/>
          <w:trHeight w:val="125"/>
          <w:jc w:val="center"/>
        </w:trPr>
        <w:tc>
          <w:tcPr>
            <w:tcW w:w="13582" w:type="dxa"/>
            <w:gridSpan w:val="4"/>
          </w:tcPr>
          <w:p w:rsidR="004310EC" w:rsidRPr="005F419F" w:rsidRDefault="004310EC" w:rsidP="004F70CB">
            <w:pPr>
              <w:pStyle w:val="Default"/>
              <w:tabs>
                <w:tab w:val="center" w:pos="4320"/>
                <w:tab w:val="right" w:pos="8640"/>
              </w:tabs>
              <w:spacing w:before="120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5F419F">
              <w:rPr>
                <w:b/>
                <w:color w:val="auto"/>
                <w:sz w:val="22"/>
                <w:szCs w:val="22"/>
              </w:rPr>
              <w:t>I. Macroeconomic Stability</w:t>
            </w:r>
          </w:p>
        </w:tc>
      </w:tr>
      <w:tr w:rsidR="004310EC" w:rsidRPr="005F419F" w:rsidTr="004F70CB">
        <w:trPr>
          <w:cantSplit/>
          <w:trHeight w:val="965"/>
          <w:jc w:val="center"/>
        </w:trPr>
        <w:tc>
          <w:tcPr>
            <w:tcW w:w="2246" w:type="dxa"/>
          </w:tcPr>
          <w:p w:rsidR="004310EC" w:rsidRPr="00561D47" w:rsidRDefault="004310EC" w:rsidP="004F70CB">
            <w:pPr>
              <w:pStyle w:val="Header"/>
              <w:spacing w:before="120"/>
              <w:jc w:val="both"/>
              <w:rPr>
                <w:lang w:val="en-US"/>
              </w:rPr>
            </w:pPr>
            <w:r w:rsidRPr="00561D47">
              <w:rPr>
                <w:lang w:val="en-US"/>
              </w:rPr>
              <w:t>I.1. Maintain a stable general Macroeconomic Framework</w:t>
            </w:r>
          </w:p>
        </w:tc>
        <w:tc>
          <w:tcPr>
            <w:tcW w:w="4267" w:type="dxa"/>
          </w:tcPr>
          <w:p w:rsidR="004310EC" w:rsidRPr="00561D47" w:rsidRDefault="004310EC" w:rsidP="004F70CB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</w:pPr>
            <w:r w:rsidRPr="00561D47">
              <w:t xml:space="preserve"> Macroeconomic framework is consistent with the objectives of the program and with policy letter</w:t>
            </w:r>
          </w:p>
        </w:tc>
        <w:tc>
          <w:tcPr>
            <w:tcW w:w="4545" w:type="dxa"/>
          </w:tcPr>
          <w:p w:rsidR="004310EC" w:rsidRPr="00561D47" w:rsidRDefault="004310EC" w:rsidP="004F70CB">
            <w:pPr>
              <w:pStyle w:val="Default"/>
              <w:spacing w:before="120"/>
              <w:jc w:val="both"/>
              <w:rPr>
                <w:sz w:val="20"/>
                <w:szCs w:val="20"/>
              </w:rPr>
            </w:pPr>
            <w:r w:rsidRPr="00561D47">
              <w:rPr>
                <w:bCs/>
                <w:sz w:val="20"/>
                <w:szCs w:val="20"/>
              </w:rPr>
              <w:t>Bank assessment taking into account the reviews from IMF, and the annual consultations related to Article IV.</w:t>
            </w:r>
          </w:p>
        </w:tc>
        <w:tc>
          <w:tcPr>
            <w:tcW w:w="2523" w:type="dxa"/>
          </w:tcPr>
          <w:p w:rsidR="004310EC" w:rsidRPr="00561D47" w:rsidRDefault="004310EC" w:rsidP="004F70CB">
            <w:pPr>
              <w:pStyle w:val="BodyText"/>
              <w:spacing w:before="120"/>
              <w:jc w:val="both"/>
              <w:rPr>
                <w:sz w:val="20"/>
                <w:szCs w:val="20"/>
              </w:rPr>
            </w:pPr>
            <w:r w:rsidRPr="00561D47">
              <w:rPr>
                <w:sz w:val="20"/>
                <w:szCs w:val="20"/>
              </w:rPr>
              <w:t>Verification by IDB</w:t>
            </w:r>
          </w:p>
        </w:tc>
      </w:tr>
      <w:tr w:rsidR="004310EC" w:rsidRPr="004310EC" w:rsidTr="004F70CB">
        <w:trPr>
          <w:cantSplit/>
          <w:trHeight w:val="125"/>
          <w:jc w:val="center"/>
        </w:trPr>
        <w:tc>
          <w:tcPr>
            <w:tcW w:w="13582" w:type="dxa"/>
            <w:gridSpan w:val="4"/>
          </w:tcPr>
          <w:p w:rsidR="004310EC" w:rsidRPr="00424B3A" w:rsidRDefault="004310EC" w:rsidP="004F70CB">
            <w:pPr>
              <w:pStyle w:val="Default"/>
              <w:tabs>
                <w:tab w:val="center" w:pos="4320"/>
                <w:tab w:val="right" w:pos="8640"/>
              </w:tabs>
              <w:spacing w:before="120"/>
              <w:jc w:val="both"/>
              <w:rPr>
                <w:b/>
                <w:color w:val="auto"/>
                <w:sz w:val="22"/>
                <w:szCs w:val="22"/>
              </w:rPr>
            </w:pPr>
            <w:r w:rsidRPr="00424B3A">
              <w:rPr>
                <w:b/>
                <w:color w:val="auto"/>
                <w:sz w:val="22"/>
                <w:szCs w:val="22"/>
              </w:rPr>
              <w:t xml:space="preserve">II. Development of a Sustainable </w:t>
            </w:r>
            <w:r>
              <w:rPr>
                <w:b/>
                <w:color w:val="auto"/>
                <w:sz w:val="22"/>
                <w:szCs w:val="22"/>
              </w:rPr>
              <w:t xml:space="preserve">Power Sector </w:t>
            </w:r>
            <w:r w:rsidRPr="00424B3A">
              <w:rPr>
                <w:b/>
                <w:color w:val="auto"/>
                <w:sz w:val="22"/>
                <w:szCs w:val="22"/>
              </w:rPr>
              <w:t xml:space="preserve">Framework </w:t>
            </w:r>
          </w:p>
        </w:tc>
      </w:tr>
      <w:tr w:rsidR="004310EC" w:rsidRPr="00593496" w:rsidTr="004F70CB">
        <w:trPr>
          <w:cantSplit/>
          <w:trHeight w:val="125"/>
          <w:jc w:val="center"/>
        </w:trPr>
        <w:tc>
          <w:tcPr>
            <w:tcW w:w="2246" w:type="dxa"/>
            <w:vMerge w:val="restart"/>
          </w:tcPr>
          <w:p w:rsidR="004310EC" w:rsidRPr="00561D47" w:rsidRDefault="004310EC" w:rsidP="004F70CB">
            <w:pPr>
              <w:pStyle w:val="Header"/>
              <w:spacing w:before="120"/>
              <w:jc w:val="both"/>
              <w:rPr>
                <w:lang w:val="en-US"/>
              </w:rPr>
            </w:pPr>
            <w:r w:rsidRPr="00561D47">
              <w:rPr>
                <w:lang w:val="en-US"/>
              </w:rPr>
              <w:t xml:space="preserve">II.1. </w:t>
            </w:r>
            <w:r w:rsidRPr="00561D47">
              <w:rPr>
                <w:bCs/>
                <w:color w:val="000000"/>
                <w:lang w:val="en-US"/>
              </w:rPr>
              <w:t>Define the regulatory and legal framework to contribute to a more effective power sector with increased efficiency, transparency and accountability.</w:t>
            </w:r>
          </w:p>
        </w:tc>
        <w:tc>
          <w:tcPr>
            <w:tcW w:w="4267" w:type="dxa"/>
          </w:tcPr>
          <w:p w:rsidR="004310EC" w:rsidRPr="00561D47" w:rsidRDefault="004310EC" w:rsidP="004F70CB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</w:pPr>
            <w:r w:rsidRPr="00561D47">
              <w:rPr>
                <w:bCs/>
                <w:color w:val="000000"/>
              </w:rPr>
              <w:t>The first draft of a Policy document that addresses the main guidelines for sector reform and the basic institutional structure for the power sector has been submitted to</w:t>
            </w:r>
            <w:r>
              <w:rPr>
                <w:bCs/>
                <w:color w:val="000000"/>
              </w:rPr>
              <w:t xml:space="preserve"> the</w:t>
            </w:r>
            <w:r w:rsidRPr="00561D4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Council of Ministers</w:t>
            </w:r>
            <w:r w:rsidRPr="00561D47">
              <w:rPr>
                <w:bCs/>
                <w:color w:val="000000"/>
              </w:rPr>
              <w:t>.</w:t>
            </w:r>
          </w:p>
        </w:tc>
        <w:tc>
          <w:tcPr>
            <w:tcW w:w="4545" w:type="dxa"/>
          </w:tcPr>
          <w:p w:rsidR="004310EC" w:rsidRPr="00561D47" w:rsidRDefault="004310EC" w:rsidP="004F70CB">
            <w:pPr>
              <w:pStyle w:val="BodyText"/>
              <w:spacing w:before="120"/>
              <w:jc w:val="both"/>
              <w:rPr>
                <w:sz w:val="20"/>
                <w:szCs w:val="20"/>
              </w:rPr>
            </w:pPr>
            <w:r w:rsidRPr="00561D47">
              <w:rPr>
                <w:color w:val="000000"/>
                <w:sz w:val="20"/>
                <w:szCs w:val="20"/>
              </w:rPr>
              <w:t>Official letter submitted from the MNH to the Council of Ministers presenting the first draft of a Policy Document for consideration</w:t>
            </w:r>
            <w:r w:rsidRPr="00561D4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61D47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523" w:type="dxa"/>
          </w:tcPr>
          <w:p w:rsidR="004310EC" w:rsidRPr="00561D47" w:rsidRDefault="004310EC" w:rsidP="004F70CB">
            <w:pPr>
              <w:pStyle w:val="BodyText"/>
              <w:spacing w:before="120"/>
              <w:jc w:val="both"/>
              <w:rPr>
                <w:sz w:val="20"/>
                <w:szCs w:val="20"/>
              </w:rPr>
            </w:pPr>
            <w:r w:rsidRPr="00561D47">
              <w:rPr>
                <w:sz w:val="20"/>
                <w:szCs w:val="20"/>
              </w:rPr>
              <w:t>MNH</w:t>
            </w:r>
          </w:p>
        </w:tc>
      </w:tr>
      <w:tr w:rsidR="004310EC" w:rsidRPr="00593496" w:rsidTr="004F70CB">
        <w:trPr>
          <w:cantSplit/>
          <w:trHeight w:val="947"/>
          <w:jc w:val="center"/>
        </w:trPr>
        <w:tc>
          <w:tcPr>
            <w:tcW w:w="2246" w:type="dxa"/>
            <w:vMerge/>
          </w:tcPr>
          <w:p w:rsidR="004310EC" w:rsidRPr="00561D47" w:rsidRDefault="004310EC" w:rsidP="004F70CB">
            <w:pPr>
              <w:pStyle w:val="Header"/>
              <w:spacing w:before="120"/>
              <w:jc w:val="both"/>
              <w:rPr>
                <w:lang w:val="en-US"/>
              </w:rPr>
            </w:pPr>
          </w:p>
        </w:tc>
        <w:tc>
          <w:tcPr>
            <w:tcW w:w="4267" w:type="dxa"/>
          </w:tcPr>
          <w:p w:rsidR="004310EC" w:rsidRPr="00561D47" w:rsidRDefault="004310EC" w:rsidP="004F70CB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</w:pPr>
            <w:r w:rsidRPr="004D059C">
              <w:rPr>
                <w:bCs/>
                <w:color w:val="000000"/>
              </w:rPr>
              <w:t>Steps towards the drafting of the legal instruments that will regulate the organization and functioning of the Electricity Sector have been taken.</w:t>
            </w:r>
          </w:p>
        </w:tc>
        <w:tc>
          <w:tcPr>
            <w:tcW w:w="4545" w:type="dxa"/>
          </w:tcPr>
          <w:p w:rsidR="004310EC" w:rsidRPr="00561D47" w:rsidRDefault="004310EC" w:rsidP="004F70CB">
            <w:pPr>
              <w:pStyle w:val="BodyText"/>
              <w:spacing w:before="120"/>
              <w:jc w:val="both"/>
              <w:rPr>
                <w:sz w:val="20"/>
                <w:szCs w:val="20"/>
              </w:rPr>
            </w:pPr>
            <w:r w:rsidRPr="00561D47">
              <w:rPr>
                <w:bCs/>
                <w:color w:val="000000"/>
                <w:sz w:val="20"/>
                <w:szCs w:val="20"/>
              </w:rPr>
              <w:t>Terms of References for the consultan</w:t>
            </w:r>
            <w:r>
              <w:rPr>
                <w:bCs/>
                <w:color w:val="000000"/>
                <w:sz w:val="20"/>
                <w:szCs w:val="20"/>
              </w:rPr>
              <w:t>cy hired to</w:t>
            </w:r>
            <w:r w:rsidRPr="00561D47">
              <w:rPr>
                <w:bCs/>
                <w:color w:val="000000"/>
                <w:sz w:val="20"/>
                <w:szCs w:val="20"/>
              </w:rPr>
              <w:t xml:space="preserve"> support drafting </w:t>
            </w:r>
            <w:r>
              <w:rPr>
                <w:bCs/>
                <w:color w:val="000000"/>
                <w:sz w:val="20"/>
                <w:szCs w:val="20"/>
              </w:rPr>
              <w:t xml:space="preserve">of </w:t>
            </w:r>
            <w:r w:rsidRPr="00561D47">
              <w:rPr>
                <w:bCs/>
                <w:color w:val="000000"/>
                <w:sz w:val="20"/>
                <w:szCs w:val="20"/>
              </w:rPr>
              <w:t xml:space="preserve">regulatory instruments. </w:t>
            </w:r>
          </w:p>
        </w:tc>
        <w:tc>
          <w:tcPr>
            <w:tcW w:w="2523" w:type="dxa"/>
          </w:tcPr>
          <w:p w:rsidR="004310EC" w:rsidRPr="00561D47" w:rsidRDefault="004310EC" w:rsidP="004F70CB">
            <w:pPr>
              <w:pStyle w:val="BodyText"/>
              <w:spacing w:before="120"/>
              <w:jc w:val="both"/>
              <w:rPr>
                <w:sz w:val="20"/>
                <w:szCs w:val="20"/>
              </w:rPr>
            </w:pPr>
            <w:r w:rsidRPr="00561D47">
              <w:rPr>
                <w:sz w:val="20"/>
                <w:szCs w:val="20"/>
              </w:rPr>
              <w:t>MNH</w:t>
            </w:r>
          </w:p>
        </w:tc>
      </w:tr>
      <w:tr w:rsidR="004310EC" w:rsidRPr="00A42239" w:rsidTr="004F70CB">
        <w:trPr>
          <w:cantSplit/>
          <w:trHeight w:val="1370"/>
          <w:jc w:val="center"/>
        </w:trPr>
        <w:tc>
          <w:tcPr>
            <w:tcW w:w="2246" w:type="dxa"/>
            <w:vMerge w:val="restart"/>
          </w:tcPr>
          <w:p w:rsidR="004310EC" w:rsidRPr="00561D47" w:rsidRDefault="004310EC" w:rsidP="004F70CB">
            <w:pPr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561D47">
              <w:rPr>
                <w:lang w:val="en-US"/>
              </w:rPr>
              <w:t xml:space="preserve">II.2. </w:t>
            </w:r>
            <w:r w:rsidRPr="00561D47">
              <w:rPr>
                <w:bCs/>
                <w:color w:val="000000"/>
                <w:lang w:val="en-US"/>
              </w:rPr>
              <w:t>Implementation of institutions with a view to having a commercially-based operation and clear social, economic and financial incentives to achieve efficiency.</w:t>
            </w:r>
          </w:p>
        </w:tc>
        <w:tc>
          <w:tcPr>
            <w:tcW w:w="4267" w:type="dxa"/>
          </w:tcPr>
          <w:p w:rsidR="004310EC" w:rsidRPr="003104C3" w:rsidRDefault="004310EC" w:rsidP="004F70CB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3104C3">
              <w:rPr>
                <w:bCs/>
                <w:color w:val="000000"/>
              </w:rPr>
              <w:t xml:space="preserve">A proposal to assign the roles and responsibilities to a sector office for the coordination of the Energy Sector’s affairs has been presented for consideration of and approval by the </w:t>
            </w:r>
            <w:r w:rsidRPr="00D062F0">
              <w:rPr>
                <w:bCs/>
                <w:color w:val="000000"/>
              </w:rPr>
              <w:t>C</w:t>
            </w:r>
            <w:r>
              <w:rPr>
                <w:bCs/>
                <w:color w:val="000000"/>
              </w:rPr>
              <w:t>ouncil of Ministers</w:t>
            </w:r>
            <w:r w:rsidRPr="003104C3">
              <w:rPr>
                <w:bCs/>
                <w:color w:val="000000"/>
              </w:rPr>
              <w:t>.</w:t>
            </w:r>
          </w:p>
        </w:tc>
        <w:tc>
          <w:tcPr>
            <w:tcW w:w="4545" w:type="dxa"/>
          </w:tcPr>
          <w:p w:rsidR="004310EC" w:rsidRPr="003104C3" w:rsidRDefault="004310EC" w:rsidP="004F70CB">
            <w:pPr>
              <w:pStyle w:val="Default"/>
              <w:spacing w:before="120"/>
              <w:jc w:val="both"/>
              <w:rPr>
                <w:sz w:val="20"/>
                <w:szCs w:val="20"/>
              </w:rPr>
            </w:pPr>
            <w:r w:rsidRPr="003104C3">
              <w:rPr>
                <w:sz w:val="20"/>
                <w:szCs w:val="20"/>
              </w:rPr>
              <w:t xml:space="preserve">Official letter submitted from the MNH to the Council of Ministers presenting </w:t>
            </w:r>
            <w:r w:rsidRPr="003104C3">
              <w:rPr>
                <w:bCs/>
                <w:sz w:val="20"/>
                <w:szCs w:val="20"/>
              </w:rPr>
              <w:t>the proposal for a specific office within the MNH to manage the energy sector affairs</w:t>
            </w:r>
            <w:r>
              <w:rPr>
                <w:bCs/>
                <w:sz w:val="20"/>
                <w:szCs w:val="20"/>
              </w:rPr>
              <w:t xml:space="preserve"> and </w:t>
            </w:r>
            <w:r w:rsidRPr="003104C3">
              <w:rPr>
                <w:bCs/>
                <w:sz w:val="20"/>
                <w:szCs w:val="20"/>
              </w:rPr>
              <w:t>proposal for a specific office within the MNH to manage the energy sector affairs</w:t>
            </w:r>
            <w:r>
              <w:rPr>
                <w:bCs/>
                <w:sz w:val="20"/>
                <w:szCs w:val="20"/>
              </w:rPr>
              <w:t>.</w:t>
            </w:r>
            <w:r w:rsidRPr="003104C3" w:rsidDel="009C4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</w:tcPr>
          <w:p w:rsidR="004310EC" w:rsidRPr="00561D47" w:rsidRDefault="004310EC" w:rsidP="004F70CB">
            <w:pPr>
              <w:pStyle w:val="BodyText"/>
              <w:spacing w:before="120"/>
              <w:jc w:val="both"/>
              <w:rPr>
                <w:sz w:val="20"/>
                <w:szCs w:val="20"/>
              </w:rPr>
            </w:pPr>
            <w:r w:rsidRPr="00561D47">
              <w:rPr>
                <w:sz w:val="20"/>
                <w:szCs w:val="20"/>
              </w:rPr>
              <w:t>MNH</w:t>
            </w:r>
          </w:p>
        </w:tc>
      </w:tr>
      <w:tr w:rsidR="004310EC" w:rsidRPr="008C5799" w:rsidTr="004F70CB">
        <w:trPr>
          <w:cantSplit/>
          <w:trHeight w:val="947"/>
          <w:jc w:val="center"/>
        </w:trPr>
        <w:tc>
          <w:tcPr>
            <w:tcW w:w="2246" w:type="dxa"/>
            <w:vMerge/>
          </w:tcPr>
          <w:p w:rsidR="004310EC" w:rsidRPr="00561D47" w:rsidRDefault="004310EC" w:rsidP="004F70CB">
            <w:pPr>
              <w:pStyle w:val="Header"/>
              <w:spacing w:before="120"/>
              <w:jc w:val="both"/>
              <w:rPr>
                <w:b/>
                <w:lang w:val="en-US"/>
              </w:rPr>
            </w:pPr>
          </w:p>
        </w:tc>
        <w:tc>
          <w:tcPr>
            <w:tcW w:w="4267" w:type="dxa"/>
          </w:tcPr>
          <w:p w:rsidR="004310EC" w:rsidRPr="003104C3" w:rsidRDefault="004310EC" w:rsidP="004F70C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1045B">
              <w:rPr>
                <w:bCs/>
                <w:color w:val="000000"/>
              </w:rPr>
              <w:t>A tariff structure proposal, that includes a revision of the subsidy levels, has been submitted to the Council of Ministers for consideration.</w:t>
            </w:r>
          </w:p>
          <w:p w:rsidR="004310EC" w:rsidRPr="003104C3" w:rsidRDefault="004310EC" w:rsidP="004F70CB">
            <w:pPr>
              <w:pStyle w:val="ListParagraph"/>
              <w:ind w:left="360"/>
              <w:rPr>
                <w:color w:val="000000"/>
              </w:rPr>
            </w:pPr>
          </w:p>
        </w:tc>
        <w:tc>
          <w:tcPr>
            <w:tcW w:w="4545" w:type="dxa"/>
          </w:tcPr>
          <w:p w:rsidR="004310EC" w:rsidRPr="003104C3" w:rsidRDefault="004310EC" w:rsidP="004F70CB">
            <w:pPr>
              <w:pStyle w:val="Default"/>
              <w:spacing w:before="120"/>
              <w:jc w:val="both"/>
              <w:rPr>
                <w:sz w:val="20"/>
                <w:szCs w:val="20"/>
              </w:rPr>
            </w:pPr>
            <w:r w:rsidRPr="003104C3">
              <w:rPr>
                <w:sz w:val="20"/>
                <w:szCs w:val="20"/>
              </w:rPr>
              <w:t xml:space="preserve">Official letter submitted from the MNH to the Council of Ministers presenting </w:t>
            </w:r>
            <w:r w:rsidRPr="003104C3">
              <w:rPr>
                <w:bCs/>
                <w:sz w:val="20"/>
                <w:szCs w:val="20"/>
              </w:rPr>
              <w:t xml:space="preserve">Tariff structure proposal </w:t>
            </w:r>
            <w:r w:rsidRPr="003104C3">
              <w:rPr>
                <w:sz w:val="20"/>
                <w:szCs w:val="20"/>
              </w:rPr>
              <w:t xml:space="preserve">and Tariff structure proposal document. </w:t>
            </w:r>
          </w:p>
        </w:tc>
        <w:tc>
          <w:tcPr>
            <w:tcW w:w="2523" w:type="dxa"/>
          </w:tcPr>
          <w:p w:rsidR="004310EC" w:rsidRPr="00561D47" w:rsidRDefault="004310EC" w:rsidP="004F70CB">
            <w:pPr>
              <w:pStyle w:val="BodyText"/>
              <w:spacing w:before="120"/>
              <w:jc w:val="both"/>
              <w:rPr>
                <w:sz w:val="20"/>
                <w:szCs w:val="20"/>
              </w:rPr>
            </w:pPr>
            <w:r w:rsidRPr="00561D47">
              <w:rPr>
                <w:sz w:val="20"/>
                <w:szCs w:val="20"/>
              </w:rPr>
              <w:t>MNH and EBS</w:t>
            </w:r>
          </w:p>
        </w:tc>
      </w:tr>
      <w:tr w:rsidR="004310EC" w:rsidRPr="00593496" w:rsidTr="004F70CB">
        <w:trPr>
          <w:cantSplit/>
          <w:trHeight w:val="436"/>
          <w:jc w:val="center"/>
        </w:trPr>
        <w:tc>
          <w:tcPr>
            <w:tcW w:w="2246" w:type="dxa"/>
            <w:vMerge w:val="restart"/>
          </w:tcPr>
          <w:p w:rsidR="004310EC" w:rsidRPr="00561D47" w:rsidRDefault="004310EC" w:rsidP="004F70CB">
            <w:pPr>
              <w:pStyle w:val="Header"/>
              <w:spacing w:before="120"/>
              <w:jc w:val="both"/>
              <w:rPr>
                <w:lang w:val="en-US"/>
              </w:rPr>
            </w:pPr>
            <w:r w:rsidRPr="00561D47">
              <w:rPr>
                <w:lang w:val="en-US"/>
              </w:rPr>
              <w:t xml:space="preserve">II.3. Update the expansion strategy of the </w:t>
            </w:r>
            <w:r w:rsidRPr="00561D47">
              <w:rPr>
                <w:lang w:val="en-US"/>
              </w:rPr>
              <w:lastRenderedPageBreak/>
              <w:t>sector to improve supply efficiency.</w:t>
            </w:r>
          </w:p>
        </w:tc>
        <w:tc>
          <w:tcPr>
            <w:tcW w:w="4267" w:type="dxa"/>
          </w:tcPr>
          <w:p w:rsidR="004310EC" w:rsidRPr="00561D47" w:rsidRDefault="004310EC" w:rsidP="004F70CB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bCs/>
                <w:color w:val="000000"/>
              </w:rPr>
            </w:pPr>
            <w:r w:rsidRPr="00F1045B">
              <w:rPr>
                <w:bCs/>
                <w:color w:val="000000"/>
              </w:rPr>
              <w:lastRenderedPageBreak/>
              <w:t>A revised draft model of PPA contract was developed by EBS as guideline.</w:t>
            </w:r>
          </w:p>
        </w:tc>
        <w:tc>
          <w:tcPr>
            <w:tcW w:w="4545" w:type="dxa"/>
          </w:tcPr>
          <w:p w:rsidR="004310EC" w:rsidRPr="00561D47" w:rsidRDefault="004310EC" w:rsidP="004F70CB">
            <w:pPr>
              <w:pStyle w:val="BodyText"/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61D47">
              <w:rPr>
                <w:color w:val="000000"/>
                <w:sz w:val="20"/>
                <w:szCs w:val="20"/>
              </w:rPr>
              <w:t xml:space="preserve">Copy of the revised draft model of </w:t>
            </w:r>
            <w:r>
              <w:rPr>
                <w:color w:val="000000"/>
                <w:sz w:val="20"/>
                <w:szCs w:val="20"/>
              </w:rPr>
              <w:t xml:space="preserve">the </w:t>
            </w:r>
            <w:r w:rsidRPr="00561D47">
              <w:rPr>
                <w:color w:val="000000"/>
                <w:sz w:val="20"/>
                <w:szCs w:val="20"/>
              </w:rPr>
              <w:t>PPA contract document.</w:t>
            </w:r>
          </w:p>
        </w:tc>
        <w:tc>
          <w:tcPr>
            <w:tcW w:w="2523" w:type="dxa"/>
          </w:tcPr>
          <w:p w:rsidR="004310EC" w:rsidRPr="00561D47" w:rsidRDefault="004310EC" w:rsidP="004F70CB">
            <w:pPr>
              <w:pStyle w:val="BodyText"/>
              <w:spacing w:before="120"/>
              <w:jc w:val="both"/>
              <w:rPr>
                <w:sz w:val="20"/>
                <w:szCs w:val="20"/>
              </w:rPr>
            </w:pPr>
            <w:r w:rsidRPr="00561D47">
              <w:rPr>
                <w:sz w:val="20"/>
                <w:szCs w:val="20"/>
              </w:rPr>
              <w:t>EBS</w:t>
            </w:r>
          </w:p>
        </w:tc>
      </w:tr>
      <w:tr w:rsidR="004310EC" w:rsidRPr="009D0276" w:rsidTr="004F70CB">
        <w:trPr>
          <w:cantSplit/>
          <w:trHeight w:val="436"/>
          <w:jc w:val="center"/>
        </w:trPr>
        <w:tc>
          <w:tcPr>
            <w:tcW w:w="2246" w:type="dxa"/>
            <w:vMerge/>
          </w:tcPr>
          <w:p w:rsidR="004310EC" w:rsidRPr="00561D47" w:rsidRDefault="004310EC" w:rsidP="004F70CB">
            <w:pPr>
              <w:pStyle w:val="Header"/>
              <w:spacing w:before="120"/>
              <w:jc w:val="both"/>
              <w:rPr>
                <w:lang w:val="en-US"/>
              </w:rPr>
            </w:pPr>
          </w:p>
        </w:tc>
        <w:tc>
          <w:tcPr>
            <w:tcW w:w="4267" w:type="dxa"/>
          </w:tcPr>
          <w:p w:rsidR="004310EC" w:rsidRPr="00561D47" w:rsidRDefault="004310EC" w:rsidP="004F70CB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bCs/>
                <w:color w:val="000000"/>
              </w:rPr>
            </w:pPr>
            <w:r w:rsidRPr="00F1045B">
              <w:rPr>
                <w:color w:val="000000"/>
              </w:rPr>
              <w:t>The sector expansion plan included basic environmental and social sustainability principles.</w:t>
            </w:r>
          </w:p>
        </w:tc>
        <w:tc>
          <w:tcPr>
            <w:tcW w:w="4545" w:type="dxa"/>
          </w:tcPr>
          <w:p w:rsidR="004310EC" w:rsidRPr="00561D47" w:rsidRDefault="004310EC" w:rsidP="004F70CB">
            <w:pPr>
              <w:pStyle w:val="BodyText"/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61D47">
              <w:rPr>
                <w:color w:val="000000"/>
                <w:sz w:val="20"/>
                <w:szCs w:val="20"/>
              </w:rPr>
              <w:t xml:space="preserve">Copy of the sector expansion plan/business plan approved by EBS. </w:t>
            </w:r>
          </w:p>
        </w:tc>
        <w:tc>
          <w:tcPr>
            <w:tcW w:w="2523" w:type="dxa"/>
          </w:tcPr>
          <w:p w:rsidR="004310EC" w:rsidRPr="00561D47" w:rsidRDefault="004310EC" w:rsidP="004F70CB">
            <w:pPr>
              <w:pStyle w:val="BodyText"/>
              <w:tabs>
                <w:tab w:val="center" w:pos="4320"/>
                <w:tab w:val="right" w:pos="8640"/>
              </w:tabs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EBS</w:t>
            </w:r>
          </w:p>
        </w:tc>
      </w:tr>
      <w:tr w:rsidR="004310EC" w:rsidRPr="00593496" w:rsidTr="004F70CB">
        <w:trPr>
          <w:cantSplit/>
          <w:trHeight w:val="436"/>
          <w:jc w:val="center"/>
        </w:trPr>
        <w:tc>
          <w:tcPr>
            <w:tcW w:w="2246" w:type="dxa"/>
            <w:vMerge/>
          </w:tcPr>
          <w:p w:rsidR="004310EC" w:rsidRPr="00561D47" w:rsidRDefault="004310EC" w:rsidP="004F70CB">
            <w:pPr>
              <w:pStyle w:val="Header"/>
              <w:spacing w:before="120"/>
              <w:jc w:val="both"/>
              <w:rPr>
                <w:lang w:val="en-US"/>
              </w:rPr>
            </w:pPr>
          </w:p>
        </w:tc>
        <w:tc>
          <w:tcPr>
            <w:tcW w:w="4267" w:type="dxa"/>
          </w:tcPr>
          <w:p w:rsidR="004310EC" w:rsidRPr="00561D47" w:rsidRDefault="004310EC" w:rsidP="004F70CB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bCs/>
                <w:color w:val="000000"/>
              </w:rPr>
            </w:pPr>
            <w:r w:rsidRPr="00F1045B">
              <w:rPr>
                <w:color w:val="000000"/>
              </w:rPr>
              <w:t>The Government of Suriname has approved the financing for the implementation of the Program with Renewable Energy Technologies (RETs).</w:t>
            </w:r>
          </w:p>
        </w:tc>
        <w:tc>
          <w:tcPr>
            <w:tcW w:w="4545" w:type="dxa"/>
          </w:tcPr>
          <w:p w:rsidR="004310EC" w:rsidRPr="00561D47" w:rsidRDefault="004310EC" w:rsidP="004F70CB">
            <w:pPr>
              <w:pStyle w:val="BodyText"/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61D47">
              <w:rPr>
                <w:color w:val="000000"/>
                <w:sz w:val="20"/>
                <w:szCs w:val="20"/>
              </w:rPr>
              <w:t xml:space="preserve">Signed endorsement letter by Government of Suriname including co-financing for the implementation of the </w:t>
            </w:r>
            <w:r>
              <w:rPr>
                <w:color w:val="000000"/>
                <w:sz w:val="20"/>
                <w:szCs w:val="20"/>
              </w:rPr>
              <w:t>Development of Renewable Energy, Energy Efficiency and Electrification</w:t>
            </w:r>
            <w:r w:rsidRPr="00A42239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C362F4">
              <w:rPr>
                <w:color w:val="000000"/>
                <w:sz w:val="20"/>
                <w:szCs w:val="20"/>
              </w:rPr>
              <w:t>Program.</w:t>
            </w:r>
          </w:p>
        </w:tc>
        <w:tc>
          <w:tcPr>
            <w:tcW w:w="2523" w:type="dxa"/>
          </w:tcPr>
          <w:p w:rsidR="004310EC" w:rsidRPr="00561D47" w:rsidRDefault="004310EC" w:rsidP="004F70CB">
            <w:pPr>
              <w:pStyle w:val="BodyText"/>
              <w:spacing w:before="120"/>
              <w:jc w:val="both"/>
              <w:rPr>
                <w:sz w:val="20"/>
                <w:szCs w:val="20"/>
              </w:rPr>
            </w:pPr>
            <w:r w:rsidRPr="00561D47">
              <w:rPr>
                <w:sz w:val="20"/>
                <w:szCs w:val="20"/>
              </w:rPr>
              <w:t>MNH</w:t>
            </w:r>
          </w:p>
        </w:tc>
      </w:tr>
      <w:tr w:rsidR="004310EC" w:rsidRPr="004310EC" w:rsidTr="004F70CB">
        <w:trPr>
          <w:cantSplit/>
          <w:trHeight w:val="245"/>
          <w:jc w:val="center"/>
        </w:trPr>
        <w:tc>
          <w:tcPr>
            <w:tcW w:w="13582" w:type="dxa"/>
            <w:gridSpan w:val="4"/>
          </w:tcPr>
          <w:p w:rsidR="004310EC" w:rsidRPr="001F0733" w:rsidRDefault="004310EC" w:rsidP="004F70CB">
            <w:pPr>
              <w:pStyle w:val="Default"/>
              <w:tabs>
                <w:tab w:val="center" w:pos="4320"/>
                <w:tab w:val="right" w:pos="8640"/>
              </w:tabs>
              <w:spacing w:before="120"/>
              <w:jc w:val="both"/>
              <w:rPr>
                <w:b/>
                <w:color w:val="auto"/>
                <w:sz w:val="22"/>
                <w:szCs w:val="22"/>
              </w:rPr>
            </w:pPr>
            <w:r w:rsidRPr="001F0733">
              <w:rPr>
                <w:b/>
                <w:color w:val="auto"/>
                <w:sz w:val="22"/>
                <w:szCs w:val="22"/>
              </w:rPr>
              <w:t xml:space="preserve">III. </w:t>
            </w:r>
            <w:r w:rsidRPr="001F0733">
              <w:rPr>
                <w:b/>
                <w:bCs/>
                <w:sz w:val="22"/>
                <w:szCs w:val="22"/>
              </w:rPr>
              <w:t>Strengthen sector corporate capabilities</w:t>
            </w:r>
          </w:p>
        </w:tc>
      </w:tr>
      <w:tr w:rsidR="004310EC" w:rsidRPr="00593496" w:rsidTr="004F70CB">
        <w:trPr>
          <w:cantSplit/>
          <w:trHeight w:val="650"/>
          <w:jc w:val="center"/>
        </w:trPr>
        <w:tc>
          <w:tcPr>
            <w:tcW w:w="2246" w:type="dxa"/>
            <w:vMerge w:val="restart"/>
          </w:tcPr>
          <w:p w:rsidR="004310EC" w:rsidRPr="00561D47" w:rsidRDefault="004310EC" w:rsidP="004F70CB">
            <w:pPr>
              <w:pStyle w:val="Header"/>
              <w:spacing w:before="120"/>
              <w:jc w:val="both"/>
              <w:rPr>
                <w:lang w:val="en-US"/>
              </w:rPr>
            </w:pPr>
            <w:r w:rsidRPr="00561D47">
              <w:rPr>
                <w:lang w:val="en-US"/>
              </w:rPr>
              <w:t xml:space="preserve">III.1. </w:t>
            </w:r>
            <w:r w:rsidRPr="00561D47">
              <w:rPr>
                <w:color w:val="000000"/>
                <w:lang w:val="en-US"/>
              </w:rPr>
              <w:t>Strengthen utility’s capabilities to operate by contributing to improvements in technical tools and corporate governance, transparency and accountability</w:t>
            </w:r>
            <w:r w:rsidRPr="00561D47">
              <w:rPr>
                <w:bCs/>
                <w:color w:val="000000"/>
                <w:lang w:val="en-US"/>
              </w:rPr>
              <w:t>.</w:t>
            </w:r>
          </w:p>
        </w:tc>
        <w:tc>
          <w:tcPr>
            <w:tcW w:w="4267" w:type="dxa"/>
          </w:tcPr>
          <w:p w:rsidR="004310EC" w:rsidRPr="0036646A" w:rsidRDefault="004310EC" w:rsidP="004F70CB">
            <w:pPr>
              <w:pStyle w:val="ListParagraph"/>
              <w:ind w:left="360"/>
              <w:jc w:val="both"/>
              <w:rPr>
                <w:color w:val="000000"/>
              </w:rPr>
            </w:pPr>
          </w:p>
          <w:p w:rsidR="004310EC" w:rsidRPr="00561D47" w:rsidRDefault="004310EC" w:rsidP="004F70CB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4D059C">
              <w:rPr>
                <w:bCs/>
                <w:color w:val="000000"/>
              </w:rPr>
              <w:t>EBS Board has approved the expansion plan</w:t>
            </w:r>
          </w:p>
        </w:tc>
        <w:tc>
          <w:tcPr>
            <w:tcW w:w="4545" w:type="dxa"/>
          </w:tcPr>
          <w:p w:rsidR="004310EC" w:rsidRPr="00561D47" w:rsidRDefault="004310EC" w:rsidP="004F70CB">
            <w:pPr>
              <w:pStyle w:val="BodyText"/>
              <w:spacing w:before="120"/>
              <w:jc w:val="both"/>
              <w:rPr>
                <w:sz w:val="20"/>
                <w:szCs w:val="20"/>
                <w:highlight w:val="yellow"/>
              </w:rPr>
            </w:pPr>
            <w:r w:rsidRPr="0054061A">
              <w:rPr>
                <w:color w:val="000000"/>
                <w:sz w:val="20"/>
                <w:szCs w:val="20"/>
              </w:rPr>
              <w:t>Copy of the sector expansion plan/business plan approved by EBS.</w:t>
            </w:r>
          </w:p>
        </w:tc>
        <w:tc>
          <w:tcPr>
            <w:tcW w:w="2523" w:type="dxa"/>
          </w:tcPr>
          <w:p w:rsidR="004310EC" w:rsidRPr="00561D47" w:rsidRDefault="004310EC" w:rsidP="004F70CB">
            <w:pPr>
              <w:pStyle w:val="BodyText"/>
              <w:spacing w:before="120"/>
              <w:jc w:val="both"/>
              <w:rPr>
                <w:sz w:val="20"/>
                <w:szCs w:val="20"/>
              </w:rPr>
            </w:pPr>
            <w:r w:rsidRPr="00561D47">
              <w:rPr>
                <w:sz w:val="20"/>
                <w:szCs w:val="20"/>
              </w:rPr>
              <w:t>EBS</w:t>
            </w:r>
          </w:p>
        </w:tc>
      </w:tr>
      <w:tr w:rsidR="004310EC" w:rsidRPr="00593496" w:rsidTr="004F70CB">
        <w:trPr>
          <w:cantSplit/>
          <w:trHeight w:val="436"/>
          <w:jc w:val="center"/>
        </w:trPr>
        <w:tc>
          <w:tcPr>
            <w:tcW w:w="2246" w:type="dxa"/>
            <w:vMerge/>
          </w:tcPr>
          <w:p w:rsidR="004310EC" w:rsidRPr="00561D47" w:rsidRDefault="004310EC" w:rsidP="004F70CB">
            <w:pPr>
              <w:pStyle w:val="Header"/>
              <w:spacing w:before="120"/>
              <w:jc w:val="both"/>
              <w:rPr>
                <w:lang w:val="en-US"/>
              </w:rPr>
            </w:pPr>
          </w:p>
        </w:tc>
        <w:tc>
          <w:tcPr>
            <w:tcW w:w="4267" w:type="dxa"/>
          </w:tcPr>
          <w:p w:rsidR="004310EC" w:rsidRPr="0036646A" w:rsidRDefault="004310EC" w:rsidP="004F70CB">
            <w:pPr>
              <w:pStyle w:val="ListParagraph"/>
              <w:ind w:left="360"/>
              <w:jc w:val="both"/>
              <w:rPr>
                <w:color w:val="000000"/>
              </w:rPr>
            </w:pPr>
          </w:p>
          <w:p w:rsidR="004310EC" w:rsidRPr="00561D47" w:rsidRDefault="004310EC" w:rsidP="004F70CB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561D47">
              <w:rPr>
                <w:bCs/>
                <w:color w:val="000000"/>
              </w:rPr>
              <w:t>EBS develops specific action plans to address fundamental technical recommendations from corporate assessment.</w:t>
            </w:r>
          </w:p>
        </w:tc>
        <w:tc>
          <w:tcPr>
            <w:tcW w:w="4545" w:type="dxa"/>
          </w:tcPr>
          <w:p w:rsidR="004310EC" w:rsidRPr="00561D47" w:rsidRDefault="004310EC" w:rsidP="004F70CB">
            <w:pPr>
              <w:pStyle w:val="BodyText"/>
              <w:spacing w:before="120"/>
              <w:jc w:val="both"/>
              <w:rPr>
                <w:sz w:val="20"/>
                <w:szCs w:val="20"/>
              </w:rPr>
            </w:pPr>
            <w:r w:rsidRPr="00831BB3">
              <w:rPr>
                <w:color w:val="000000"/>
                <w:sz w:val="20"/>
                <w:szCs w:val="20"/>
              </w:rPr>
              <w:t>Contract or Letter of Agreement to guide the implementation of the Governance, Risk management, and Compliance (GRC) plan within EBS.</w:t>
            </w:r>
          </w:p>
        </w:tc>
        <w:tc>
          <w:tcPr>
            <w:tcW w:w="2523" w:type="dxa"/>
          </w:tcPr>
          <w:p w:rsidR="004310EC" w:rsidRPr="00561D47" w:rsidRDefault="004310EC" w:rsidP="004F70CB">
            <w:pPr>
              <w:pStyle w:val="BodyText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EBS</w:t>
            </w:r>
          </w:p>
        </w:tc>
      </w:tr>
      <w:tr w:rsidR="004310EC" w:rsidRPr="00593496" w:rsidTr="004F70CB">
        <w:trPr>
          <w:cantSplit/>
          <w:trHeight w:val="436"/>
          <w:jc w:val="center"/>
        </w:trPr>
        <w:tc>
          <w:tcPr>
            <w:tcW w:w="2246" w:type="dxa"/>
            <w:vMerge/>
          </w:tcPr>
          <w:p w:rsidR="004310EC" w:rsidRPr="00561D47" w:rsidRDefault="004310EC" w:rsidP="004F70CB">
            <w:pPr>
              <w:pStyle w:val="Header"/>
              <w:spacing w:before="120"/>
              <w:jc w:val="both"/>
              <w:rPr>
                <w:lang w:val="en-US"/>
              </w:rPr>
            </w:pPr>
          </w:p>
        </w:tc>
        <w:tc>
          <w:tcPr>
            <w:tcW w:w="4267" w:type="dxa"/>
          </w:tcPr>
          <w:p w:rsidR="004310EC" w:rsidRPr="00561D47" w:rsidRDefault="004310EC" w:rsidP="004F70CB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color w:val="000000"/>
              </w:rPr>
            </w:pPr>
            <w:r w:rsidRPr="00561D47">
              <w:rPr>
                <w:color w:val="000000"/>
              </w:rPr>
              <w:t>EBS is carrying out a study to strengthen its corporate structure to enhance its governance, transparency and accountability.</w:t>
            </w:r>
          </w:p>
          <w:p w:rsidR="004310EC" w:rsidRDefault="004310EC" w:rsidP="004F70CB">
            <w:pPr>
              <w:pStyle w:val="ListParagraph"/>
              <w:spacing w:before="120"/>
              <w:ind w:left="360"/>
              <w:jc w:val="both"/>
              <w:rPr>
                <w:color w:val="000000"/>
              </w:rPr>
            </w:pPr>
          </w:p>
          <w:p w:rsidR="004310EC" w:rsidRPr="00561D47" w:rsidRDefault="004310EC" w:rsidP="004F70CB">
            <w:pPr>
              <w:pStyle w:val="ListParagraph"/>
              <w:spacing w:before="120"/>
              <w:ind w:left="360"/>
              <w:jc w:val="both"/>
              <w:rPr>
                <w:color w:val="000000"/>
              </w:rPr>
            </w:pPr>
            <w:bookmarkStart w:id="0" w:name="_GoBack"/>
            <w:bookmarkEnd w:id="0"/>
          </w:p>
          <w:p w:rsidR="004310EC" w:rsidRPr="00561D47" w:rsidRDefault="004310EC" w:rsidP="004F70CB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color w:val="000000"/>
              </w:rPr>
            </w:pPr>
            <w:r w:rsidRPr="00561D47">
              <w:rPr>
                <w:color w:val="000000"/>
              </w:rPr>
              <w:t>EBS is making public its operational statistics, preferably on the web.</w:t>
            </w:r>
          </w:p>
        </w:tc>
        <w:tc>
          <w:tcPr>
            <w:tcW w:w="4545" w:type="dxa"/>
          </w:tcPr>
          <w:p w:rsidR="004310EC" w:rsidRPr="00561D47" w:rsidRDefault="004310EC" w:rsidP="004F70CB">
            <w:pPr>
              <w:pStyle w:val="BodyText"/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561D47">
              <w:rPr>
                <w:color w:val="000000"/>
                <w:sz w:val="20"/>
                <w:szCs w:val="20"/>
              </w:rPr>
              <w:t>Progress Report document with a set of recommendations of actions that EBS may take to improve its accountability, as well as a proposal to develop internal auditing procedures.</w:t>
            </w:r>
          </w:p>
          <w:p w:rsidR="004310EC" w:rsidRPr="00561D47" w:rsidRDefault="004310EC" w:rsidP="004F70CB">
            <w:pPr>
              <w:pStyle w:val="Default"/>
              <w:rPr>
                <w:sz w:val="20"/>
                <w:szCs w:val="20"/>
              </w:rPr>
            </w:pPr>
          </w:p>
          <w:p w:rsidR="004310EC" w:rsidRPr="00561D47" w:rsidRDefault="004310EC" w:rsidP="004F70CB">
            <w:pPr>
              <w:pStyle w:val="Default"/>
              <w:rPr>
                <w:sz w:val="20"/>
                <w:szCs w:val="20"/>
              </w:rPr>
            </w:pPr>
            <w:r w:rsidRPr="00561D47">
              <w:rPr>
                <w:sz w:val="20"/>
                <w:szCs w:val="20"/>
              </w:rPr>
              <w:t>A public access link to operational information on EBS Website.</w:t>
            </w:r>
          </w:p>
        </w:tc>
        <w:tc>
          <w:tcPr>
            <w:tcW w:w="2523" w:type="dxa"/>
          </w:tcPr>
          <w:p w:rsidR="004310EC" w:rsidRPr="00561D47" w:rsidRDefault="004310EC" w:rsidP="004F70CB">
            <w:pPr>
              <w:pStyle w:val="BodyText"/>
              <w:spacing w:before="120"/>
              <w:jc w:val="both"/>
              <w:rPr>
                <w:sz w:val="20"/>
                <w:szCs w:val="20"/>
              </w:rPr>
            </w:pPr>
            <w:r w:rsidRPr="00561D47">
              <w:rPr>
                <w:sz w:val="20"/>
                <w:szCs w:val="20"/>
              </w:rPr>
              <w:t>EBS</w:t>
            </w:r>
          </w:p>
        </w:tc>
      </w:tr>
    </w:tbl>
    <w:p w:rsidR="004310EC" w:rsidRPr="00593496" w:rsidRDefault="004310EC" w:rsidP="004310EC">
      <w:pPr>
        <w:jc w:val="both"/>
        <w:rPr>
          <w:sz w:val="22"/>
          <w:szCs w:val="22"/>
          <w:lang w:val="en-US"/>
        </w:rPr>
      </w:pPr>
      <w:r w:rsidRPr="00593496">
        <w:rPr>
          <w:sz w:val="22"/>
          <w:szCs w:val="22"/>
          <w:lang w:val="en-US"/>
        </w:rPr>
        <w:tab/>
      </w:r>
    </w:p>
    <w:p w:rsidR="004310EC" w:rsidRPr="00593496" w:rsidRDefault="004310EC" w:rsidP="004310EC">
      <w:pPr>
        <w:rPr>
          <w:sz w:val="22"/>
          <w:szCs w:val="22"/>
        </w:rPr>
      </w:pPr>
    </w:p>
    <w:p w:rsidR="004310EC" w:rsidRPr="00593496" w:rsidRDefault="004310EC" w:rsidP="004310EC">
      <w:pPr>
        <w:rPr>
          <w:sz w:val="22"/>
          <w:szCs w:val="22"/>
        </w:rPr>
      </w:pPr>
    </w:p>
    <w:p w:rsidR="00B25289" w:rsidRPr="004310EC" w:rsidRDefault="00B25289" w:rsidP="004310EC"/>
    <w:sectPr w:rsidR="00B25289" w:rsidRPr="004310EC" w:rsidSect="004A457E">
      <w:headerReference w:type="default" r:id="rId9"/>
      <w:footerReference w:type="default" r:id="rId10"/>
      <w:pgSz w:w="15840" w:h="12240" w:orient="landscape" w:code="1"/>
      <w:pgMar w:top="1354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8D" w:rsidRDefault="00AD6A8D">
      <w:r>
        <w:separator/>
      </w:r>
    </w:p>
  </w:endnote>
  <w:endnote w:type="continuationSeparator" w:id="0">
    <w:p w:rsidR="00AD6A8D" w:rsidRDefault="00AD6A8D">
      <w:r>
        <w:continuationSeparator/>
      </w:r>
    </w:p>
  </w:endnote>
  <w:endnote w:id="1">
    <w:p w:rsidR="004310EC" w:rsidRDefault="004310EC" w:rsidP="004310EC">
      <w:pPr>
        <w:pStyle w:val="EndnoteText"/>
      </w:pPr>
      <w:r>
        <w:rPr>
          <w:rStyle w:val="EndnoteReference"/>
        </w:rPr>
        <w:endnoteRef/>
      </w:r>
      <w:r>
        <w:t xml:space="preserve"> These conditions </w:t>
      </w:r>
      <w:r w:rsidRPr="00337EC9">
        <w:t>correspond to the</w:t>
      </w:r>
      <w:r>
        <w:t xml:space="preserve"> </w:t>
      </w:r>
      <w:r w:rsidRPr="00337EC9">
        <w:t xml:space="preserve">outputs </w:t>
      </w:r>
      <w:r>
        <w:t>for the Second Programmatic PBP (SU-L1035, Policy Matrix).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D7" w:rsidRDefault="00B10AD7">
    <w:pPr>
      <w:pStyle w:val="Footer"/>
      <w:jc w:val="right"/>
    </w:pPr>
  </w:p>
  <w:p w:rsidR="00B10AD7" w:rsidRDefault="00B10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8D" w:rsidRDefault="00AD6A8D">
      <w:r>
        <w:separator/>
      </w:r>
    </w:p>
  </w:footnote>
  <w:footnote w:type="continuationSeparator" w:id="0">
    <w:p w:rsidR="00AD6A8D" w:rsidRDefault="00AD6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D7" w:rsidRPr="00F17896" w:rsidRDefault="00A03F07" w:rsidP="006937ED">
    <w:pPr>
      <w:pStyle w:val="Header"/>
      <w:jc w:val="right"/>
      <w:rPr>
        <w:b/>
        <w:i/>
        <w:lang w:val="fr-FR"/>
      </w:rPr>
    </w:pPr>
    <w:r w:rsidRPr="00F17896">
      <w:rPr>
        <w:b/>
        <w:i/>
        <w:lang w:val="fr-FR"/>
      </w:rPr>
      <w:t>SU-L10</w:t>
    </w:r>
    <w:r w:rsidR="002D4641">
      <w:rPr>
        <w:b/>
        <w:i/>
        <w:lang w:val="fr-FR"/>
      </w:rPr>
      <w:t>35</w:t>
    </w:r>
    <w:r w:rsidR="00B10AD7" w:rsidRPr="00F17896">
      <w:rPr>
        <w:b/>
        <w:i/>
        <w:lang w:val="fr-FR"/>
      </w:rPr>
      <w:t xml:space="preserve"> - VERIFICATION MATRIX </w:t>
    </w:r>
  </w:p>
  <w:p w:rsidR="00B10AD7" w:rsidRPr="00F17896" w:rsidRDefault="004310EC">
    <w:pPr>
      <w:pStyle w:val="Header"/>
      <w:jc w:val="right"/>
      <w:rPr>
        <w:lang w:val="fr-FR"/>
      </w:rPr>
    </w:pPr>
    <w:sdt>
      <w:sdtPr>
        <w:rPr>
          <w:lang w:val="en-US"/>
        </w:rPr>
        <w:id w:val="565053189"/>
        <w:docPartObj>
          <w:docPartGallery w:val="Page Numbers (Top of Page)"/>
          <w:docPartUnique/>
        </w:docPartObj>
      </w:sdtPr>
      <w:sdtEndPr/>
      <w:sdtContent>
        <w:r w:rsidR="00B10AD7" w:rsidRPr="00F17896">
          <w:rPr>
            <w:lang w:val="fr-FR"/>
          </w:rPr>
          <w:t xml:space="preserve">Page </w:t>
        </w:r>
        <w:r w:rsidR="00576710" w:rsidRPr="00BC08CD">
          <w:rPr>
            <w:b/>
            <w:sz w:val="24"/>
            <w:szCs w:val="24"/>
            <w:lang w:val="en-US"/>
          </w:rPr>
          <w:fldChar w:fldCharType="begin"/>
        </w:r>
        <w:r w:rsidR="00B10AD7" w:rsidRPr="00F17896">
          <w:rPr>
            <w:b/>
            <w:lang w:val="fr-FR"/>
          </w:rPr>
          <w:instrText xml:space="preserve"> PAGE </w:instrText>
        </w:r>
        <w:r w:rsidR="00576710" w:rsidRPr="00BC08CD">
          <w:rPr>
            <w:b/>
            <w:sz w:val="24"/>
            <w:szCs w:val="24"/>
            <w:lang w:val="en-US"/>
          </w:rPr>
          <w:fldChar w:fldCharType="separate"/>
        </w:r>
        <w:r>
          <w:rPr>
            <w:b/>
            <w:noProof/>
            <w:lang w:val="fr-FR"/>
          </w:rPr>
          <w:t>1</w:t>
        </w:r>
        <w:r w:rsidR="00576710" w:rsidRPr="00BC08CD">
          <w:rPr>
            <w:b/>
            <w:sz w:val="24"/>
            <w:szCs w:val="24"/>
            <w:lang w:val="en-US"/>
          </w:rPr>
          <w:fldChar w:fldCharType="end"/>
        </w:r>
        <w:r w:rsidR="00B10AD7" w:rsidRPr="00F17896">
          <w:rPr>
            <w:lang w:val="fr-FR"/>
          </w:rPr>
          <w:t xml:space="preserve"> of </w:t>
        </w:r>
        <w:r w:rsidR="00576710" w:rsidRPr="00BC08CD">
          <w:rPr>
            <w:b/>
            <w:sz w:val="24"/>
            <w:szCs w:val="24"/>
            <w:lang w:val="en-US"/>
          </w:rPr>
          <w:fldChar w:fldCharType="begin"/>
        </w:r>
        <w:r w:rsidR="00B10AD7" w:rsidRPr="00F17896">
          <w:rPr>
            <w:b/>
            <w:lang w:val="fr-FR"/>
          </w:rPr>
          <w:instrText xml:space="preserve"> NUMPAGES  </w:instrText>
        </w:r>
        <w:r w:rsidR="00576710" w:rsidRPr="00BC08CD">
          <w:rPr>
            <w:b/>
            <w:sz w:val="24"/>
            <w:szCs w:val="24"/>
            <w:lang w:val="en-US"/>
          </w:rPr>
          <w:fldChar w:fldCharType="separate"/>
        </w:r>
        <w:r>
          <w:rPr>
            <w:b/>
            <w:noProof/>
            <w:lang w:val="fr-FR"/>
          </w:rPr>
          <w:t>2</w:t>
        </w:r>
        <w:r w:rsidR="00576710" w:rsidRPr="00BC08CD">
          <w:rPr>
            <w:b/>
            <w:sz w:val="24"/>
            <w:szCs w:val="24"/>
            <w:lang w:val="en-US"/>
          </w:rPr>
          <w:fldChar w:fldCharType="end"/>
        </w:r>
      </w:sdtContent>
    </w:sdt>
  </w:p>
  <w:p w:rsidR="00B10AD7" w:rsidRPr="00F17896" w:rsidRDefault="00B10AD7" w:rsidP="006E50BA">
    <w:pPr>
      <w:pStyle w:val="Header"/>
      <w:jc w:val="right"/>
      <w:rPr>
        <w:b/>
        <w:i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FF665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D290E"/>
    <w:multiLevelType w:val="hybridMultilevel"/>
    <w:tmpl w:val="55D8B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0D7C5F"/>
    <w:multiLevelType w:val="hybridMultilevel"/>
    <w:tmpl w:val="82E87262"/>
    <w:lvl w:ilvl="0" w:tplc="1AC0932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A18CD"/>
    <w:multiLevelType w:val="hybridMultilevel"/>
    <w:tmpl w:val="B09E1D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317253"/>
    <w:multiLevelType w:val="hybridMultilevel"/>
    <w:tmpl w:val="63F40D6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44" w:hanging="144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65FD0"/>
    <w:multiLevelType w:val="hybridMultilevel"/>
    <w:tmpl w:val="1592FB38"/>
    <w:lvl w:ilvl="0" w:tplc="1AC09320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335D4694"/>
    <w:multiLevelType w:val="hybridMultilevel"/>
    <w:tmpl w:val="43FC9B9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D33FC"/>
    <w:multiLevelType w:val="hybridMultilevel"/>
    <w:tmpl w:val="E07E8C3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A01517D"/>
    <w:multiLevelType w:val="hybridMultilevel"/>
    <w:tmpl w:val="D1483FC0"/>
    <w:lvl w:ilvl="0" w:tplc="1AC0932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>
    <w:nsid w:val="7D127002"/>
    <w:multiLevelType w:val="hybridMultilevel"/>
    <w:tmpl w:val="8F7068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kferg Vanegas">
    <w15:presenceInfo w15:providerId="Windows Live" w15:userId="5c104eac67cb1f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F9"/>
    <w:rsid w:val="00004DE6"/>
    <w:rsid w:val="00005AB5"/>
    <w:rsid w:val="000103B5"/>
    <w:rsid w:val="0001271F"/>
    <w:rsid w:val="00015E03"/>
    <w:rsid w:val="00030C70"/>
    <w:rsid w:val="000315CF"/>
    <w:rsid w:val="000329CC"/>
    <w:rsid w:val="00042F98"/>
    <w:rsid w:val="00051426"/>
    <w:rsid w:val="0005307F"/>
    <w:rsid w:val="00062564"/>
    <w:rsid w:val="000776DD"/>
    <w:rsid w:val="00084197"/>
    <w:rsid w:val="00084395"/>
    <w:rsid w:val="00084C72"/>
    <w:rsid w:val="000A2302"/>
    <w:rsid w:val="000A728A"/>
    <w:rsid w:val="000B3CF3"/>
    <w:rsid w:val="000C459B"/>
    <w:rsid w:val="000C6464"/>
    <w:rsid w:val="000E6274"/>
    <w:rsid w:val="000E7CDF"/>
    <w:rsid w:val="000F44B7"/>
    <w:rsid w:val="000F77B1"/>
    <w:rsid w:val="000F79DA"/>
    <w:rsid w:val="00101C50"/>
    <w:rsid w:val="001022B9"/>
    <w:rsid w:val="001041E6"/>
    <w:rsid w:val="00107763"/>
    <w:rsid w:val="00107A00"/>
    <w:rsid w:val="00132CBD"/>
    <w:rsid w:val="00133788"/>
    <w:rsid w:val="00133D18"/>
    <w:rsid w:val="001374AE"/>
    <w:rsid w:val="00142B14"/>
    <w:rsid w:val="00142D67"/>
    <w:rsid w:val="0015796F"/>
    <w:rsid w:val="001631DE"/>
    <w:rsid w:val="00172F0B"/>
    <w:rsid w:val="00182625"/>
    <w:rsid w:val="0018375B"/>
    <w:rsid w:val="001A08F0"/>
    <w:rsid w:val="001A28A7"/>
    <w:rsid w:val="001B0BFE"/>
    <w:rsid w:val="001B1252"/>
    <w:rsid w:val="001B2782"/>
    <w:rsid w:val="001B6EDF"/>
    <w:rsid w:val="001D0D04"/>
    <w:rsid w:val="001E1E60"/>
    <w:rsid w:val="001E60F9"/>
    <w:rsid w:val="001F0733"/>
    <w:rsid w:val="001F377C"/>
    <w:rsid w:val="00204289"/>
    <w:rsid w:val="002078CA"/>
    <w:rsid w:val="002129A3"/>
    <w:rsid w:val="00221CFF"/>
    <w:rsid w:val="002239EE"/>
    <w:rsid w:val="00230149"/>
    <w:rsid w:val="00231EE6"/>
    <w:rsid w:val="0023724E"/>
    <w:rsid w:val="002419D5"/>
    <w:rsid w:val="002419E4"/>
    <w:rsid w:val="00244F56"/>
    <w:rsid w:val="00247641"/>
    <w:rsid w:val="00254EFE"/>
    <w:rsid w:val="00265470"/>
    <w:rsid w:val="00284A66"/>
    <w:rsid w:val="00286CC6"/>
    <w:rsid w:val="00290ED2"/>
    <w:rsid w:val="002926A9"/>
    <w:rsid w:val="002A600A"/>
    <w:rsid w:val="002B2074"/>
    <w:rsid w:val="002B6AD1"/>
    <w:rsid w:val="002C17C9"/>
    <w:rsid w:val="002C7BFA"/>
    <w:rsid w:val="002D1413"/>
    <w:rsid w:val="002D4641"/>
    <w:rsid w:val="002E3640"/>
    <w:rsid w:val="003110BF"/>
    <w:rsid w:val="0031161F"/>
    <w:rsid w:val="00317F06"/>
    <w:rsid w:val="0032623D"/>
    <w:rsid w:val="00337EC9"/>
    <w:rsid w:val="00344074"/>
    <w:rsid w:val="003465F9"/>
    <w:rsid w:val="0034714C"/>
    <w:rsid w:val="0035011C"/>
    <w:rsid w:val="00352C89"/>
    <w:rsid w:val="00352FD7"/>
    <w:rsid w:val="0036524A"/>
    <w:rsid w:val="00374805"/>
    <w:rsid w:val="00376183"/>
    <w:rsid w:val="003876E8"/>
    <w:rsid w:val="00387F42"/>
    <w:rsid w:val="0039545A"/>
    <w:rsid w:val="003A145A"/>
    <w:rsid w:val="003A211F"/>
    <w:rsid w:val="003A38BB"/>
    <w:rsid w:val="003A4432"/>
    <w:rsid w:val="003B07C8"/>
    <w:rsid w:val="003B17BF"/>
    <w:rsid w:val="003B2B67"/>
    <w:rsid w:val="003C1A01"/>
    <w:rsid w:val="003C70E7"/>
    <w:rsid w:val="003D0B1F"/>
    <w:rsid w:val="003D0F03"/>
    <w:rsid w:val="003D23EC"/>
    <w:rsid w:val="003F61D3"/>
    <w:rsid w:val="004129DD"/>
    <w:rsid w:val="00412E4C"/>
    <w:rsid w:val="00421C81"/>
    <w:rsid w:val="00424B3A"/>
    <w:rsid w:val="004252AD"/>
    <w:rsid w:val="004260A3"/>
    <w:rsid w:val="004310EC"/>
    <w:rsid w:val="004342A8"/>
    <w:rsid w:val="00446AF0"/>
    <w:rsid w:val="00452CD1"/>
    <w:rsid w:val="00462D50"/>
    <w:rsid w:val="00465A41"/>
    <w:rsid w:val="0046706E"/>
    <w:rsid w:val="00467D59"/>
    <w:rsid w:val="00474DF6"/>
    <w:rsid w:val="00480E7B"/>
    <w:rsid w:val="00481BC2"/>
    <w:rsid w:val="004846FB"/>
    <w:rsid w:val="00485278"/>
    <w:rsid w:val="004921E2"/>
    <w:rsid w:val="00492DFB"/>
    <w:rsid w:val="00493A60"/>
    <w:rsid w:val="004A438D"/>
    <w:rsid w:val="004A457E"/>
    <w:rsid w:val="004B0E4D"/>
    <w:rsid w:val="004B50AF"/>
    <w:rsid w:val="004C3884"/>
    <w:rsid w:val="004D059C"/>
    <w:rsid w:val="004D4240"/>
    <w:rsid w:val="004D7357"/>
    <w:rsid w:val="004E3D15"/>
    <w:rsid w:val="00505491"/>
    <w:rsid w:val="005056AC"/>
    <w:rsid w:val="005253B2"/>
    <w:rsid w:val="005270EF"/>
    <w:rsid w:val="00532007"/>
    <w:rsid w:val="00556AD2"/>
    <w:rsid w:val="00561D47"/>
    <w:rsid w:val="00561E18"/>
    <w:rsid w:val="0056264D"/>
    <w:rsid w:val="00562EBE"/>
    <w:rsid w:val="00563C30"/>
    <w:rsid w:val="00564C17"/>
    <w:rsid w:val="005663F3"/>
    <w:rsid w:val="0057062F"/>
    <w:rsid w:val="00575FBC"/>
    <w:rsid w:val="00576710"/>
    <w:rsid w:val="00586913"/>
    <w:rsid w:val="00587A2B"/>
    <w:rsid w:val="00593109"/>
    <w:rsid w:val="00593496"/>
    <w:rsid w:val="00596B7B"/>
    <w:rsid w:val="005A1394"/>
    <w:rsid w:val="005A24F9"/>
    <w:rsid w:val="005A7589"/>
    <w:rsid w:val="005C1FE5"/>
    <w:rsid w:val="005C34CA"/>
    <w:rsid w:val="005E5C8F"/>
    <w:rsid w:val="005E6BBA"/>
    <w:rsid w:val="005F419F"/>
    <w:rsid w:val="00600507"/>
    <w:rsid w:val="00600C17"/>
    <w:rsid w:val="00601F2D"/>
    <w:rsid w:val="00602A7A"/>
    <w:rsid w:val="0060463D"/>
    <w:rsid w:val="00605474"/>
    <w:rsid w:val="00605F4A"/>
    <w:rsid w:val="006100F9"/>
    <w:rsid w:val="00627B21"/>
    <w:rsid w:val="00635FF9"/>
    <w:rsid w:val="006434F8"/>
    <w:rsid w:val="00644A0F"/>
    <w:rsid w:val="00656898"/>
    <w:rsid w:val="00662091"/>
    <w:rsid w:val="00665C76"/>
    <w:rsid w:val="00676D48"/>
    <w:rsid w:val="0067747C"/>
    <w:rsid w:val="0068646A"/>
    <w:rsid w:val="006937ED"/>
    <w:rsid w:val="006A14DF"/>
    <w:rsid w:val="006A61CB"/>
    <w:rsid w:val="006B184C"/>
    <w:rsid w:val="006B38C5"/>
    <w:rsid w:val="006C3A66"/>
    <w:rsid w:val="006C3B55"/>
    <w:rsid w:val="006D261E"/>
    <w:rsid w:val="006D5596"/>
    <w:rsid w:val="006E50BA"/>
    <w:rsid w:val="006E6F87"/>
    <w:rsid w:val="006F576E"/>
    <w:rsid w:val="0070749F"/>
    <w:rsid w:val="0072119E"/>
    <w:rsid w:val="00726540"/>
    <w:rsid w:val="00730438"/>
    <w:rsid w:val="00740482"/>
    <w:rsid w:val="0075475A"/>
    <w:rsid w:val="00760B2C"/>
    <w:rsid w:val="007750D2"/>
    <w:rsid w:val="00776EFA"/>
    <w:rsid w:val="0078102B"/>
    <w:rsid w:val="0078653E"/>
    <w:rsid w:val="0079126F"/>
    <w:rsid w:val="0079717B"/>
    <w:rsid w:val="00797FCD"/>
    <w:rsid w:val="007A5EFE"/>
    <w:rsid w:val="007B1F6A"/>
    <w:rsid w:val="007C1472"/>
    <w:rsid w:val="007C4090"/>
    <w:rsid w:val="007D2A6D"/>
    <w:rsid w:val="007E4980"/>
    <w:rsid w:val="00800C5F"/>
    <w:rsid w:val="00811CA5"/>
    <w:rsid w:val="00813520"/>
    <w:rsid w:val="00813CAF"/>
    <w:rsid w:val="00843A6E"/>
    <w:rsid w:val="00844D36"/>
    <w:rsid w:val="008520BD"/>
    <w:rsid w:val="00873846"/>
    <w:rsid w:val="00874ED8"/>
    <w:rsid w:val="00884215"/>
    <w:rsid w:val="0088730B"/>
    <w:rsid w:val="008A4B2E"/>
    <w:rsid w:val="008B2751"/>
    <w:rsid w:val="008B4E23"/>
    <w:rsid w:val="008C51CA"/>
    <w:rsid w:val="008C5799"/>
    <w:rsid w:val="008D3F3C"/>
    <w:rsid w:val="008E00B9"/>
    <w:rsid w:val="008E07B9"/>
    <w:rsid w:val="008E61CE"/>
    <w:rsid w:val="008F26F2"/>
    <w:rsid w:val="008F3E65"/>
    <w:rsid w:val="008F5CFC"/>
    <w:rsid w:val="008F7CC1"/>
    <w:rsid w:val="00900875"/>
    <w:rsid w:val="009132AD"/>
    <w:rsid w:val="00930CDA"/>
    <w:rsid w:val="00933842"/>
    <w:rsid w:val="00940678"/>
    <w:rsid w:val="009421E4"/>
    <w:rsid w:val="009451B3"/>
    <w:rsid w:val="009472FA"/>
    <w:rsid w:val="00952CBD"/>
    <w:rsid w:val="009539AC"/>
    <w:rsid w:val="00954B45"/>
    <w:rsid w:val="00955466"/>
    <w:rsid w:val="00955525"/>
    <w:rsid w:val="00956450"/>
    <w:rsid w:val="00962AE8"/>
    <w:rsid w:val="0096796F"/>
    <w:rsid w:val="00967EA4"/>
    <w:rsid w:val="00971A83"/>
    <w:rsid w:val="0097390A"/>
    <w:rsid w:val="00976157"/>
    <w:rsid w:val="00981387"/>
    <w:rsid w:val="00985001"/>
    <w:rsid w:val="00994629"/>
    <w:rsid w:val="00997887"/>
    <w:rsid w:val="009B26D5"/>
    <w:rsid w:val="009C4962"/>
    <w:rsid w:val="009C4C89"/>
    <w:rsid w:val="009D0276"/>
    <w:rsid w:val="009D5B62"/>
    <w:rsid w:val="009E5A4B"/>
    <w:rsid w:val="009F1505"/>
    <w:rsid w:val="009F7589"/>
    <w:rsid w:val="00A0196C"/>
    <w:rsid w:val="00A02407"/>
    <w:rsid w:val="00A03F07"/>
    <w:rsid w:val="00A05794"/>
    <w:rsid w:val="00A07AA8"/>
    <w:rsid w:val="00A22470"/>
    <w:rsid w:val="00A242C9"/>
    <w:rsid w:val="00A322DB"/>
    <w:rsid w:val="00A5491D"/>
    <w:rsid w:val="00A56EFA"/>
    <w:rsid w:val="00A745D4"/>
    <w:rsid w:val="00A74BCC"/>
    <w:rsid w:val="00A74C67"/>
    <w:rsid w:val="00A80A72"/>
    <w:rsid w:val="00A87776"/>
    <w:rsid w:val="00A91E0B"/>
    <w:rsid w:val="00A92AD6"/>
    <w:rsid w:val="00AB49D5"/>
    <w:rsid w:val="00AC2B10"/>
    <w:rsid w:val="00AC4BD4"/>
    <w:rsid w:val="00AC54E9"/>
    <w:rsid w:val="00AD42E6"/>
    <w:rsid w:val="00AD4452"/>
    <w:rsid w:val="00AD5388"/>
    <w:rsid w:val="00AD6A8D"/>
    <w:rsid w:val="00AD7132"/>
    <w:rsid w:val="00AE637B"/>
    <w:rsid w:val="00AE63B9"/>
    <w:rsid w:val="00AF1F60"/>
    <w:rsid w:val="00AF56E3"/>
    <w:rsid w:val="00B10AD7"/>
    <w:rsid w:val="00B15D52"/>
    <w:rsid w:val="00B23551"/>
    <w:rsid w:val="00B246CA"/>
    <w:rsid w:val="00B25289"/>
    <w:rsid w:val="00B332AD"/>
    <w:rsid w:val="00B44960"/>
    <w:rsid w:val="00B44F32"/>
    <w:rsid w:val="00B44F99"/>
    <w:rsid w:val="00B4637A"/>
    <w:rsid w:val="00B46CF2"/>
    <w:rsid w:val="00B47765"/>
    <w:rsid w:val="00B51035"/>
    <w:rsid w:val="00B57D38"/>
    <w:rsid w:val="00B6498B"/>
    <w:rsid w:val="00B77490"/>
    <w:rsid w:val="00B84CED"/>
    <w:rsid w:val="00B93B74"/>
    <w:rsid w:val="00BA2E7C"/>
    <w:rsid w:val="00BA4CEA"/>
    <w:rsid w:val="00BB568D"/>
    <w:rsid w:val="00BC08CD"/>
    <w:rsid w:val="00BC69F7"/>
    <w:rsid w:val="00BC6D60"/>
    <w:rsid w:val="00BD47B3"/>
    <w:rsid w:val="00BE2EF9"/>
    <w:rsid w:val="00BE4E2A"/>
    <w:rsid w:val="00BF1EFB"/>
    <w:rsid w:val="00BF7C85"/>
    <w:rsid w:val="00C10F92"/>
    <w:rsid w:val="00C15B24"/>
    <w:rsid w:val="00C26EED"/>
    <w:rsid w:val="00C35FE3"/>
    <w:rsid w:val="00C6291A"/>
    <w:rsid w:val="00C641C4"/>
    <w:rsid w:val="00C67092"/>
    <w:rsid w:val="00C67E3F"/>
    <w:rsid w:val="00C704AC"/>
    <w:rsid w:val="00C728B6"/>
    <w:rsid w:val="00C96CB5"/>
    <w:rsid w:val="00CA0BFF"/>
    <w:rsid w:val="00CB0E51"/>
    <w:rsid w:val="00CB60D6"/>
    <w:rsid w:val="00CD4C40"/>
    <w:rsid w:val="00CD5A65"/>
    <w:rsid w:val="00CD674C"/>
    <w:rsid w:val="00CE1DFC"/>
    <w:rsid w:val="00CE4602"/>
    <w:rsid w:val="00D0173D"/>
    <w:rsid w:val="00D05CC1"/>
    <w:rsid w:val="00D062F0"/>
    <w:rsid w:val="00D10094"/>
    <w:rsid w:val="00D11876"/>
    <w:rsid w:val="00D218F6"/>
    <w:rsid w:val="00D225A5"/>
    <w:rsid w:val="00D43C65"/>
    <w:rsid w:val="00D44388"/>
    <w:rsid w:val="00D54FEE"/>
    <w:rsid w:val="00D57C74"/>
    <w:rsid w:val="00D607DA"/>
    <w:rsid w:val="00D60A23"/>
    <w:rsid w:val="00D6223E"/>
    <w:rsid w:val="00D91A83"/>
    <w:rsid w:val="00D921C4"/>
    <w:rsid w:val="00D93FD5"/>
    <w:rsid w:val="00D94FDB"/>
    <w:rsid w:val="00DA3876"/>
    <w:rsid w:val="00DA480C"/>
    <w:rsid w:val="00DA609F"/>
    <w:rsid w:val="00DB5F87"/>
    <w:rsid w:val="00DB6ACC"/>
    <w:rsid w:val="00DC3F46"/>
    <w:rsid w:val="00DD18AC"/>
    <w:rsid w:val="00DE6303"/>
    <w:rsid w:val="00DE6913"/>
    <w:rsid w:val="00DF488E"/>
    <w:rsid w:val="00E1679E"/>
    <w:rsid w:val="00E21591"/>
    <w:rsid w:val="00E33B25"/>
    <w:rsid w:val="00E3427F"/>
    <w:rsid w:val="00E457AB"/>
    <w:rsid w:val="00E50BBB"/>
    <w:rsid w:val="00E53866"/>
    <w:rsid w:val="00E5497C"/>
    <w:rsid w:val="00E54F66"/>
    <w:rsid w:val="00E577CC"/>
    <w:rsid w:val="00E60FEE"/>
    <w:rsid w:val="00E66403"/>
    <w:rsid w:val="00E66C99"/>
    <w:rsid w:val="00E70619"/>
    <w:rsid w:val="00E70A80"/>
    <w:rsid w:val="00E92860"/>
    <w:rsid w:val="00EA522E"/>
    <w:rsid w:val="00EA5C0C"/>
    <w:rsid w:val="00EA783C"/>
    <w:rsid w:val="00EB1EA0"/>
    <w:rsid w:val="00EB2663"/>
    <w:rsid w:val="00EC44B3"/>
    <w:rsid w:val="00EC4591"/>
    <w:rsid w:val="00EE7469"/>
    <w:rsid w:val="00EF6E03"/>
    <w:rsid w:val="00F01ED9"/>
    <w:rsid w:val="00F0635A"/>
    <w:rsid w:val="00F17896"/>
    <w:rsid w:val="00F251C3"/>
    <w:rsid w:val="00F33589"/>
    <w:rsid w:val="00F35628"/>
    <w:rsid w:val="00F403E6"/>
    <w:rsid w:val="00F40870"/>
    <w:rsid w:val="00F45783"/>
    <w:rsid w:val="00F45C68"/>
    <w:rsid w:val="00F51480"/>
    <w:rsid w:val="00F55324"/>
    <w:rsid w:val="00F70141"/>
    <w:rsid w:val="00F8413A"/>
    <w:rsid w:val="00F845B1"/>
    <w:rsid w:val="00F879CC"/>
    <w:rsid w:val="00FA6310"/>
    <w:rsid w:val="00FC10EF"/>
    <w:rsid w:val="00FC57A3"/>
    <w:rsid w:val="00FD3445"/>
    <w:rsid w:val="00FD5A7B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50"/>
    <w:rPr>
      <w:lang w:val="es-ES" w:eastAsia="en-US"/>
    </w:rPr>
  </w:style>
  <w:style w:type="paragraph" w:styleId="Heading1">
    <w:name w:val="heading 1"/>
    <w:basedOn w:val="Normal"/>
    <w:next w:val="Normal"/>
    <w:qFormat/>
    <w:rsid w:val="00956450"/>
    <w:pPr>
      <w:keepNext/>
      <w:jc w:val="center"/>
      <w:outlineLvl w:val="0"/>
    </w:pPr>
    <w:rPr>
      <w:rFonts w:ascii="Times New Roman Bold" w:hAnsi="Times New Roman Bold"/>
      <w:b/>
      <w:bCs/>
      <w:cap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645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">
    <w:name w:val="Body Text"/>
    <w:basedOn w:val="Default"/>
    <w:next w:val="Default"/>
    <w:rsid w:val="00956450"/>
    <w:rPr>
      <w:color w:val="auto"/>
    </w:rPr>
  </w:style>
  <w:style w:type="paragraph" w:styleId="ListBullet">
    <w:name w:val="List Bullet"/>
    <w:basedOn w:val="Normal"/>
    <w:rsid w:val="00956450"/>
    <w:pPr>
      <w:numPr>
        <w:numId w:val="2"/>
      </w:numPr>
      <w:tabs>
        <w:tab w:val="clear" w:pos="360"/>
        <w:tab w:val="num" w:pos="720"/>
      </w:tabs>
      <w:spacing w:after="240"/>
      <w:ind w:left="720" w:hanging="720"/>
    </w:pPr>
    <w:rPr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9564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64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6450"/>
  </w:style>
  <w:style w:type="paragraph" w:styleId="BodyText2">
    <w:name w:val="Body Text 2"/>
    <w:basedOn w:val="Normal"/>
    <w:rsid w:val="00956450"/>
    <w:pPr>
      <w:spacing w:before="60" w:after="60"/>
    </w:pPr>
    <w:rPr>
      <w:b/>
      <w:bCs/>
      <w:lang w:val="en-US"/>
    </w:rPr>
  </w:style>
  <w:style w:type="paragraph" w:styleId="BodyText3">
    <w:name w:val="Body Text 3"/>
    <w:basedOn w:val="Normal"/>
    <w:rsid w:val="00956450"/>
    <w:pPr>
      <w:spacing w:before="60" w:after="60"/>
    </w:pPr>
    <w:rPr>
      <w:sz w:val="22"/>
      <w:lang w:val="en-US"/>
    </w:rPr>
  </w:style>
  <w:style w:type="character" w:styleId="FootnoteReference">
    <w:name w:val="footnote reference"/>
    <w:aliases w:val="ftref"/>
    <w:basedOn w:val="DefaultParagraphFont"/>
    <w:semiHidden/>
    <w:rsid w:val="003A211F"/>
    <w:rPr>
      <w:vertAlign w:val="superscript"/>
    </w:rPr>
  </w:style>
  <w:style w:type="paragraph" w:styleId="FootnoteText">
    <w:name w:val="footnote text"/>
    <w:aliases w:val="fn,FOOTNOTES,single space,ALTS FOOTNOTE,Footnote Text Char1,Footnote Text Char Char,Note de bas de page Car,footnote text,Footnote Text Char,Fodnotetekst Tegn,Fodnotetekst Tegn Char,footnote text Char Char Char"/>
    <w:basedOn w:val="Normal"/>
    <w:semiHidden/>
    <w:rsid w:val="003A211F"/>
    <w:rPr>
      <w:lang w:val="en-US"/>
    </w:rPr>
  </w:style>
  <w:style w:type="character" w:styleId="CommentReference">
    <w:name w:val="annotation reference"/>
    <w:basedOn w:val="DefaultParagraphFont"/>
    <w:semiHidden/>
    <w:rsid w:val="00BB568D"/>
    <w:rPr>
      <w:sz w:val="16"/>
      <w:szCs w:val="16"/>
    </w:rPr>
  </w:style>
  <w:style w:type="paragraph" w:styleId="CommentText">
    <w:name w:val="annotation text"/>
    <w:basedOn w:val="Normal"/>
    <w:semiHidden/>
    <w:rsid w:val="00BB568D"/>
  </w:style>
  <w:style w:type="paragraph" w:styleId="CommentSubject">
    <w:name w:val="annotation subject"/>
    <w:basedOn w:val="CommentText"/>
    <w:next w:val="CommentText"/>
    <w:semiHidden/>
    <w:rsid w:val="00BB568D"/>
    <w:rPr>
      <w:b/>
      <w:bCs/>
    </w:rPr>
  </w:style>
  <w:style w:type="paragraph" w:styleId="BalloonText">
    <w:name w:val="Balloon Text"/>
    <w:basedOn w:val="Normal"/>
    <w:semiHidden/>
    <w:rsid w:val="00BB568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E50BA"/>
    <w:rPr>
      <w:lang w:val="es-E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50BA"/>
    <w:rPr>
      <w:lang w:val="es-ES" w:eastAsia="en-US"/>
    </w:rPr>
  </w:style>
  <w:style w:type="paragraph" w:styleId="ListParagraph">
    <w:name w:val="List Paragraph"/>
    <w:basedOn w:val="Normal"/>
    <w:uiPriority w:val="34"/>
    <w:qFormat/>
    <w:rsid w:val="006A61CB"/>
    <w:pPr>
      <w:ind w:left="720"/>
      <w:contextualSpacing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03F07"/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03F07"/>
    <w:rPr>
      <w:lang w:val="en-US" w:eastAsia="en-US"/>
    </w:rPr>
  </w:style>
  <w:style w:type="character" w:styleId="EndnoteReference">
    <w:name w:val="endnote reference"/>
    <w:basedOn w:val="DefaultParagraphFont"/>
    <w:uiPriority w:val="99"/>
    <w:unhideWhenUsed/>
    <w:rsid w:val="00A03F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50"/>
    <w:rPr>
      <w:lang w:val="es-ES" w:eastAsia="en-US"/>
    </w:rPr>
  </w:style>
  <w:style w:type="paragraph" w:styleId="Heading1">
    <w:name w:val="heading 1"/>
    <w:basedOn w:val="Normal"/>
    <w:next w:val="Normal"/>
    <w:qFormat/>
    <w:rsid w:val="00956450"/>
    <w:pPr>
      <w:keepNext/>
      <w:jc w:val="center"/>
      <w:outlineLvl w:val="0"/>
    </w:pPr>
    <w:rPr>
      <w:rFonts w:ascii="Times New Roman Bold" w:hAnsi="Times New Roman Bold"/>
      <w:b/>
      <w:bCs/>
      <w:cap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645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">
    <w:name w:val="Body Text"/>
    <w:basedOn w:val="Default"/>
    <w:next w:val="Default"/>
    <w:rsid w:val="00956450"/>
    <w:rPr>
      <w:color w:val="auto"/>
    </w:rPr>
  </w:style>
  <w:style w:type="paragraph" w:styleId="ListBullet">
    <w:name w:val="List Bullet"/>
    <w:basedOn w:val="Normal"/>
    <w:rsid w:val="00956450"/>
    <w:pPr>
      <w:numPr>
        <w:numId w:val="2"/>
      </w:numPr>
      <w:tabs>
        <w:tab w:val="clear" w:pos="360"/>
        <w:tab w:val="num" w:pos="720"/>
      </w:tabs>
      <w:spacing w:after="240"/>
      <w:ind w:left="720" w:hanging="720"/>
    </w:pPr>
    <w:rPr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9564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64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6450"/>
  </w:style>
  <w:style w:type="paragraph" w:styleId="BodyText2">
    <w:name w:val="Body Text 2"/>
    <w:basedOn w:val="Normal"/>
    <w:rsid w:val="00956450"/>
    <w:pPr>
      <w:spacing w:before="60" w:after="60"/>
    </w:pPr>
    <w:rPr>
      <w:b/>
      <w:bCs/>
      <w:lang w:val="en-US"/>
    </w:rPr>
  </w:style>
  <w:style w:type="paragraph" w:styleId="BodyText3">
    <w:name w:val="Body Text 3"/>
    <w:basedOn w:val="Normal"/>
    <w:rsid w:val="00956450"/>
    <w:pPr>
      <w:spacing w:before="60" w:after="60"/>
    </w:pPr>
    <w:rPr>
      <w:sz w:val="22"/>
      <w:lang w:val="en-US"/>
    </w:rPr>
  </w:style>
  <w:style w:type="character" w:styleId="FootnoteReference">
    <w:name w:val="footnote reference"/>
    <w:aliases w:val="ftref"/>
    <w:basedOn w:val="DefaultParagraphFont"/>
    <w:semiHidden/>
    <w:rsid w:val="003A211F"/>
    <w:rPr>
      <w:vertAlign w:val="superscript"/>
    </w:rPr>
  </w:style>
  <w:style w:type="paragraph" w:styleId="FootnoteText">
    <w:name w:val="footnote text"/>
    <w:aliases w:val="fn,FOOTNOTES,single space,ALTS FOOTNOTE,Footnote Text Char1,Footnote Text Char Char,Note de bas de page Car,footnote text,Footnote Text Char,Fodnotetekst Tegn,Fodnotetekst Tegn Char,footnote text Char Char Char"/>
    <w:basedOn w:val="Normal"/>
    <w:semiHidden/>
    <w:rsid w:val="003A211F"/>
    <w:rPr>
      <w:lang w:val="en-US"/>
    </w:rPr>
  </w:style>
  <w:style w:type="character" w:styleId="CommentReference">
    <w:name w:val="annotation reference"/>
    <w:basedOn w:val="DefaultParagraphFont"/>
    <w:semiHidden/>
    <w:rsid w:val="00BB568D"/>
    <w:rPr>
      <w:sz w:val="16"/>
      <w:szCs w:val="16"/>
    </w:rPr>
  </w:style>
  <w:style w:type="paragraph" w:styleId="CommentText">
    <w:name w:val="annotation text"/>
    <w:basedOn w:val="Normal"/>
    <w:semiHidden/>
    <w:rsid w:val="00BB568D"/>
  </w:style>
  <w:style w:type="paragraph" w:styleId="CommentSubject">
    <w:name w:val="annotation subject"/>
    <w:basedOn w:val="CommentText"/>
    <w:next w:val="CommentText"/>
    <w:semiHidden/>
    <w:rsid w:val="00BB568D"/>
    <w:rPr>
      <w:b/>
      <w:bCs/>
    </w:rPr>
  </w:style>
  <w:style w:type="paragraph" w:styleId="BalloonText">
    <w:name w:val="Balloon Text"/>
    <w:basedOn w:val="Normal"/>
    <w:semiHidden/>
    <w:rsid w:val="00BB568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E50BA"/>
    <w:rPr>
      <w:lang w:val="es-E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50BA"/>
    <w:rPr>
      <w:lang w:val="es-ES" w:eastAsia="en-US"/>
    </w:rPr>
  </w:style>
  <w:style w:type="paragraph" w:styleId="ListParagraph">
    <w:name w:val="List Paragraph"/>
    <w:basedOn w:val="Normal"/>
    <w:uiPriority w:val="34"/>
    <w:qFormat/>
    <w:rsid w:val="006A61CB"/>
    <w:pPr>
      <w:ind w:left="720"/>
      <w:contextualSpacing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03F07"/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03F07"/>
    <w:rPr>
      <w:lang w:val="en-US" w:eastAsia="en-US"/>
    </w:rPr>
  </w:style>
  <w:style w:type="character" w:styleId="EndnoteReference">
    <w:name w:val="endnote reference"/>
    <w:basedOn w:val="DefaultParagraphFont"/>
    <w:uiPriority w:val="99"/>
    <w:unhideWhenUsed/>
    <w:rsid w:val="00A03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9AE5-65A3-4A0D-A68C-18AB7796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591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</vt:lpstr>
    </vt:vector>
  </TitlesOfParts>
  <Company>Inter-American Development Bank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</dc:title>
  <dc:creator>SANDRAB</dc:creator>
  <cp:lastModifiedBy>Test</cp:lastModifiedBy>
  <cp:revision>8</cp:revision>
  <cp:lastPrinted>2012-10-23T19:00:00Z</cp:lastPrinted>
  <dcterms:created xsi:type="dcterms:W3CDTF">2013-09-11T17:45:00Z</dcterms:created>
  <dcterms:modified xsi:type="dcterms:W3CDTF">2013-10-16T18:39:00Z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AIL_MSG_ID1">
    <vt:lpwstr>GEAAO+/T9t20xwnnON4HxhyXriVvMGJJAX5EfoAz1Y4ptU41GyEFhAgOBe+IgaWuTlkABxG3Z9aYWjXG
0frh1rroU3dUlPClHgsu/MYGNmP5NU0R3hVbG17qBhhB6fzMIeTO3zsjNA5v+UIkoOFXglZsliUg
pBPtcvDgSvC9FRvBHqRPKJhbmSvM5P2bwcKB3ztg580mQxaGtq1bugW1bU2ujPZfgNkzkF/hQGip
w4Yi8G0h+fkFR1SDN</vt:lpwstr>
  </property>
  <property fmtid="{D5CDD505-2E9C-101B-9397-08002B2CF9AE}" pid="4" name="MAIL_MSG_ID2">
    <vt:lpwstr>DB2NwZ/r4Wa</vt:lpwstr>
  </property>
  <property fmtid="{D5CDD505-2E9C-101B-9397-08002B2CF9AE}" pid="5" name="RESPONSE_SENDER_NAME">
    <vt:lpwstr>gAAAdya76B99d4hLGUR1rQ+8TxTv0GGEPdix</vt:lpwstr>
  </property>
  <property fmtid="{D5CDD505-2E9C-101B-9397-08002B2CF9AE}" pid="6" name="EMAIL_OWNER_ADDRESS">
    <vt:lpwstr>4AAA9mrMv1QjWAvDkekimMOQI8a6GaFEyg23+HvDbLd5s97w35L+or3Vzg==</vt:lpwstr>
  </property>
</Properties>
</file>