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38" w:rsidRPr="00A02538" w:rsidRDefault="00A02538" w:rsidP="00A02538">
      <w:pPr>
        <w:jc w:val="center"/>
        <w:rPr>
          <w:b/>
          <w:lang w:val="en-US"/>
        </w:rPr>
      </w:pPr>
      <w:r w:rsidRPr="00A02538">
        <w:rPr>
          <w:b/>
          <w:lang w:val="en-US"/>
        </w:rPr>
        <w:t>SURINAME: Support to the Institutional and Operational Strengthening of the Energy Sector</w:t>
      </w:r>
      <w:r w:rsidR="000C1B58">
        <w:rPr>
          <w:b/>
          <w:lang w:val="en-US"/>
        </w:rPr>
        <w:t xml:space="preserve"> II</w:t>
      </w:r>
      <w:r w:rsidRPr="00A02538">
        <w:rPr>
          <w:b/>
          <w:lang w:val="en-US"/>
        </w:rPr>
        <w:t xml:space="preserve"> (SU-L10</w:t>
      </w:r>
      <w:r w:rsidR="000C1B58">
        <w:rPr>
          <w:b/>
          <w:lang w:val="en-US"/>
        </w:rPr>
        <w:t>35</w:t>
      </w:r>
      <w:r w:rsidRPr="00A02538">
        <w:rPr>
          <w:b/>
          <w:lang w:val="en-US"/>
        </w:rPr>
        <w:t>)</w:t>
      </w:r>
    </w:p>
    <w:p w:rsidR="00A02538" w:rsidRDefault="00A02538" w:rsidP="00A02538">
      <w:pPr>
        <w:jc w:val="center"/>
        <w:rPr>
          <w:b/>
        </w:rPr>
      </w:pPr>
      <w:r>
        <w:rPr>
          <w:b/>
        </w:rPr>
        <w:t>RESULTS</w:t>
      </w:r>
      <w:r w:rsidRPr="00503B17">
        <w:rPr>
          <w:b/>
        </w:rPr>
        <w:t xml:space="preserve"> MATRIX</w:t>
      </w:r>
    </w:p>
    <w:p w:rsidR="00A02538" w:rsidRPr="00503B17" w:rsidRDefault="00A02538" w:rsidP="00A02538">
      <w:pPr>
        <w:jc w:val="center"/>
        <w:rPr>
          <w:b/>
        </w:rPr>
      </w:pPr>
    </w:p>
    <w:tbl>
      <w:tblPr>
        <w:tblpPr w:leftFromText="141" w:rightFromText="141" w:vertAnchor="page" w:horzAnchor="page" w:tblpX="894" w:tblpY="2429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2520"/>
        <w:gridCol w:w="1530"/>
        <w:gridCol w:w="1980"/>
      </w:tblGrid>
      <w:tr w:rsidR="00A02538" w:rsidTr="00A02538">
        <w:trPr>
          <w:trHeight w:val="306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2538" w:rsidRPr="000072AB" w:rsidRDefault="00A02538" w:rsidP="00A025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72AB">
              <w:rPr>
                <w:b/>
                <w:sz w:val="18"/>
                <w:szCs w:val="18"/>
              </w:rPr>
              <w:t>Impact</w:t>
            </w:r>
            <w:proofErr w:type="spellEnd"/>
          </w:p>
        </w:tc>
        <w:tc>
          <w:tcPr>
            <w:tcW w:w="540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2538" w:rsidRPr="00CF4837" w:rsidRDefault="00A02538" w:rsidP="00A025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2538" w:rsidRPr="00CF4837" w:rsidRDefault="00A02538" w:rsidP="00A025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Baseline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2538" w:rsidRPr="00CF4837" w:rsidRDefault="00A02538" w:rsidP="00A02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(2015)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2538" w:rsidRDefault="00A02538" w:rsidP="00A025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Verification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Means</w:t>
            </w:r>
            <w:proofErr w:type="spellEnd"/>
          </w:p>
        </w:tc>
      </w:tr>
      <w:tr w:rsidR="00A02538" w:rsidRPr="00FA7429" w:rsidTr="00833A61">
        <w:trPr>
          <w:tblHeader/>
        </w:trPr>
        <w:tc>
          <w:tcPr>
            <w:tcW w:w="2808" w:type="dxa"/>
            <w:shd w:val="clear" w:color="auto" w:fill="auto"/>
            <w:vAlign w:val="center"/>
          </w:tcPr>
          <w:p w:rsidR="00A02538" w:rsidRPr="00FA7429" w:rsidRDefault="00A02538" w:rsidP="00833A61">
            <w:pPr>
              <w:pStyle w:val="Default"/>
              <w:spacing w:beforeLines="40" w:before="96" w:afterLines="40" w:after="96"/>
              <w:rPr>
                <w:color w:val="auto"/>
                <w:sz w:val="20"/>
                <w:szCs w:val="20"/>
              </w:rPr>
            </w:pPr>
            <w:r w:rsidRPr="00FA7429">
              <w:rPr>
                <w:color w:val="auto"/>
                <w:sz w:val="20"/>
                <w:szCs w:val="20"/>
              </w:rPr>
              <w:t>Increased electricity coverage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02538" w:rsidRPr="00FA7429" w:rsidRDefault="00A02538" w:rsidP="00833A61">
            <w:pPr>
              <w:autoSpaceDE w:val="0"/>
              <w:autoSpaceDN w:val="0"/>
              <w:adjustRightInd w:val="0"/>
              <w:rPr>
                <w:lang w:val="en-US" w:eastAsia="es-ES_tradnl"/>
              </w:rPr>
            </w:pPr>
            <w:r w:rsidRPr="00FA7429">
              <w:rPr>
                <w:lang w:val="en-US" w:eastAsia="es-ES_tradnl"/>
              </w:rPr>
              <w:t>Percentage of the population</w:t>
            </w:r>
            <w:r w:rsidR="0058669F" w:rsidRPr="00FA7429">
              <w:rPr>
                <w:lang w:val="en-US" w:eastAsia="es-ES_tradnl"/>
              </w:rPr>
              <w:t xml:space="preserve"> </w:t>
            </w:r>
            <w:r w:rsidRPr="00FA7429">
              <w:rPr>
                <w:lang w:val="en-US" w:eastAsia="es-ES_tradnl"/>
              </w:rPr>
              <w:t>with access to electricity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02538" w:rsidRPr="00FA7429" w:rsidRDefault="00A02538" w:rsidP="00833A61">
            <w:pPr>
              <w:pStyle w:val="BodyText"/>
              <w:spacing w:before="60" w:after="60"/>
              <w:rPr>
                <w:i/>
                <w:sz w:val="20"/>
                <w:szCs w:val="20"/>
              </w:rPr>
            </w:pPr>
            <w:r w:rsidRPr="00FA7429">
              <w:rPr>
                <w:i/>
                <w:sz w:val="20"/>
                <w:szCs w:val="20"/>
              </w:rPr>
              <w:t>Baseline (2010): 85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2538" w:rsidRPr="00FA7429" w:rsidRDefault="00A02538" w:rsidP="00833A61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 w:rsidRPr="00FA7429">
              <w:rPr>
                <w:sz w:val="20"/>
                <w:szCs w:val="20"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2538" w:rsidRPr="00FA7429" w:rsidRDefault="00A02538" w:rsidP="00833A61">
            <w:pPr>
              <w:pStyle w:val="BodyText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FA7429">
              <w:rPr>
                <w:sz w:val="20"/>
                <w:szCs w:val="20"/>
              </w:rPr>
              <w:t>Report EBS</w:t>
            </w:r>
          </w:p>
        </w:tc>
      </w:tr>
      <w:tr w:rsidR="00A02538" w:rsidRPr="00FA7429" w:rsidTr="00833A61">
        <w:trPr>
          <w:tblHeader/>
        </w:trPr>
        <w:tc>
          <w:tcPr>
            <w:tcW w:w="2808" w:type="dxa"/>
            <w:shd w:val="clear" w:color="auto" w:fill="auto"/>
            <w:vAlign w:val="center"/>
          </w:tcPr>
          <w:p w:rsidR="00A02538" w:rsidRPr="00FA7429" w:rsidRDefault="00A02538" w:rsidP="00833A61">
            <w:pPr>
              <w:autoSpaceDE w:val="0"/>
              <w:autoSpaceDN w:val="0"/>
              <w:adjustRightInd w:val="0"/>
              <w:rPr>
                <w:lang w:val="en-US" w:eastAsia="es-ES_tradnl"/>
              </w:rPr>
            </w:pPr>
            <w:r w:rsidRPr="00FA7429">
              <w:rPr>
                <w:lang w:val="en-US" w:eastAsia="es-ES_tradnl"/>
              </w:rPr>
              <w:t>Increased financial sustainability of power supply for interior locations.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02538" w:rsidRPr="00FA7429" w:rsidRDefault="00A02538" w:rsidP="00833A61">
            <w:pPr>
              <w:autoSpaceDE w:val="0"/>
              <w:autoSpaceDN w:val="0"/>
              <w:adjustRightInd w:val="0"/>
              <w:rPr>
                <w:lang w:val="en-US" w:eastAsia="es-ES_tradnl"/>
              </w:rPr>
            </w:pPr>
            <w:r w:rsidRPr="00FA7429">
              <w:rPr>
                <w:lang w:val="en-US" w:eastAsia="es-ES_tradnl"/>
              </w:rPr>
              <w:t xml:space="preserve">Percentage of cost recovery for electricity </w:t>
            </w:r>
            <w:proofErr w:type="gramStart"/>
            <w:r w:rsidRPr="00FA7429">
              <w:rPr>
                <w:lang w:val="en-US" w:eastAsia="es-ES_tradnl"/>
              </w:rPr>
              <w:t xml:space="preserve">supply </w:t>
            </w:r>
            <w:r w:rsidR="00651FC1" w:rsidRPr="00293856">
              <w:rPr>
                <w:lang w:val="en-US" w:eastAsia="es-ES_tradnl"/>
              </w:rPr>
              <w:t xml:space="preserve"> to</w:t>
            </w:r>
            <w:proofErr w:type="gramEnd"/>
            <w:r w:rsidR="00651FC1" w:rsidRPr="00293856">
              <w:rPr>
                <w:lang w:val="en-US" w:eastAsia="es-ES_tradnl"/>
              </w:rPr>
              <w:t xml:space="preserve"> isolated systems in the Hinterland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02538" w:rsidRPr="00FA7429" w:rsidRDefault="00A02538" w:rsidP="00833A61">
            <w:pPr>
              <w:pStyle w:val="BodyText"/>
              <w:spacing w:before="60" w:after="60"/>
              <w:rPr>
                <w:i/>
                <w:sz w:val="20"/>
                <w:szCs w:val="20"/>
              </w:rPr>
            </w:pPr>
            <w:r w:rsidRPr="00FA7429">
              <w:rPr>
                <w:i/>
                <w:sz w:val="20"/>
                <w:szCs w:val="20"/>
              </w:rPr>
              <w:t>Baseline (2011): 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2538" w:rsidRPr="00FA7429" w:rsidRDefault="00A02538" w:rsidP="00833A61">
            <w:pPr>
              <w:pStyle w:val="Body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FA742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2538" w:rsidRPr="00FA7429" w:rsidRDefault="00A02538" w:rsidP="00833A61">
            <w:pPr>
              <w:jc w:val="center"/>
              <w:rPr>
                <w:lang w:val="en-US"/>
              </w:rPr>
            </w:pPr>
            <w:r w:rsidRPr="00FA7429">
              <w:rPr>
                <w:lang w:val="en-US"/>
              </w:rPr>
              <w:t>MNH</w:t>
            </w:r>
          </w:p>
        </w:tc>
      </w:tr>
    </w:tbl>
    <w:p w:rsidR="00AD4395" w:rsidRPr="00FA7429" w:rsidRDefault="00AD4395">
      <w:pPr>
        <w:rPr>
          <w:lang w:val="en-US"/>
        </w:rPr>
      </w:pPr>
    </w:p>
    <w:p w:rsidR="00AD4395" w:rsidRPr="00FA7429" w:rsidRDefault="00AD4395">
      <w:pPr>
        <w:rPr>
          <w:lang w:val="en-US"/>
        </w:rPr>
      </w:pPr>
    </w:p>
    <w:tbl>
      <w:tblPr>
        <w:tblW w:w="5419" w:type="pct"/>
        <w:jc w:val="center"/>
        <w:tblInd w:w="-2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820"/>
        <w:gridCol w:w="2875"/>
        <w:gridCol w:w="2525"/>
        <w:gridCol w:w="2430"/>
        <w:gridCol w:w="37"/>
        <w:gridCol w:w="1545"/>
        <w:gridCol w:w="33"/>
        <w:gridCol w:w="1985"/>
        <w:gridCol w:w="30"/>
      </w:tblGrid>
      <w:tr w:rsidR="00AD4395" w:rsidRPr="00160822" w:rsidTr="00181B26">
        <w:trPr>
          <w:cantSplit/>
          <w:trHeight w:val="126"/>
          <w:tblHeader/>
          <w:jc w:val="center"/>
        </w:trPr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AD4395" w:rsidRPr="00160822" w:rsidRDefault="00AD4395" w:rsidP="00A74BCC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 w:rsidRPr="00160822">
              <w:rPr>
                <w:b/>
                <w:bCs/>
                <w:lang w:val="en-US"/>
              </w:rPr>
              <w:t>Objectives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AD4395" w:rsidRPr="00160822" w:rsidRDefault="00AD4395" w:rsidP="00942D3B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 w:rsidRPr="00160822">
              <w:rPr>
                <w:b/>
                <w:bCs/>
                <w:lang w:val="en-US"/>
              </w:rPr>
              <w:t>Results</w:t>
            </w:r>
          </w:p>
        </w:tc>
        <w:tc>
          <w:tcPr>
            <w:tcW w:w="2525" w:type="dxa"/>
            <w:shd w:val="clear" w:color="auto" w:fill="BFBFBF" w:themeFill="background1" w:themeFillShade="BF"/>
            <w:vAlign w:val="center"/>
          </w:tcPr>
          <w:p w:rsidR="00AD4395" w:rsidRPr="00160822" w:rsidRDefault="00AD4395" w:rsidP="00E50BBB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 w:rsidRPr="00160822">
              <w:rPr>
                <w:b/>
                <w:bCs/>
                <w:lang w:val="en-US"/>
              </w:rPr>
              <w:t>Indicators</w:t>
            </w:r>
          </w:p>
        </w:tc>
        <w:tc>
          <w:tcPr>
            <w:tcW w:w="2467" w:type="dxa"/>
            <w:gridSpan w:val="2"/>
            <w:shd w:val="clear" w:color="auto" w:fill="BFBFBF" w:themeFill="background1" w:themeFillShade="BF"/>
            <w:vAlign w:val="center"/>
          </w:tcPr>
          <w:p w:rsidR="00AD4395" w:rsidRPr="00160822" w:rsidRDefault="00AD4395" w:rsidP="007A44A3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 w:rsidRPr="00160822">
              <w:rPr>
                <w:b/>
                <w:bCs/>
                <w:lang w:val="en-US"/>
              </w:rPr>
              <w:t>Baseline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AD4395" w:rsidRPr="00160822" w:rsidRDefault="00AD4395" w:rsidP="007A44A3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 w:rsidRPr="00160822">
              <w:rPr>
                <w:b/>
                <w:bCs/>
                <w:lang w:val="en-US"/>
              </w:rPr>
              <w:t>Target</w:t>
            </w:r>
            <w:r w:rsidR="00181B26" w:rsidRPr="00160822">
              <w:rPr>
                <w:b/>
                <w:bCs/>
                <w:lang w:val="en-US"/>
              </w:rPr>
              <w:t xml:space="preserve"> (2015)</w:t>
            </w:r>
          </w:p>
        </w:tc>
        <w:tc>
          <w:tcPr>
            <w:tcW w:w="2015" w:type="dxa"/>
            <w:gridSpan w:val="2"/>
            <w:shd w:val="clear" w:color="auto" w:fill="BFBFBF" w:themeFill="background1" w:themeFillShade="BF"/>
          </w:tcPr>
          <w:p w:rsidR="00AD4395" w:rsidRPr="00160822" w:rsidRDefault="00AD4395" w:rsidP="007A44A3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 w:rsidRPr="00160822">
              <w:rPr>
                <w:b/>
                <w:bCs/>
                <w:lang w:val="en-US"/>
              </w:rPr>
              <w:t>Verification Means</w:t>
            </w:r>
          </w:p>
        </w:tc>
      </w:tr>
      <w:tr w:rsidR="00AD4395" w:rsidRPr="00160822" w:rsidTr="00181B26">
        <w:trPr>
          <w:cantSplit/>
          <w:trHeight w:val="30"/>
          <w:jc w:val="center"/>
        </w:trPr>
        <w:tc>
          <w:tcPr>
            <w:tcW w:w="10687" w:type="dxa"/>
            <w:gridSpan w:val="5"/>
          </w:tcPr>
          <w:p w:rsidR="00AD4395" w:rsidRPr="00160822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160822">
              <w:rPr>
                <w:b/>
                <w:sz w:val="20"/>
                <w:szCs w:val="20"/>
              </w:rPr>
              <w:t>I. Macroeconomic Stability</w:t>
            </w:r>
          </w:p>
        </w:tc>
        <w:tc>
          <w:tcPr>
            <w:tcW w:w="1578" w:type="dxa"/>
            <w:gridSpan w:val="2"/>
          </w:tcPr>
          <w:p w:rsidR="00AD4395" w:rsidRPr="00160822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AD4395" w:rsidRPr="00160822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AD4395" w:rsidRPr="00E7159F" w:rsidTr="00181B26">
        <w:trPr>
          <w:cantSplit/>
          <w:trHeight w:val="920"/>
          <w:jc w:val="center"/>
        </w:trPr>
        <w:tc>
          <w:tcPr>
            <w:tcW w:w="2820" w:type="dxa"/>
            <w:vAlign w:val="center"/>
          </w:tcPr>
          <w:p w:rsidR="00AD4395" w:rsidRPr="00160822" w:rsidRDefault="00AD4395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  <w:r w:rsidRPr="00160822">
              <w:rPr>
                <w:lang w:val="en-US"/>
              </w:rPr>
              <w:t>I.1. General Macroeconomic Framework is stable</w:t>
            </w:r>
          </w:p>
        </w:tc>
        <w:tc>
          <w:tcPr>
            <w:tcW w:w="2875" w:type="dxa"/>
            <w:vAlign w:val="center"/>
          </w:tcPr>
          <w:p w:rsidR="00AD4395" w:rsidRPr="00160822" w:rsidRDefault="00AD4395" w:rsidP="004A20C7">
            <w:pPr>
              <w:pStyle w:val="ListParagraph"/>
              <w:numPr>
                <w:ilvl w:val="0"/>
                <w:numId w:val="14"/>
              </w:numPr>
              <w:ind w:left="344" w:hanging="270"/>
              <w:jc w:val="both"/>
              <w:rPr>
                <w:lang w:val="en-US"/>
              </w:rPr>
            </w:pPr>
            <w:r w:rsidRPr="00160822">
              <w:rPr>
                <w:lang w:val="en-US"/>
              </w:rPr>
              <w:t>Macroeconomic framework is consistent with the objectives of the program and with policy letter.</w:t>
            </w:r>
          </w:p>
        </w:tc>
        <w:tc>
          <w:tcPr>
            <w:tcW w:w="2525" w:type="dxa"/>
            <w:vAlign w:val="center"/>
          </w:tcPr>
          <w:p w:rsidR="00AD4395" w:rsidRPr="006544CD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Lines="40" w:before="96" w:afterLines="40" w:after="96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>Technical opinion IMF</w:t>
            </w:r>
            <w:r w:rsidR="00833A61" w:rsidRPr="006544C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gridSpan w:val="2"/>
            <w:vAlign w:val="center"/>
          </w:tcPr>
          <w:p w:rsidR="00AD4395" w:rsidRPr="006544CD" w:rsidRDefault="00AD4395" w:rsidP="004A20C7">
            <w:pPr>
              <w:keepNext/>
              <w:spacing w:before="60" w:after="60"/>
              <w:ind w:left="-18"/>
              <w:jc w:val="both"/>
              <w:rPr>
                <w:lang w:val="en-US"/>
              </w:rPr>
            </w:pPr>
            <w:r w:rsidRPr="006544CD">
              <w:rPr>
                <w:lang w:val="en-US"/>
              </w:rPr>
              <w:t>Stable macroeconomic framework</w:t>
            </w:r>
            <w:r w:rsidR="0001206A" w:rsidRPr="006544CD">
              <w:rPr>
                <w:lang w:val="en-US"/>
              </w:rPr>
              <w:t xml:space="preserve"> (2011)</w:t>
            </w:r>
          </w:p>
        </w:tc>
        <w:tc>
          <w:tcPr>
            <w:tcW w:w="1578" w:type="dxa"/>
            <w:gridSpan w:val="2"/>
          </w:tcPr>
          <w:p w:rsidR="00AD4395" w:rsidRPr="006544CD" w:rsidRDefault="00AD4395" w:rsidP="004A20C7">
            <w:pPr>
              <w:keepNext/>
              <w:spacing w:before="60" w:after="60"/>
              <w:ind w:left="-18"/>
              <w:jc w:val="both"/>
              <w:rPr>
                <w:lang w:val="en-US"/>
              </w:rPr>
            </w:pPr>
            <w:r w:rsidRPr="006544CD">
              <w:rPr>
                <w:lang w:val="en-US"/>
              </w:rPr>
              <w:t>Stable macroeconomic framework</w:t>
            </w:r>
          </w:p>
        </w:tc>
        <w:tc>
          <w:tcPr>
            <w:tcW w:w="2015" w:type="dxa"/>
            <w:gridSpan w:val="2"/>
          </w:tcPr>
          <w:p w:rsidR="008958B1" w:rsidRPr="006544CD" w:rsidRDefault="008958B1" w:rsidP="00160822">
            <w:pPr>
              <w:keepNext/>
              <w:spacing w:before="60" w:after="60"/>
              <w:jc w:val="both"/>
              <w:rPr>
                <w:lang w:val="fr-FR"/>
              </w:rPr>
            </w:pPr>
            <w:r w:rsidRPr="006544CD">
              <w:rPr>
                <w:lang w:val="fr-FR"/>
              </w:rPr>
              <w:t xml:space="preserve"> IMF Article IV Consultation report</w:t>
            </w:r>
          </w:p>
        </w:tc>
      </w:tr>
      <w:tr w:rsidR="00AD4395" w:rsidRPr="00E7159F" w:rsidTr="00181B26">
        <w:trPr>
          <w:cantSplit/>
          <w:trHeight w:val="78"/>
          <w:jc w:val="center"/>
        </w:trPr>
        <w:tc>
          <w:tcPr>
            <w:tcW w:w="10687" w:type="dxa"/>
            <w:gridSpan w:val="5"/>
            <w:tcBorders>
              <w:bottom w:val="single" w:sz="12" w:space="0" w:color="auto"/>
            </w:tcBorders>
          </w:tcPr>
          <w:p w:rsidR="00AD4395" w:rsidRPr="006544CD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b/>
                <w:color w:val="auto"/>
                <w:sz w:val="20"/>
                <w:szCs w:val="20"/>
              </w:rPr>
            </w:pPr>
            <w:r w:rsidRPr="006544CD">
              <w:rPr>
                <w:b/>
                <w:color w:val="auto"/>
                <w:sz w:val="20"/>
                <w:szCs w:val="20"/>
              </w:rPr>
              <w:t>II. Development of a Sustainable Energy Framework</w:t>
            </w:r>
          </w:p>
        </w:tc>
        <w:tc>
          <w:tcPr>
            <w:tcW w:w="1578" w:type="dxa"/>
            <w:gridSpan w:val="2"/>
            <w:tcBorders>
              <w:bottom w:val="single" w:sz="12" w:space="0" w:color="auto"/>
            </w:tcBorders>
          </w:tcPr>
          <w:p w:rsidR="00AD4395" w:rsidRPr="006544CD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bottom w:val="single" w:sz="12" w:space="0" w:color="auto"/>
            </w:tcBorders>
          </w:tcPr>
          <w:p w:rsidR="00AD4395" w:rsidRPr="006544CD" w:rsidRDefault="00AD4395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181B26" w:rsidRPr="00160822" w:rsidTr="00181B26">
        <w:trPr>
          <w:cantSplit/>
          <w:trHeight w:val="1158"/>
          <w:jc w:val="center"/>
        </w:trPr>
        <w:tc>
          <w:tcPr>
            <w:tcW w:w="2820" w:type="dxa"/>
          </w:tcPr>
          <w:p w:rsidR="00181B26" w:rsidRPr="00160822" w:rsidRDefault="00181B26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  <w:r w:rsidRPr="00160822">
              <w:rPr>
                <w:lang w:val="en-US"/>
              </w:rPr>
              <w:t xml:space="preserve">II.1. </w:t>
            </w:r>
            <w:r w:rsidRPr="00160822">
              <w:rPr>
                <w:bCs/>
                <w:color w:val="000000"/>
                <w:lang w:val="en-US"/>
              </w:rPr>
              <w:t>Define the regulatory and legal framework to contribute to a more effective power sector with increased efficiency, transparency and accountability.</w:t>
            </w:r>
          </w:p>
        </w:tc>
        <w:tc>
          <w:tcPr>
            <w:tcW w:w="2875" w:type="dxa"/>
          </w:tcPr>
          <w:p w:rsidR="00181B26" w:rsidRPr="00160822" w:rsidRDefault="00181B26" w:rsidP="004A20C7">
            <w:pPr>
              <w:pStyle w:val="Default"/>
              <w:numPr>
                <w:ilvl w:val="0"/>
                <w:numId w:val="14"/>
              </w:num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160822">
              <w:rPr>
                <w:color w:val="auto"/>
                <w:sz w:val="20"/>
                <w:szCs w:val="20"/>
              </w:rPr>
              <w:t>Suriname has policy and legal framework in place to implement Sustainable Energy Framework</w:t>
            </w:r>
          </w:p>
          <w:p w:rsidR="00181B26" w:rsidRPr="00160822" w:rsidRDefault="00181B26" w:rsidP="004A20C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181B26" w:rsidRPr="006544CD" w:rsidRDefault="00833A61" w:rsidP="00ED48A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 xml:space="preserve">Electricity Law </w:t>
            </w:r>
            <w:r w:rsidR="008958B1" w:rsidRPr="006544CD">
              <w:rPr>
                <w:sz w:val="20"/>
                <w:szCs w:val="20"/>
              </w:rPr>
              <w:t xml:space="preserve">or equivalent instrument </w:t>
            </w:r>
            <w:r w:rsidR="00ED48A8" w:rsidRPr="006544CD">
              <w:rPr>
                <w:sz w:val="20"/>
                <w:szCs w:val="20"/>
              </w:rPr>
              <w:t xml:space="preserve">approved by </w:t>
            </w:r>
            <w:r w:rsidRPr="006544CD">
              <w:rPr>
                <w:sz w:val="20"/>
                <w:szCs w:val="20"/>
              </w:rPr>
              <w:t>Parliament</w:t>
            </w:r>
            <w:r w:rsidRPr="006544CD" w:rsidDel="00833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gridSpan w:val="2"/>
          </w:tcPr>
          <w:p w:rsidR="00181B26" w:rsidRPr="006544CD" w:rsidRDefault="00181B26" w:rsidP="004A20C7">
            <w:pPr>
              <w:pStyle w:val="BodyText"/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181B26" w:rsidRPr="006544CD" w:rsidRDefault="00181B26" w:rsidP="004A20C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>Baseline (2011): 0</w:t>
            </w:r>
          </w:p>
        </w:tc>
        <w:tc>
          <w:tcPr>
            <w:tcW w:w="1578" w:type="dxa"/>
            <w:gridSpan w:val="2"/>
          </w:tcPr>
          <w:p w:rsidR="00181B26" w:rsidRPr="006544CD" w:rsidRDefault="00181B26" w:rsidP="004A20C7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  <w:p w:rsidR="00181B26" w:rsidRPr="006544CD" w:rsidRDefault="00181B26" w:rsidP="004A20C7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2"/>
          </w:tcPr>
          <w:p w:rsidR="00181B26" w:rsidRPr="006544CD" w:rsidRDefault="00181B26" w:rsidP="004A20C7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  <w:p w:rsidR="00181B26" w:rsidRPr="006544CD" w:rsidRDefault="00181B26" w:rsidP="004A20C7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>Report MNH</w:t>
            </w:r>
          </w:p>
        </w:tc>
      </w:tr>
      <w:tr w:rsidR="009274D6" w:rsidRPr="009274D6" w:rsidTr="00181B26">
        <w:trPr>
          <w:cantSplit/>
          <w:trHeight w:val="1158"/>
          <w:jc w:val="center"/>
        </w:trPr>
        <w:tc>
          <w:tcPr>
            <w:tcW w:w="2820" w:type="dxa"/>
          </w:tcPr>
          <w:p w:rsidR="009274D6" w:rsidRPr="00160822" w:rsidRDefault="009274D6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  <w:r w:rsidRPr="00160822">
              <w:rPr>
                <w:lang w:val="en-US"/>
              </w:rPr>
              <w:t xml:space="preserve">II.2. </w:t>
            </w:r>
            <w:r w:rsidRPr="00160822">
              <w:rPr>
                <w:bCs/>
                <w:color w:val="000000"/>
                <w:lang w:val="en-US"/>
              </w:rPr>
              <w:t>Implementation of institutions with a view to having a commercially-based operation and clear social, economic and financial incentives to achieve efficiency.</w:t>
            </w:r>
          </w:p>
        </w:tc>
        <w:tc>
          <w:tcPr>
            <w:tcW w:w="2875" w:type="dxa"/>
          </w:tcPr>
          <w:p w:rsidR="009274D6" w:rsidRPr="00160822" w:rsidRDefault="009274D6" w:rsidP="004A20C7">
            <w:pPr>
              <w:pStyle w:val="Default"/>
              <w:numPr>
                <w:ilvl w:val="0"/>
                <w:numId w:val="14"/>
              </w:num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Tar</w:t>
            </w:r>
            <w:r w:rsidRPr="006544CD">
              <w:rPr>
                <w:sz w:val="20"/>
                <w:szCs w:val="20"/>
              </w:rPr>
              <w:t>iff structure is based on price setting principles for electricity implemented by EBS improves cost recovery allowing positive operating results</w:t>
            </w:r>
          </w:p>
        </w:tc>
        <w:tc>
          <w:tcPr>
            <w:tcW w:w="2525" w:type="dxa"/>
          </w:tcPr>
          <w:p w:rsidR="009274D6" w:rsidRPr="006544CD" w:rsidRDefault="009274D6" w:rsidP="002029E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9274D6" w:rsidRPr="006544CD" w:rsidRDefault="009274D6" w:rsidP="00ED48A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i/>
                <w:color w:val="auto"/>
                <w:sz w:val="20"/>
                <w:szCs w:val="20"/>
              </w:rPr>
              <w:t>EBS Net operating results</w:t>
            </w:r>
          </w:p>
        </w:tc>
        <w:tc>
          <w:tcPr>
            <w:tcW w:w="2467" w:type="dxa"/>
            <w:gridSpan w:val="2"/>
          </w:tcPr>
          <w:p w:rsidR="009274D6" w:rsidRPr="006544CD" w:rsidRDefault="009274D6" w:rsidP="002029E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i/>
                <w:color w:val="auto"/>
                <w:sz w:val="20"/>
                <w:szCs w:val="20"/>
              </w:rPr>
              <w:t xml:space="preserve">Baseline (2010):Negative </w:t>
            </w:r>
            <w:r w:rsidRPr="006544CD">
              <w:rPr>
                <w:sz w:val="20"/>
                <w:szCs w:val="20"/>
              </w:rPr>
              <w:t xml:space="preserve"> </w:t>
            </w:r>
            <w:r w:rsidRPr="006544CD">
              <w:rPr>
                <w:i/>
                <w:color w:val="auto"/>
                <w:sz w:val="20"/>
                <w:szCs w:val="20"/>
              </w:rPr>
              <w:t>SRD 118 million</w:t>
            </w:r>
          </w:p>
          <w:p w:rsidR="009274D6" w:rsidRPr="006544CD" w:rsidRDefault="009274D6" w:rsidP="002029E9">
            <w:pPr>
              <w:pStyle w:val="Default"/>
              <w:rPr>
                <w:sz w:val="20"/>
                <w:szCs w:val="20"/>
              </w:rPr>
            </w:pPr>
          </w:p>
          <w:p w:rsidR="009274D6" w:rsidRPr="006544CD" w:rsidRDefault="009274D6" w:rsidP="004A20C7">
            <w:pPr>
              <w:pStyle w:val="BodyText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274D6" w:rsidRPr="006544CD" w:rsidRDefault="009274D6" w:rsidP="004A20C7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i/>
                <w:sz w:val="20"/>
                <w:szCs w:val="20"/>
              </w:rPr>
              <w:t>EBS Net operating results positive</w:t>
            </w:r>
          </w:p>
        </w:tc>
        <w:tc>
          <w:tcPr>
            <w:tcW w:w="2015" w:type="dxa"/>
            <w:gridSpan w:val="2"/>
          </w:tcPr>
          <w:p w:rsidR="009274D6" w:rsidRPr="006544CD" w:rsidRDefault="009274D6" w:rsidP="004A20C7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Report EBS</w:t>
            </w:r>
          </w:p>
        </w:tc>
      </w:tr>
      <w:tr w:rsidR="009274D6" w:rsidRPr="00E7159F" w:rsidTr="00181B26">
        <w:trPr>
          <w:cantSplit/>
          <w:trHeight w:val="1158"/>
          <w:jc w:val="center"/>
        </w:trPr>
        <w:tc>
          <w:tcPr>
            <w:tcW w:w="2820" w:type="dxa"/>
          </w:tcPr>
          <w:p w:rsidR="009274D6" w:rsidRPr="00160822" w:rsidRDefault="009274D6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</w:p>
        </w:tc>
        <w:tc>
          <w:tcPr>
            <w:tcW w:w="2875" w:type="dxa"/>
          </w:tcPr>
          <w:p w:rsidR="009274D6" w:rsidRDefault="009274D6" w:rsidP="004A20C7">
            <w:pPr>
              <w:pStyle w:val="Default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160822">
              <w:rPr>
                <w:sz w:val="20"/>
                <w:szCs w:val="20"/>
              </w:rPr>
              <w:t>Energy Sector</w:t>
            </w:r>
            <w:r w:rsidRPr="006544CD">
              <w:rPr>
                <w:sz w:val="20"/>
                <w:szCs w:val="20"/>
              </w:rPr>
              <w:t xml:space="preserve"> has  planning and supervision capacities</w:t>
            </w:r>
          </w:p>
        </w:tc>
        <w:tc>
          <w:tcPr>
            <w:tcW w:w="2525" w:type="dxa"/>
          </w:tcPr>
          <w:p w:rsidR="009274D6" w:rsidRPr="006544CD" w:rsidRDefault="009274D6" w:rsidP="00B9123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 xml:space="preserve">An Energy Sector agency is in place </w:t>
            </w:r>
          </w:p>
          <w:p w:rsidR="009274D6" w:rsidRPr="006544CD" w:rsidRDefault="009274D6" w:rsidP="002029E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9274D6" w:rsidRPr="006544CD" w:rsidRDefault="009274D6" w:rsidP="002029E9">
            <w:pPr>
              <w:pStyle w:val="Default"/>
              <w:spacing w:before="60" w:after="60"/>
              <w:jc w:val="both"/>
              <w:rPr>
                <w:i/>
                <w:color w:val="auto"/>
                <w:sz w:val="20"/>
                <w:szCs w:val="20"/>
              </w:rPr>
            </w:pPr>
            <w:r w:rsidRPr="006544CD">
              <w:rPr>
                <w:i/>
                <w:sz w:val="20"/>
                <w:szCs w:val="20"/>
              </w:rPr>
              <w:t xml:space="preserve">Baseline (2012): </w:t>
            </w:r>
            <w:r w:rsidRPr="006544CD">
              <w:rPr>
                <w:sz w:val="20"/>
                <w:szCs w:val="20"/>
              </w:rPr>
              <w:t>No energy sector agency that plans, supervises and oversees energy regulatory issues</w:t>
            </w:r>
          </w:p>
        </w:tc>
        <w:tc>
          <w:tcPr>
            <w:tcW w:w="1578" w:type="dxa"/>
            <w:gridSpan w:val="2"/>
          </w:tcPr>
          <w:p w:rsidR="009274D6" w:rsidRPr="006544CD" w:rsidRDefault="009274D6" w:rsidP="00B9123C">
            <w:pPr>
              <w:pStyle w:val="BodyTex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An energy sector agency that plans supervises and oversees regulatory issues of the sector in place.</w:t>
            </w:r>
          </w:p>
          <w:p w:rsidR="009274D6" w:rsidRPr="006544CD" w:rsidRDefault="009274D6" w:rsidP="004A20C7">
            <w:pPr>
              <w:pStyle w:val="Default"/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274D6" w:rsidRPr="006544CD" w:rsidRDefault="009274D6" w:rsidP="004A20C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MNH report presents public records stating the existence and operation of the energy agency</w:t>
            </w:r>
          </w:p>
        </w:tc>
      </w:tr>
      <w:tr w:rsidR="009274D6" w:rsidRPr="006544CD" w:rsidTr="00870F49">
        <w:trPr>
          <w:cantSplit/>
          <w:trHeight w:val="1293"/>
          <w:jc w:val="center"/>
        </w:trPr>
        <w:tc>
          <w:tcPr>
            <w:tcW w:w="2820" w:type="dxa"/>
          </w:tcPr>
          <w:p w:rsidR="009274D6" w:rsidRPr="006544CD" w:rsidRDefault="009274D6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  <w:r w:rsidRPr="006544CD">
              <w:rPr>
                <w:lang w:val="en-US"/>
              </w:rPr>
              <w:t xml:space="preserve">II.3. </w:t>
            </w:r>
            <w:r w:rsidRPr="006544CD">
              <w:rPr>
                <w:bCs/>
                <w:color w:val="000000"/>
                <w:lang w:val="en-US"/>
              </w:rPr>
              <w:t>Preparation of an expansion strategy to improve supply efficiency.</w:t>
            </w:r>
          </w:p>
        </w:tc>
        <w:tc>
          <w:tcPr>
            <w:tcW w:w="2875" w:type="dxa"/>
          </w:tcPr>
          <w:p w:rsidR="009274D6" w:rsidRPr="006544CD" w:rsidRDefault="009274D6" w:rsidP="0094097B">
            <w:pPr>
              <w:pStyle w:val="Default"/>
              <w:numPr>
                <w:ilvl w:val="0"/>
                <w:numId w:val="14"/>
              </w:numPr>
              <w:spacing w:beforeLines="40" w:before="96" w:afterLines="40" w:after="96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>Suriname has technical capacity to implement the Sustainable Energy Framework, including alternative power sources.</w:t>
            </w:r>
          </w:p>
        </w:tc>
        <w:tc>
          <w:tcPr>
            <w:tcW w:w="2525" w:type="dxa"/>
          </w:tcPr>
          <w:p w:rsidR="009274D6" w:rsidRPr="006544CD" w:rsidRDefault="009274D6" w:rsidP="00160822">
            <w:pPr>
              <w:pStyle w:val="Default"/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 xml:space="preserve">New model of contract used for the purchase of additional power. </w:t>
            </w:r>
          </w:p>
        </w:tc>
        <w:tc>
          <w:tcPr>
            <w:tcW w:w="2467" w:type="dxa"/>
            <w:gridSpan w:val="2"/>
          </w:tcPr>
          <w:p w:rsidR="009274D6" w:rsidRPr="006544CD" w:rsidRDefault="009274D6" w:rsidP="00160822">
            <w:pPr>
              <w:pStyle w:val="Default"/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6544CD">
              <w:rPr>
                <w:i/>
                <w:sz w:val="20"/>
                <w:szCs w:val="20"/>
              </w:rPr>
              <w:t xml:space="preserve">Baseline (2012): </w:t>
            </w:r>
            <w:r w:rsidRPr="006544CD">
              <w:rPr>
                <w:sz w:val="20"/>
                <w:szCs w:val="20"/>
              </w:rPr>
              <w:t>No model of contract used for the purchase of additional power</w:t>
            </w:r>
          </w:p>
        </w:tc>
        <w:tc>
          <w:tcPr>
            <w:tcW w:w="1578" w:type="dxa"/>
            <w:gridSpan w:val="2"/>
          </w:tcPr>
          <w:p w:rsidR="009274D6" w:rsidRPr="006544CD" w:rsidRDefault="009274D6" w:rsidP="00B659BE">
            <w:pPr>
              <w:pStyle w:val="BodyText"/>
              <w:spacing w:before="60" w:after="60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 xml:space="preserve">One power purchased </w:t>
            </w:r>
            <w:r w:rsidR="00CA346A" w:rsidRPr="006544CD">
              <w:rPr>
                <w:sz w:val="20"/>
                <w:szCs w:val="20"/>
              </w:rPr>
              <w:t>contract</w:t>
            </w:r>
            <w:r w:rsidRPr="006544CD">
              <w:rPr>
                <w:sz w:val="20"/>
                <w:szCs w:val="20"/>
              </w:rPr>
              <w:t xml:space="preserve"> is based on reviewed PPA model</w:t>
            </w:r>
          </w:p>
        </w:tc>
        <w:tc>
          <w:tcPr>
            <w:tcW w:w="2015" w:type="dxa"/>
            <w:gridSpan w:val="2"/>
          </w:tcPr>
          <w:p w:rsidR="009274D6" w:rsidRPr="006544CD" w:rsidRDefault="009274D6" w:rsidP="0094097B">
            <w:pPr>
              <w:pStyle w:val="BodyText"/>
              <w:spacing w:beforeLines="40" w:before="96" w:afterLines="40" w:after="96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Report EBS</w:t>
            </w:r>
          </w:p>
        </w:tc>
      </w:tr>
      <w:tr w:rsidR="009274D6" w:rsidRPr="00E7159F" w:rsidTr="00833A61">
        <w:trPr>
          <w:cantSplit/>
          <w:trHeight w:val="126"/>
          <w:jc w:val="center"/>
        </w:trPr>
        <w:tc>
          <w:tcPr>
            <w:tcW w:w="14280" w:type="dxa"/>
            <w:gridSpan w:val="9"/>
          </w:tcPr>
          <w:p w:rsidR="009274D6" w:rsidRPr="006544CD" w:rsidRDefault="009274D6" w:rsidP="004A20C7">
            <w:pPr>
              <w:pStyle w:val="Default"/>
              <w:tabs>
                <w:tab w:val="center" w:pos="4320"/>
                <w:tab w:val="right" w:pos="8640"/>
              </w:tabs>
              <w:spacing w:before="96" w:after="96"/>
              <w:jc w:val="both"/>
              <w:rPr>
                <w:b/>
                <w:color w:val="auto"/>
                <w:sz w:val="20"/>
                <w:szCs w:val="20"/>
              </w:rPr>
            </w:pPr>
            <w:r w:rsidRPr="006544CD">
              <w:rPr>
                <w:b/>
                <w:bCs/>
                <w:sz w:val="20"/>
                <w:szCs w:val="20"/>
              </w:rPr>
              <w:t>III. Strengthen sector corporate capabilities</w:t>
            </w:r>
          </w:p>
        </w:tc>
      </w:tr>
      <w:tr w:rsidR="009274D6" w:rsidRPr="006544CD" w:rsidTr="004A20C7">
        <w:trPr>
          <w:gridAfter w:val="1"/>
          <w:wAfter w:w="30" w:type="dxa"/>
          <w:cantSplit/>
          <w:trHeight w:val="879"/>
          <w:jc w:val="center"/>
        </w:trPr>
        <w:tc>
          <w:tcPr>
            <w:tcW w:w="2820" w:type="dxa"/>
            <w:vMerge w:val="restart"/>
          </w:tcPr>
          <w:p w:rsidR="009274D6" w:rsidRPr="006544CD" w:rsidRDefault="009274D6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  <w:r w:rsidRPr="006544CD">
              <w:rPr>
                <w:color w:val="000000"/>
                <w:lang w:val="en-US"/>
              </w:rPr>
              <w:t>III.1 Strengthen utility’s capabilities to operate by contributing to improvements in corporate governance, transparency and accountability</w:t>
            </w:r>
            <w:r w:rsidRPr="006544CD">
              <w:rPr>
                <w:bCs/>
                <w:color w:val="000000"/>
                <w:lang w:val="en-US"/>
              </w:rPr>
              <w:t>.</w:t>
            </w:r>
          </w:p>
          <w:p w:rsidR="009274D6" w:rsidRPr="006544CD" w:rsidRDefault="009274D6" w:rsidP="004A20C7">
            <w:pPr>
              <w:pStyle w:val="Header"/>
              <w:spacing w:beforeLines="40" w:before="96" w:afterLines="40" w:after="96"/>
              <w:jc w:val="both"/>
              <w:rPr>
                <w:color w:val="000000"/>
                <w:lang w:val="en-US"/>
              </w:rPr>
            </w:pPr>
          </w:p>
          <w:p w:rsidR="009274D6" w:rsidRPr="006544CD" w:rsidRDefault="009274D6" w:rsidP="004A20C7">
            <w:pPr>
              <w:pStyle w:val="Header"/>
              <w:spacing w:beforeLines="40" w:before="96" w:afterLines="40" w:after="96"/>
              <w:jc w:val="both"/>
              <w:rPr>
                <w:lang w:val="en-US"/>
              </w:rPr>
            </w:pPr>
          </w:p>
        </w:tc>
        <w:tc>
          <w:tcPr>
            <w:tcW w:w="2875" w:type="dxa"/>
          </w:tcPr>
          <w:p w:rsidR="009274D6" w:rsidRPr="006544CD" w:rsidRDefault="009274D6" w:rsidP="004A20C7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n-US"/>
              </w:rPr>
            </w:pPr>
            <w:r w:rsidRPr="006544CD">
              <w:rPr>
                <w:color w:val="000000"/>
                <w:lang w:val="en-US"/>
              </w:rPr>
              <w:t>EBS has strengthened its transparency, governance and accountability improving productiv</w:t>
            </w:r>
            <w:r>
              <w:rPr>
                <w:color w:val="000000"/>
                <w:lang w:val="en-US"/>
              </w:rPr>
              <w:t>it</w:t>
            </w:r>
            <w:r w:rsidRPr="006544CD">
              <w:rPr>
                <w:color w:val="000000"/>
                <w:lang w:val="en-US"/>
              </w:rPr>
              <w:t>y</w:t>
            </w:r>
          </w:p>
          <w:p w:rsidR="009274D6" w:rsidRPr="006544CD" w:rsidRDefault="009274D6" w:rsidP="004A20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2525" w:type="dxa"/>
            <w:vAlign w:val="center"/>
          </w:tcPr>
          <w:p w:rsidR="009274D6" w:rsidRPr="006544CD" w:rsidRDefault="009274D6" w:rsidP="004A20C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Energy sold per employee</w:t>
            </w:r>
          </w:p>
        </w:tc>
        <w:tc>
          <w:tcPr>
            <w:tcW w:w="2430" w:type="dxa"/>
            <w:vAlign w:val="center"/>
          </w:tcPr>
          <w:p w:rsidR="009274D6" w:rsidRPr="006544CD" w:rsidRDefault="009274D6" w:rsidP="004A20C7">
            <w:pPr>
              <w:pStyle w:val="BodyText"/>
              <w:spacing w:beforeLines="40" w:before="96" w:afterLines="40" w:after="96"/>
              <w:jc w:val="both"/>
              <w:rPr>
                <w:i/>
                <w:sz w:val="20"/>
                <w:szCs w:val="20"/>
              </w:rPr>
            </w:pPr>
            <w:r w:rsidRPr="006544CD">
              <w:rPr>
                <w:i/>
                <w:sz w:val="20"/>
                <w:szCs w:val="20"/>
              </w:rPr>
              <w:t>Baseline (2011): 1-GWh/employee</w:t>
            </w:r>
          </w:p>
        </w:tc>
        <w:tc>
          <w:tcPr>
            <w:tcW w:w="1582" w:type="dxa"/>
            <w:gridSpan w:val="2"/>
            <w:vAlign w:val="center"/>
          </w:tcPr>
          <w:p w:rsidR="009274D6" w:rsidRPr="006544CD" w:rsidRDefault="009274D6" w:rsidP="004A20C7">
            <w:pPr>
              <w:pStyle w:val="BodyText"/>
              <w:spacing w:beforeLines="40" w:before="96" w:afterLines="40" w:after="96"/>
              <w:jc w:val="both"/>
              <w:rPr>
                <w:i/>
                <w:sz w:val="20"/>
                <w:szCs w:val="20"/>
              </w:rPr>
            </w:pPr>
            <w:r w:rsidRPr="006544CD">
              <w:rPr>
                <w:i/>
                <w:sz w:val="20"/>
                <w:szCs w:val="20"/>
              </w:rPr>
              <w:t>1.27-GWh/employee</w:t>
            </w:r>
          </w:p>
        </w:tc>
        <w:tc>
          <w:tcPr>
            <w:tcW w:w="2018" w:type="dxa"/>
            <w:gridSpan w:val="2"/>
            <w:vAlign w:val="center"/>
          </w:tcPr>
          <w:p w:rsidR="009274D6" w:rsidRPr="006544CD" w:rsidRDefault="009274D6" w:rsidP="004A20C7">
            <w:pPr>
              <w:pStyle w:val="BodyText"/>
              <w:spacing w:beforeLines="40" w:before="96" w:afterLines="40" w:after="96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Report Annual Report EBS</w:t>
            </w:r>
          </w:p>
        </w:tc>
      </w:tr>
      <w:tr w:rsidR="009274D6" w:rsidRPr="006544CD" w:rsidTr="00160822">
        <w:trPr>
          <w:gridAfter w:val="1"/>
          <w:wAfter w:w="30" w:type="dxa"/>
          <w:cantSplit/>
          <w:trHeight w:val="175"/>
          <w:jc w:val="center"/>
        </w:trPr>
        <w:tc>
          <w:tcPr>
            <w:tcW w:w="2820" w:type="dxa"/>
            <w:vMerge/>
          </w:tcPr>
          <w:p w:rsidR="009274D6" w:rsidRPr="006544CD" w:rsidRDefault="009274D6" w:rsidP="004A20C7">
            <w:pPr>
              <w:pStyle w:val="Header"/>
              <w:spacing w:beforeLines="40" w:before="96" w:afterLines="40" w:after="96"/>
              <w:jc w:val="both"/>
              <w:rPr>
                <w:color w:val="000000"/>
                <w:lang w:val="en-US"/>
              </w:rPr>
            </w:pPr>
          </w:p>
        </w:tc>
        <w:tc>
          <w:tcPr>
            <w:tcW w:w="2875" w:type="dxa"/>
          </w:tcPr>
          <w:p w:rsidR="009274D6" w:rsidRPr="006544CD" w:rsidRDefault="009274D6" w:rsidP="004A20C7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n-US"/>
              </w:rPr>
            </w:pPr>
            <w:r w:rsidRPr="009274D6">
              <w:rPr>
                <w:lang w:val="en-US"/>
              </w:rPr>
              <w:t xml:space="preserve">Suriname has </w:t>
            </w:r>
            <w:r w:rsidRPr="006544CD">
              <w:rPr>
                <w:lang w:val="en-US"/>
              </w:rPr>
              <w:t>increased</w:t>
            </w:r>
            <w:r w:rsidRPr="009274D6">
              <w:rPr>
                <w:lang w:val="en-US"/>
              </w:rPr>
              <w:t xml:space="preserve"> its  </w:t>
            </w:r>
            <w:r w:rsidRPr="006544CD">
              <w:rPr>
                <w:lang w:val="en-US"/>
              </w:rPr>
              <w:t>generation</w:t>
            </w:r>
            <w:r w:rsidRPr="009274D6">
              <w:rPr>
                <w:lang w:val="en-US"/>
              </w:rPr>
              <w:t xml:space="preserve"> </w:t>
            </w:r>
            <w:r w:rsidRPr="006544CD">
              <w:rPr>
                <w:lang w:val="en-US"/>
              </w:rPr>
              <w:t>capacity</w:t>
            </w:r>
          </w:p>
        </w:tc>
        <w:tc>
          <w:tcPr>
            <w:tcW w:w="2525" w:type="dxa"/>
          </w:tcPr>
          <w:p w:rsidR="009274D6" w:rsidRPr="006544CD" w:rsidRDefault="009274D6" w:rsidP="00717070">
            <w:pPr>
              <w:pStyle w:val="Default"/>
              <w:spacing w:before="60" w:after="60"/>
              <w:jc w:val="both"/>
              <w:rPr>
                <w:b/>
                <w:color w:val="auto"/>
                <w:sz w:val="20"/>
                <w:szCs w:val="20"/>
              </w:rPr>
            </w:pPr>
            <w:r w:rsidRPr="006544CD">
              <w:rPr>
                <w:color w:val="auto"/>
                <w:sz w:val="20"/>
                <w:szCs w:val="20"/>
              </w:rPr>
              <w:t>Generation Capacity (MW)</w:t>
            </w:r>
          </w:p>
          <w:p w:rsidR="009274D6" w:rsidRPr="006544CD" w:rsidRDefault="009274D6" w:rsidP="00ED48A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274D6" w:rsidRPr="006544CD" w:rsidRDefault="009274D6" w:rsidP="004A20C7">
            <w:pPr>
              <w:pStyle w:val="BodyText"/>
              <w:spacing w:beforeLines="40" w:before="96" w:afterLines="40" w:after="96"/>
              <w:jc w:val="both"/>
              <w:rPr>
                <w:sz w:val="20"/>
                <w:szCs w:val="20"/>
              </w:rPr>
            </w:pPr>
            <w:r w:rsidRPr="006544CD">
              <w:rPr>
                <w:i/>
                <w:sz w:val="20"/>
                <w:szCs w:val="20"/>
              </w:rPr>
              <w:t>Baseline (2012): 274</w:t>
            </w:r>
          </w:p>
        </w:tc>
        <w:tc>
          <w:tcPr>
            <w:tcW w:w="1582" w:type="dxa"/>
            <w:gridSpan w:val="2"/>
          </w:tcPr>
          <w:p w:rsidR="009274D6" w:rsidRPr="006544CD" w:rsidRDefault="009274D6" w:rsidP="004A20C7">
            <w:pPr>
              <w:pStyle w:val="BodyText"/>
              <w:spacing w:beforeLines="40" w:before="96" w:afterLines="40" w:after="96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440</w:t>
            </w:r>
          </w:p>
        </w:tc>
        <w:tc>
          <w:tcPr>
            <w:tcW w:w="2018" w:type="dxa"/>
            <w:gridSpan w:val="2"/>
          </w:tcPr>
          <w:p w:rsidR="009274D6" w:rsidRPr="006544CD" w:rsidRDefault="009274D6" w:rsidP="004A20C7">
            <w:pPr>
              <w:pStyle w:val="BodyText"/>
              <w:spacing w:beforeLines="40" w:before="96" w:afterLines="40" w:after="96"/>
              <w:jc w:val="both"/>
              <w:rPr>
                <w:sz w:val="20"/>
                <w:szCs w:val="20"/>
              </w:rPr>
            </w:pPr>
            <w:r w:rsidRPr="006544CD">
              <w:rPr>
                <w:sz w:val="20"/>
                <w:szCs w:val="20"/>
              </w:rPr>
              <w:t>Report MNH</w:t>
            </w:r>
          </w:p>
        </w:tc>
      </w:tr>
    </w:tbl>
    <w:p w:rsidR="00F02A42" w:rsidRDefault="00F02A42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p w:rsidR="00622496" w:rsidRDefault="00622496" w:rsidP="00552C1E">
      <w:pPr>
        <w:rPr>
          <w:lang w:val="en-US"/>
        </w:rPr>
      </w:pPr>
    </w:p>
    <w:tbl>
      <w:tblPr>
        <w:tblW w:w="14363" w:type="dxa"/>
        <w:tblInd w:w="-522" w:type="dxa"/>
        <w:tblLook w:val="04A0" w:firstRow="1" w:lastRow="0" w:firstColumn="1" w:lastColumn="0" w:noHBand="0" w:noVBand="1"/>
      </w:tblPr>
      <w:tblGrid>
        <w:gridCol w:w="6480"/>
        <w:gridCol w:w="6390"/>
        <w:gridCol w:w="1493"/>
      </w:tblGrid>
      <w:tr w:rsidR="00622496" w:rsidRPr="00622496" w:rsidTr="00622496">
        <w:trPr>
          <w:trHeight w:val="49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22496">
              <w:rPr>
                <w:b/>
                <w:bCs/>
                <w:color w:val="000000"/>
                <w:lang w:val="en-US"/>
              </w:rPr>
              <w:lastRenderedPageBreak/>
              <w:t>Outputs - Conditions for Second Programmatic PBL (2013)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22496">
              <w:rPr>
                <w:b/>
                <w:bCs/>
                <w:color w:val="000000"/>
                <w:lang w:val="en-US"/>
              </w:rPr>
              <w:t>Means of Verification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22496">
              <w:rPr>
                <w:b/>
                <w:bCs/>
                <w:color w:val="000000"/>
                <w:lang w:val="en-US"/>
              </w:rPr>
              <w:t>Responsibility</w:t>
            </w:r>
          </w:p>
        </w:tc>
      </w:tr>
      <w:tr w:rsidR="00622496" w:rsidRPr="00622496" w:rsidTr="00622496">
        <w:trPr>
          <w:trHeight w:val="271"/>
        </w:trPr>
        <w:tc>
          <w:tcPr>
            <w:tcW w:w="1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22496">
              <w:rPr>
                <w:b/>
                <w:bCs/>
                <w:sz w:val="22"/>
                <w:szCs w:val="22"/>
                <w:lang w:val="en-US"/>
              </w:rPr>
              <w:t>I. Macroeconomic Stability</w:t>
            </w:r>
          </w:p>
        </w:tc>
      </w:tr>
      <w:tr w:rsidR="00622496" w:rsidRPr="00622496" w:rsidTr="00622496">
        <w:trPr>
          <w:trHeight w:val="4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1.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22496">
              <w:rPr>
                <w:color w:val="000000"/>
                <w:lang w:val="en-US"/>
              </w:rPr>
              <w:t xml:space="preserve"> Macroeconomic framework is consistent with the objectives of the program and with policy letter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bCs/>
                <w:color w:val="000000"/>
                <w:lang w:val="en-US"/>
              </w:rPr>
              <w:t>Bank assessment taking into account the reviews from IMF, and the annual consultations related to Article IV.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Verification by IDB</w:t>
            </w:r>
          </w:p>
        </w:tc>
      </w:tr>
      <w:tr w:rsidR="00622496" w:rsidRPr="00E7159F" w:rsidTr="00622496">
        <w:trPr>
          <w:trHeight w:val="271"/>
        </w:trPr>
        <w:tc>
          <w:tcPr>
            <w:tcW w:w="1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22496">
              <w:rPr>
                <w:b/>
                <w:bCs/>
                <w:sz w:val="22"/>
                <w:szCs w:val="22"/>
                <w:lang w:val="en-US"/>
              </w:rPr>
              <w:t xml:space="preserve">II. Development of a Sustainable Power Sector Framework </w:t>
            </w:r>
          </w:p>
        </w:tc>
      </w:tr>
      <w:tr w:rsidR="00622496" w:rsidRPr="00622496" w:rsidTr="00622496">
        <w:trPr>
          <w:trHeight w:val="92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E7159F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2.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="00A17DFB" w:rsidRPr="00A17DFB">
              <w:rPr>
                <w:color w:val="000000"/>
                <w:lang w:val="en-US"/>
              </w:rPr>
              <w:t xml:space="preserve">The first draft of a Policy document that addresses the main guidelines for sector reform and the basic institutional structure for the power sector has been submitted to </w:t>
            </w:r>
            <w:r w:rsidR="00E7159F">
              <w:rPr>
                <w:color w:val="000000"/>
                <w:lang w:val="en-US"/>
              </w:rPr>
              <w:t>Council of Ministers</w:t>
            </w:r>
            <w:r w:rsidR="00A17DFB" w:rsidRPr="00A17DFB">
              <w:rPr>
                <w:color w:val="000000"/>
                <w:lang w:val="en-US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A17DFB" w:rsidP="00622496">
            <w:pPr>
              <w:rPr>
                <w:color w:val="000000"/>
                <w:lang w:val="en-US"/>
              </w:rPr>
            </w:pPr>
            <w:r w:rsidRPr="00A17DFB">
              <w:rPr>
                <w:color w:val="000000"/>
                <w:lang w:val="en-US"/>
              </w:rPr>
              <w:t xml:space="preserve">Official letter submitted from the MNH to the Council of Ministers presenting the first draft of a Policy Document for consideration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MNH</w:t>
            </w:r>
          </w:p>
        </w:tc>
      </w:tr>
      <w:tr w:rsidR="00622496" w:rsidRPr="00622496" w:rsidTr="00622496">
        <w:trPr>
          <w:cantSplit/>
          <w:trHeight w:val="69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3.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="00A17DFB" w:rsidRPr="00A17DFB">
              <w:rPr>
                <w:color w:val="000000"/>
                <w:lang w:val="en-US"/>
              </w:rPr>
              <w:t>Steps towards the drafting of the legal instruments that will regulate the organization and functioning of the Electricity Sector have been taken.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A17DFB" w:rsidP="00A17DFB">
            <w:pPr>
              <w:rPr>
                <w:color w:val="000000"/>
                <w:lang w:val="en-US"/>
              </w:rPr>
            </w:pPr>
            <w:r w:rsidRPr="00A17DFB">
              <w:rPr>
                <w:bCs/>
                <w:color w:val="000000"/>
                <w:lang w:val="en-US"/>
              </w:rPr>
              <w:t>Terms of References</w:t>
            </w:r>
            <w:r>
              <w:rPr>
                <w:bCs/>
                <w:color w:val="000000"/>
                <w:lang w:val="en-US"/>
              </w:rPr>
              <w:t xml:space="preserve"> for the consultancy hired to </w:t>
            </w:r>
            <w:r w:rsidRPr="00A17DFB">
              <w:rPr>
                <w:bCs/>
                <w:color w:val="000000"/>
                <w:lang w:val="en-US"/>
              </w:rPr>
              <w:t>support drafting of regulatory instruments. 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MNH</w:t>
            </w:r>
          </w:p>
        </w:tc>
      </w:tr>
      <w:tr w:rsidR="00622496" w:rsidRPr="00622496" w:rsidTr="00622496">
        <w:trPr>
          <w:trHeight w:val="10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E7159F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4.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="00A17DFB" w:rsidRPr="00A17DFB">
              <w:rPr>
                <w:color w:val="000000"/>
                <w:lang w:val="en-US"/>
              </w:rPr>
              <w:t xml:space="preserve">A proposal to assign the roles and responsibilities to a sector office for the coordination of the Energy Sector’s affairs has been presented for consideration of and approval by the </w:t>
            </w:r>
            <w:r w:rsidR="00E7159F">
              <w:rPr>
                <w:color w:val="000000"/>
                <w:lang w:val="en-US"/>
              </w:rPr>
              <w:t>Council of Ministers</w:t>
            </w:r>
            <w:r w:rsidR="00A17DFB" w:rsidRPr="00A17DFB">
              <w:rPr>
                <w:color w:val="000000"/>
                <w:lang w:val="en-US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A17DFB" w:rsidP="00622496">
            <w:pPr>
              <w:rPr>
                <w:color w:val="000000"/>
                <w:lang w:val="en-US"/>
              </w:rPr>
            </w:pPr>
            <w:r w:rsidRPr="00A17DFB">
              <w:rPr>
                <w:color w:val="000000"/>
                <w:lang w:val="en-US"/>
              </w:rPr>
              <w:t>Official letter submitted from the MNH to the Council of Ministers presenting the proposal for a specific office within the MNH to manage the energy sector affairs/proposal for a specific office within the MNH to manage the energy sector affairs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MNH</w:t>
            </w:r>
          </w:p>
        </w:tc>
      </w:tr>
      <w:tr w:rsidR="00622496" w:rsidRPr="00622496" w:rsidTr="00622496">
        <w:trPr>
          <w:cantSplit/>
          <w:trHeight w:val="67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E7159F">
            <w:pPr>
              <w:rPr>
                <w:color w:val="000000"/>
                <w:lang w:val="en-US"/>
              </w:rPr>
            </w:pPr>
            <w:r w:rsidRPr="00622496">
              <w:rPr>
                <w:bCs/>
                <w:color w:val="000000"/>
                <w:lang w:val="en-US"/>
              </w:rPr>
              <w:t>5.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>      </w:t>
            </w:r>
            <w:r w:rsidR="00A17DFB" w:rsidRPr="00A17DFB">
              <w:rPr>
                <w:color w:val="000000"/>
                <w:lang w:val="en-US"/>
              </w:rPr>
              <w:t xml:space="preserve">A tariff structure proposal, that includes a revision of the subsidy levels, has been submitted to the </w:t>
            </w:r>
            <w:r w:rsidR="00E7159F" w:rsidRPr="00E7159F">
              <w:rPr>
                <w:color w:val="000000"/>
                <w:lang w:val="en-US"/>
              </w:rPr>
              <w:t xml:space="preserve">Council of Ministers </w:t>
            </w:r>
            <w:bookmarkStart w:id="0" w:name="_GoBack"/>
            <w:bookmarkEnd w:id="0"/>
            <w:r w:rsidR="00A17DFB" w:rsidRPr="00A17DFB">
              <w:rPr>
                <w:color w:val="000000"/>
                <w:lang w:val="en-US"/>
              </w:rPr>
              <w:t>for consideration.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A17DFB" w:rsidP="00622496">
            <w:pPr>
              <w:rPr>
                <w:color w:val="000000"/>
                <w:lang w:val="en-US"/>
              </w:rPr>
            </w:pPr>
            <w:r w:rsidRPr="00A17DFB">
              <w:rPr>
                <w:color w:val="000000"/>
                <w:lang w:val="en-US"/>
              </w:rPr>
              <w:t>Official letter submitted from the MNH to the Council of Ministers presenting Tariff structure proposal and Tariff structure proposal document.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MNH and EBS</w:t>
            </w:r>
          </w:p>
        </w:tc>
      </w:tr>
      <w:tr w:rsidR="00622496" w:rsidRPr="00622496" w:rsidTr="00622496">
        <w:trPr>
          <w:trHeight w:val="4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bCs/>
                <w:color w:val="000000"/>
                <w:lang w:val="en-US"/>
              </w:rPr>
              <w:t>6.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22496">
              <w:rPr>
                <w:color w:val="000000"/>
                <w:lang w:val="en-US"/>
              </w:rPr>
              <w:t>A revised draft model of PPA contract was developed by EBS as guideline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Copy of the revised draft model of PPA contract document.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EBS</w:t>
            </w:r>
          </w:p>
        </w:tc>
      </w:tr>
      <w:tr w:rsidR="00622496" w:rsidRPr="00622496" w:rsidTr="00622496">
        <w:trPr>
          <w:cantSplit/>
          <w:trHeight w:val="4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bCs/>
                <w:color w:val="000000"/>
                <w:lang w:val="en-US"/>
              </w:rPr>
              <w:t>7.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22496">
              <w:rPr>
                <w:color w:val="000000"/>
                <w:lang w:val="en-US"/>
              </w:rPr>
              <w:t>The sector expansion plan included basic environmental and social sustainability principles.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 xml:space="preserve">Copy of the sector expansion plan/business plan approved by EBS.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MNH</w:t>
            </w:r>
          </w:p>
        </w:tc>
      </w:tr>
      <w:tr w:rsidR="00622496" w:rsidRPr="00622496" w:rsidTr="00622496">
        <w:trPr>
          <w:cantSplit/>
          <w:trHeight w:val="69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bCs/>
                <w:color w:val="000000"/>
                <w:lang w:val="en-US"/>
              </w:rPr>
              <w:t>8.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22496">
              <w:rPr>
                <w:color w:val="000000"/>
                <w:lang w:val="en-US"/>
              </w:rPr>
              <w:t>The Government of Suriname has approved the financing for the implementation of the Program with Renewable Energy Technologies (RETs).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Signed endorsement letter by Government of Suriname including co-financing for the implementation of the Sustainable Electrification Program.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MNH</w:t>
            </w:r>
          </w:p>
        </w:tc>
      </w:tr>
      <w:tr w:rsidR="00622496" w:rsidRPr="00E7159F" w:rsidTr="00622496">
        <w:trPr>
          <w:trHeight w:val="332"/>
        </w:trPr>
        <w:tc>
          <w:tcPr>
            <w:tcW w:w="1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b/>
                <w:bCs/>
                <w:sz w:val="22"/>
                <w:szCs w:val="22"/>
                <w:lang w:val="en-US"/>
              </w:rPr>
              <w:t>III. Strengthen sector corporate capabilities</w:t>
            </w:r>
            <w:r w:rsidRPr="00622496">
              <w:rPr>
                <w:color w:val="000000"/>
                <w:lang w:val="en-US"/>
              </w:rPr>
              <w:t> </w:t>
            </w:r>
          </w:p>
        </w:tc>
      </w:tr>
      <w:tr w:rsidR="00622496" w:rsidRPr="00622496" w:rsidTr="00622496">
        <w:trPr>
          <w:trHeight w:val="62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9.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>   </w:t>
            </w:r>
            <w:r w:rsidR="00A17DFB" w:rsidRPr="00A17DFB">
              <w:rPr>
                <w:color w:val="000000"/>
                <w:lang w:val="en-US"/>
              </w:rPr>
              <w:t>EBS Board has approved the expansion plan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A17DFB" w:rsidP="00A17DFB">
            <w:pPr>
              <w:rPr>
                <w:color w:val="000000"/>
                <w:lang w:val="en-US"/>
              </w:rPr>
            </w:pPr>
            <w:r w:rsidRPr="00A17DFB">
              <w:rPr>
                <w:color w:val="000000"/>
                <w:lang w:val="en-US"/>
              </w:rPr>
              <w:t>Copy of the sector expansion plan/business plan approved by EBS.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EBS</w:t>
            </w:r>
          </w:p>
        </w:tc>
      </w:tr>
      <w:tr w:rsidR="00622496" w:rsidRPr="00622496" w:rsidTr="00622496">
        <w:trPr>
          <w:cantSplit/>
          <w:trHeight w:val="69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10.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 </w:t>
            </w:r>
            <w:r w:rsidRPr="00622496">
              <w:rPr>
                <w:color w:val="000000"/>
                <w:lang w:val="en-US"/>
              </w:rPr>
              <w:t>EBS develops specific action plans to address fundamental technical recommendations from corporate assessment.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A17DFB" w:rsidP="00622496">
            <w:pPr>
              <w:rPr>
                <w:color w:val="000000"/>
                <w:lang w:val="en-US"/>
              </w:rPr>
            </w:pPr>
            <w:r w:rsidRPr="00A17DFB">
              <w:rPr>
                <w:color w:val="000000"/>
                <w:lang w:val="en-US"/>
              </w:rPr>
              <w:t>Contract or Letter of Agreement to guide the implementation of the Governance, Risk management, and Compliance (GRC) plan within EBS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Ministry of Finance</w:t>
            </w:r>
          </w:p>
        </w:tc>
      </w:tr>
      <w:tr w:rsidR="00622496" w:rsidRPr="00622496" w:rsidTr="00622496">
        <w:trPr>
          <w:cantSplit/>
          <w:trHeight w:val="69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11.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 </w:t>
            </w:r>
            <w:r w:rsidRPr="00622496">
              <w:rPr>
                <w:color w:val="000000"/>
                <w:lang w:val="en-US"/>
              </w:rPr>
              <w:t>EBS is carrying out a study to strengthen its corporate structure to enhance its governance, transparency and accountability.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Progress Report document with a set of recommendations of actions that EBS may take to improve its accountability, as well as a proposal to develop internal auditing procedures.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EBS</w:t>
            </w:r>
          </w:p>
        </w:tc>
      </w:tr>
      <w:tr w:rsidR="00622496" w:rsidRPr="00622496" w:rsidTr="00622496">
        <w:trPr>
          <w:trHeight w:val="4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12.</w:t>
            </w:r>
            <w:r w:rsidRPr="00622496">
              <w:rPr>
                <w:color w:val="000000"/>
                <w:sz w:val="14"/>
                <w:szCs w:val="14"/>
                <w:lang w:val="en-US"/>
              </w:rPr>
              <w:t xml:space="preserve">    </w:t>
            </w:r>
            <w:r w:rsidRPr="00622496">
              <w:rPr>
                <w:color w:val="000000"/>
                <w:lang w:val="en-US"/>
              </w:rPr>
              <w:t>EBS is making public its operational statistics, preferably on the web.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A public access link to operational information on EBS Website.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96" w:rsidRPr="00622496" w:rsidRDefault="00622496" w:rsidP="00622496">
            <w:pPr>
              <w:jc w:val="center"/>
              <w:rPr>
                <w:color w:val="000000"/>
                <w:lang w:val="en-US"/>
              </w:rPr>
            </w:pPr>
            <w:r w:rsidRPr="00622496">
              <w:rPr>
                <w:color w:val="000000"/>
                <w:lang w:val="en-US"/>
              </w:rPr>
              <w:t>EBS</w:t>
            </w:r>
          </w:p>
        </w:tc>
      </w:tr>
    </w:tbl>
    <w:p w:rsidR="00622496" w:rsidRPr="0057735A" w:rsidRDefault="00622496" w:rsidP="00622496">
      <w:pPr>
        <w:rPr>
          <w:lang w:val="en-US"/>
        </w:rPr>
      </w:pPr>
    </w:p>
    <w:sectPr w:rsidR="00622496" w:rsidRPr="0057735A" w:rsidSect="00EE52CE">
      <w:headerReference w:type="default" r:id="rId9"/>
      <w:footerReference w:type="default" r:id="rId10"/>
      <w:pgSz w:w="15840" w:h="12240" w:orient="landscape" w:code="1"/>
      <w:pgMar w:top="1008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1F" w:rsidRDefault="000A3F1F">
      <w:r>
        <w:separator/>
      </w:r>
    </w:p>
  </w:endnote>
  <w:endnote w:type="continuationSeparator" w:id="0">
    <w:p w:rsidR="000A3F1F" w:rsidRDefault="000A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1F" w:rsidRDefault="000A3F1F">
    <w:pPr>
      <w:pStyle w:val="Footer"/>
      <w:jc w:val="right"/>
    </w:pPr>
  </w:p>
  <w:p w:rsidR="000A3F1F" w:rsidRDefault="000A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1F" w:rsidRDefault="000A3F1F">
      <w:r>
        <w:separator/>
      </w:r>
    </w:p>
  </w:footnote>
  <w:footnote w:type="continuationSeparator" w:id="0">
    <w:p w:rsidR="000A3F1F" w:rsidRDefault="000A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1F" w:rsidRPr="008C106A" w:rsidRDefault="000A3F1F" w:rsidP="00221A9E">
    <w:pPr>
      <w:pStyle w:val="Header"/>
      <w:jc w:val="right"/>
      <w:rPr>
        <w:b/>
        <w:i/>
        <w:lang w:val="en-US"/>
      </w:rPr>
    </w:pPr>
    <w:r>
      <w:rPr>
        <w:b/>
        <w:i/>
        <w:lang w:val="en-US"/>
      </w:rPr>
      <w:t>S</w:t>
    </w:r>
    <w:r w:rsidR="00522118">
      <w:rPr>
        <w:b/>
        <w:i/>
        <w:lang w:val="en-US"/>
      </w:rPr>
      <w:t>U-L1035</w:t>
    </w:r>
    <w:r w:rsidRPr="00226D99">
      <w:rPr>
        <w:b/>
        <w:i/>
        <w:lang w:val="en-US"/>
      </w:rPr>
      <w:t xml:space="preserve"> – RESULTS FRAMEWORK </w:t>
    </w:r>
  </w:p>
  <w:p w:rsidR="000A3F1F" w:rsidRPr="008C106A" w:rsidRDefault="00E7159F">
    <w:pPr>
      <w:pStyle w:val="Header"/>
      <w:jc w:val="right"/>
      <w:rPr>
        <w:lang w:val="en-US"/>
      </w:rPr>
    </w:pPr>
    <w:sdt>
      <w:sdtPr>
        <w:id w:val="565053189"/>
        <w:docPartObj>
          <w:docPartGallery w:val="Page Numbers (Top of Page)"/>
          <w:docPartUnique/>
        </w:docPartObj>
      </w:sdtPr>
      <w:sdtEndPr/>
      <w:sdtContent>
        <w:r w:rsidR="000A3F1F" w:rsidRPr="00226D99">
          <w:rPr>
            <w:lang w:val="en-US"/>
          </w:rPr>
          <w:t xml:space="preserve">Page </w:t>
        </w:r>
        <w:r w:rsidR="000A3F1F">
          <w:rPr>
            <w:b/>
            <w:sz w:val="24"/>
            <w:szCs w:val="24"/>
          </w:rPr>
          <w:fldChar w:fldCharType="begin"/>
        </w:r>
        <w:r w:rsidR="000A3F1F" w:rsidRPr="00226D99">
          <w:rPr>
            <w:b/>
            <w:lang w:val="en-US"/>
          </w:rPr>
          <w:instrText xml:space="preserve"> PAGE </w:instrText>
        </w:r>
        <w:r w:rsidR="000A3F1F">
          <w:rPr>
            <w:b/>
            <w:sz w:val="24"/>
            <w:szCs w:val="24"/>
          </w:rPr>
          <w:fldChar w:fldCharType="separate"/>
        </w:r>
        <w:r>
          <w:rPr>
            <w:b/>
            <w:noProof/>
            <w:lang w:val="en-US"/>
          </w:rPr>
          <w:t>3</w:t>
        </w:r>
        <w:r w:rsidR="000A3F1F">
          <w:rPr>
            <w:b/>
            <w:sz w:val="24"/>
            <w:szCs w:val="24"/>
          </w:rPr>
          <w:fldChar w:fldCharType="end"/>
        </w:r>
        <w:r w:rsidR="000A3F1F" w:rsidRPr="00226D99">
          <w:rPr>
            <w:lang w:val="en-US"/>
          </w:rPr>
          <w:t xml:space="preserve"> of </w:t>
        </w:r>
        <w:r w:rsidR="000A3F1F">
          <w:rPr>
            <w:b/>
            <w:sz w:val="24"/>
            <w:szCs w:val="24"/>
          </w:rPr>
          <w:fldChar w:fldCharType="begin"/>
        </w:r>
        <w:r w:rsidR="000A3F1F" w:rsidRPr="00226D99">
          <w:rPr>
            <w:b/>
            <w:lang w:val="en-US"/>
          </w:rPr>
          <w:instrText xml:space="preserve"> NUMPAGES  </w:instrText>
        </w:r>
        <w:r w:rsidR="000A3F1F">
          <w:rPr>
            <w:b/>
            <w:sz w:val="24"/>
            <w:szCs w:val="24"/>
          </w:rPr>
          <w:fldChar w:fldCharType="separate"/>
        </w:r>
        <w:r>
          <w:rPr>
            <w:b/>
            <w:noProof/>
            <w:lang w:val="en-US"/>
          </w:rPr>
          <w:t>3</w:t>
        </w:r>
        <w:r w:rsidR="000A3F1F">
          <w:rPr>
            <w:b/>
            <w:sz w:val="24"/>
            <w:szCs w:val="24"/>
          </w:rPr>
          <w:fldChar w:fldCharType="end"/>
        </w:r>
      </w:sdtContent>
    </w:sdt>
  </w:p>
  <w:p w:rsidR="000A3F1F" w:rsidRPr="008C106A" w:rsidRDefault="000A3F1F" w:rsidP="00221A9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F66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239D9"/>
    <w:multiLevelType w:val="hybridMultilevel"/>
    <w:tmpl w:val="9566D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290E"/>
    <w:multiLevelType w:val="hybridMultilevel"/>
    <w:tmpl w:val="55D8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0D7C5F"/>
    <w:multiLevelType w:val="hybridMultilevel"/>
    <w:tmpl w:val="82E87262"/>
    <w:lvl w:ilvl="0" w:tplc="1AC0932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C794D"/>
    <w:multiLevelType w:val="multilevel"/>
    <w:tmpl w:val="96E2FEA8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7280D73"/>
    <w:multiLevelType w:val="hybridMultilevel"/>
    <w:tmpl w:val="67BC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B2A28"/>
    <w:multiLevelType w:val="multilevel"/>
    <w:tmpl w:val="FD3A3BD2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A1A18CD"/>
    <w:multiLevelType w:val="hybridMultilevel"/>
    <w:tmpl w:val="B09E1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771789"/>
    <w:multiLevelType w:val="hybridMultilevel"/>
    <w:tmpl w:val="40A0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7253"/>
    <w:multiLevelType w:val="hybridMultilevel"/>
    <w:tmpl w:val="63F40D6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BBD"/>
    <w:multiLevelType w:val="multilevel"/>
    <w:tmpl w:val="667C38CC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A565FD0"/>
    <w:multiLevelType w:val="hybridMultilevel"/>
    <w:tmpl w:val="1592FB38"/>
    <w:lvl w:ilvl="0" w:tplc="1AC09320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335D4694"/>
    <w:multiLevelType w:val="hybridMultilevel"/>
    <w:tmpl w:val="7076DEA2"/>
    <w:lvl w:ilvl="0" w:tplc="904ADF9A">
      <w:start w:val="1"/>
      <w:numFmt w:val="decimal"/>
      <w:pStyle w:val="FirstHeading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3894"/>
    <w:multiLevelType w:val="multilevel"/>
    <w:tmpl w:val="6CBAA96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F2D33FC"/>
    <w:multiLevelType w:val="hybridMultilevel"/>
    <w:tmpl w:val="E07E8C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4942E42"/>
    <w:multiLevelType w:val="hybridMultilevel"/>
    <w:tmpl w:val="B2561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C59FA"/>
    <w:multiLevelType w:val="multilevel"/>
    <w:tmpl w:val="9E5EFCC4"/>
    <w:lvl w:ilvl="0">
      <w:start w:val="1"/>
      <w:numFmt w:val="decimal"/>
      <w:pStyle w:val="Chapt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A01517D"/>
    <w:multiLevelType w:val="hybridMultilevel"/>
    <w:tmpl w:val="D1483FC0"/>
    <w:lvl w:ilvl="0" w:tplc="1AC0932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>
    <w:nsid w:val="528E5B50"/>
    <w:multiLevelType w:val="multilevel"/>
    <w:tmpl w:val="59269A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8C95DE6"/>
    <w:multiLevelType w:val="hybridMultilevel"/>
    <w:tmpl w:val="251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C4C1C"/>
    <w:multiLevelType w:val="hybridMultilevel"/>
    <w:tmpl w:val="404C3126"/>
    <w:lvl w:ilvl="0" w:tplc="6D1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31E98"/>
    <w:multiLevelType w:val="multilevel"/>
    <w:tmpl w:val="9AAAEE34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EFD00ED"/>
    <w:multiLevelType w:val="multilevel"/>
    <w:tmpl w:val="6A56E8B4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9"/>
  </w:num>
  <w:num w:numId="9">
    <w:abstractNumId w:val="15"/>
  </w:num>
  <w:num w:numId="10">
    <w:abstractNumId w:val="19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16"/>
  </w:num>
  <w:num w:numId="17">
    <w:abstractNumId w:val="6"/>
  </w:num>
  <w:num w:numId="18">
    <w:abstractNumId w:val="10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F9"/>
    <w:rsid w:val="00000949"/>
    <w:rsid w:val="00002FDE"/>
    <w:rsid w:val="00004DE6"/>
    <w:rsid w:val="00005AB5"/>
    <w:rsid w:val="0001206A"/>
    <w:rsid w:val="0001271F"/>
    <w:rsid w:val="000200D7"/>
    <w:rsid w:val="000254DD"/>
    <w:rsid w:val="00032653"/>
    <w:rsid w:val="00042F98"/>
    <w:rsid w:val="00044CC5"/>
    <w:rsid w:val="000451D2"/>
    <w:rsid w:val="00061EDB"/>
    <w:rsid w:val="00064628"/>
    <w:rsid w:val="00067318"/>
    <w:rsid w:val="00073B99"/>
    <w:rsid w:val="00084395"/>
    <w:rsid w:val="00084E17"/>
    <w:rsid w:val="00091F1B"/>
    <w:rsid w:val="00097209"/>
    <w:rsid w:val="000A3F1F"/>
    <w:rsid w:val="000A728A"/>
    <w:rsid w:val="000B0E38"/>
    <w:rsid w:val="000C1B58"/>
    <w:rsid w:val="000C459B"/>
    <w:rsid w:val="000C4914"/>
    <w:rsid w:val="000D0B74"/>
    <w:rsid w:val="000D4C0F"/>
    <w:rsid w:val="000E44AF"/>
    <w:rsid w:val="000E5828"/>
    <w:rsid w:val="000E6274"/>
    <w:rsid w:val="000F77B1"/>
    <w:rsid w:val="000F79DA"/>
    <w:rsid w:val="001007E3"/>
    <w:rsid w:val="00107A00"/>
    <w:rsid w:val="00141E25"/>
    <w:rsid w:val="001501C8"/>
    <w:rsid w:val="0015120B"/>
    <w:rsid w:val="0015307B"/>
    <w:rsid w:val="00160822"/>
    <w:rsid w:val="0016371D"/>
    <w:rsid w:val="00174E61"/>
    <w:rsid w:val="00176750"/>
    <w:rsid w:val="00181804"/>
    <w:rsid w:val="00181B26"/>
    <w:rsid w:val="00182625"/>
    <w:rsid w:val="0018595D"/>
    <w:rsid w:val="0019589D"/>
    <w:rsid w:val="00195B72"/>
    <w:rsid w:val="00196AA7"/>
    <w:rsid w:val="001A08F0"/>
    <w:rsid w:val="001B0BFE"/>
    <w:rsid w:val="001B1252"/>
    <w:rsid w:val="001B13B2"/>
    <w:rsid w:val="001B2782"/>
    <w:rsid w:val="001B53E9"/>
    <w:rsid w:val="001B6EDF"/>
    <w:rsid w:val="001C3380"/>
    <w:rsid w:val="001D7531"/>
    <w:rsid w:val="001E60F9"/>
    <w:rsid w:val="00201969"/>
    <w:rsid w:val="002114AE"/>
    <w:rsid w:val="00216546"/>
    <w:rsid w:val="00221A9E"/>
    <w:rsid w:val="00221CFF"/>
    <w:rsid w:val="002239EE"/>
    <w:rsid w:val="00223EF9"/>
    <w:rsid w:val="00226D99"/>
    <w:rsid w:val="00230405"/>
    <w:rsid w:val="00231EE6"/>
    <w:rsid w:val="0023724E"/>
    <w:rsid w:val="00241A1C"/>
    <w:rsid w:val="0024321C"/>
    <w:rsid w:val="00243DEF"/>
    <w:rsid w:val="00244578"/>
    <w:rsid w:val="00245ABF"/>
    <w:rsid w:val="00247641"/>
    <w:rsid w:val="002515B1"/>
    <w:rsid w:val="002563C4"/>
    <w:rsid w:val="00282472"/>
    <w:rsid w:val="00290B8B"/>
    <w:rsid w:val="002926A9"/>
    <w:rsid w:val="00293856"/>
    <w:rsid w:val="002A2520"/>
    <w:rsid w:val="002B1777"/>
    <w:rsid w:val="002B2074"/>
    <w:rsid w:val="002B53CC"/>
    <w:rsid w:val="002B6AD1"/>
    <w:rsid w:val="002C57B5"/>
    <w:rsid w:val="002C62BC"/>
    <w:rsid w:val="002D4F10"/>
    <w:rsid w:val="002E22EB"/>
    <w:rsid w:val="002F73F5"/>
    <w:rsid w:val="002F7B89"/>
    <w:rsid w:val="00307563"/>
    <w:rsid w:val="00310C02"/>
    <w:rsid w:val="0031161F"/>
    <w:rsid w:val="00313D6B"/>
    <w:rsid w:val="003347FE"/>
    <w:rsid w:val="003358E6"/>
    <w:rsid w:val="00337845"/>
    <w:rsid w:val="00337F5C"/>
    <w:rsid w:val="003459E1"/>
    <w:rsid w:val="0034714C"/>
    <w:rsid w:val="00347FEF"/>
    <w:rsid w:val="00352C89"/>
    <w:rsid w:val="00355908"/>
    <w:rsid w:val="0036050D"/>
    <w:rsid w:val="00360676"/>
    <w:rsid w:val="0036524A"/>
    <w:rsid w:val="00365CA5"/>
    <w:rsid w:val="00381ED8"/>
    <w:rsid w:val="00387348"/>
    <w:rsid w:val="003A211F"/>
    <w:rsid w:val="003A4432"/>
    <w:rsid w:val="003A7821"/>
    <w:rsid w:val="003B17BF"/>
    <w:rsid w:val="003B2D41"/>
    <w:rsid w:val="003B7F48"/>
    <w:rsid w:val="003C3318"/>
    <w:rsid w:val="003C6D17"/>
    <w:rsid w:val="003E4BBD"/>
    <w:rsid w:val="003F0D3C"/>
    <w:rsid w:val="003F3D72"/>
    <w:rsid w:val="004129DD"/>
    <w:rsid w:val="00412E4C"/>
    <w:rsid w:val="00420D9F"/>
    <w:rsid w:val="004260A3"/>
    <w:rsid w:val="00426EBC"/>
    <w:rsid w:val="004340EB"/>
    <w:rsid w:val="004559DA"/>
    <w:rsid w:val="0046179E"/>
    <w:rsid w:val="00462D50"/>
    <w:rsid w:val="00463BCD"/>
    <w:rsid w:val="0046706E"/>
    <w:rsid w:val="00474DF6"/>
    <w:rsid w:val="00480E7B"/>
    <w:rsid w:val="004A20C7"/>
    <w:rsid w:val="004A438D"/>
    <w:rsid w:val="004A457E"/>
    <w:rsid w:val="004B086B"/>
    <w:rsid w:val="004C3884"/>
    <w:rsid w:val="004D7357"/>
    <w:rsid w:val="004E5EB5"/>
    <w:rsid w:val="004F5E35"/>
    <w:rsid w:val="004F79DC"/>
    <w:rsid w:val="00502B8C"/>
    <w:rsid w:val="005207F4"/>
    <w:rsid w:val="00522118"/>
    <w:rsid w:val="00532007"/>
    <w:rsid w:val="00542B07"/>
    <w:rsid w:val="00547ED2"/>
    <w:rsid w:val="00552687"/>
    <w:rsid w:val="00552C1E"/>
    <w:rsid w:val="00560682"/>
    <w:rsid w:val="00563C30"/>
    <w:rsid w:val="00563E61"/>
    <w:rsid w:val="005663F3"/>
    <w:rsid w:val="00566A3E"/>
    <w:rsid w:val="0057062F"/>
    <w:rsid w:val="0057735A"/>
    <w:rsid w:val="0058042E"/>
    <w:rsid w:val="00582095"/>
    <w:rsid w:val="0058669F"/>
    <w:rsid w:val="00594061"/>
    <w:rsid w:val="0059439C"/>
    <w:rsid w:val="005A24F9"/>
    <w:rsid w:val="005B0033"/>
    <w:rsid w:val="005C14D0"/>
    <w:rsid w:val="005C34CA"/>
    <w:rsid w:val="005C48CA"/>
    <w:rsid w:val="005C6227"/>
    <w:rsid w:val="005D3B38"/>
    <w:rsid w:val="005D7E68"/>
    <w:rsid w:val="005E44BF"/>
    <w:rsid w:val="005E5C8F"/>
    <w:rsid w:val="005F165E"/>
    <w:rsid w:val="00600507"/>
    <w:rsid w:val="0060054A"/>
    <w:rsid w:val="0060463D"/>
    <w:rsid w:val="00605474"/>
    <w:rsid w:val="00605F4A"/>
    <w:rsid w:val="00613525"/>
    <w:rsid w:val="00622496"/>
    <w:rsid w:val="00627B21"/>
    <w:rsid w:val="00630097"/>
    <w:rsid w:val="00630421"/>
    <w:rsid w:val="00630916"/>
    <w:rsid w:val="00632DCF"/>
    <w:rsid w:val="00635FF9"/>
    <w:rsid w:val="00641054"/>
    <w:rsid w:val="00644A0F"/>
    <w:rsid w:val="00647000"/>
    <w:rsid w:val="00651FC1"/>
    <w:rsid w:val="006525DC"/>
    <w:rsid w:val="006531B8"/>
    <w:rsid w:val="006544CD"/>
    <w:rsid w:val="0065623C"/>
    <w:rsid w:val="006575D5"/>
    <w:rsid w:val="00662091"/>
    <w:rsid w:val="00665C76"/>
    <w:rsid w:val="006732B3"/>
    <w:rsid w:val="0068646A"/>
    <w:rsid w:val="00692236"/>
    <w:rsid w:val="00693F27"/>
    <w:rsid w:val="006A0A48"/>
    <w:rsid w:val="006A5CD0"/>
    <w:rsid w:val="006B184C"/>
    <w:rsid w:val="006B38C5"/>
    <w:rsid w:val="006B59AC"/>
    <w:rsid w:val="006B7C8F"/>
    <w:rsid w:val="006D6B5D"/>
    <w:rsid w:val="006E1221"/>
    <w:rsid w:val="006E50BA"/>
    <w:rsid w:val="006F3B4C"/>
    <w:rsid w:val="00706135"/>
    <w:rsid w:val="00706D8C"/>
    <w:rsid w:val="00714056"/>
    <w:rsid w:val="0072119E"/>
    <w:rsid w:val="00726540"/>
    <w:rsid w:val="00730438"/>
    <w:rsid w:val="00730732"/>
    <w:rsid w:val="007323E9"/>
    <w:rsid w:val="00740482"/>
    <w:rsid w:val="0074213A"/>
    <w:rsid w:val="00743CCF"/>
    <w:rsid w:val="00760B2C"/>
    <w:rsid w:val="00761CC9"/>
    <w:rsid w:val="00776EFA"/>
    <w:rsid w:val="0078102B"/>
    <w:rsid w:val="00783FAD"/>
    <w:rsid w:val="00785306"/>
    <w:rsid w:val="0078653E"/>
    <w:rsid w:val="00787640"/>
    <w:rsid w:val="00796CC2"/>
    <w:rsid w:val="0079717B"/>
    <w:rsid w:val="007A44A3"/>
    <w:rsid w:val="007A5607"/>
    <w:rsid w:val="007A5EFE"/>
    <w:rsid w:val="007A73E0"/>
    <w:rsid w:val="007C0428"/>
    <w:rsid w:val="007C4AE2"/>
    <w:rsid w:val="007D2A91"/>
    <w:rsid w:val="007D724B"/>
    <w:rsid w:val="007D7611"/>
    <w:rsid w:val="007E4980"/>
    <w:rsid w:val="007F1B5F"/>
    <w:rsid w:val="00807D42"/>
    <w:rsid w:val="00813520"/>
    <w:rsid w:val="00813CAF"/>
    <w:rsid w:val="00814BB0"/>
    <w:rsid w:val="00824C30"/>
    <w:rsid w:val="00833A61"/>
    <w:rsid w:val="0083659F"/>
    <w:rsid w:val="00843A6E"/>
    <w:rsid w:val="00844C2E"/>
    <w:rsid w:val="00844D36"/>
    <w:rsid w:val="00850AF5"/>
    <w:rsid w:val="00857439"/>
    <w:rsid w:val="008666F3"/>
    <w:rsid w:val="00870F49"/>
    <w:rsid w:val="00873846"/>
    <w:rsid w:val="00874953"/>
    <w:rsid w:val="00877C55"/>
    <w:rsid w:val="00880393"/>
    <w:rsid w:val="008841C5"/>
    <w:rsid w:val="0089578F"/>
    <w:rsid w:val="008958B1"/>
    <w:rsid w:val="008A4B2E"/>
    <w:rsid w:val="008B4E23"/>
    <w:rsid w:val="008B5AF9"/>
    <w:rsid w:val="008C106A"/>
    <w:rsid w:val="008C51CA"/>
    <w:rsid w:val="008C7C14"/>
    <w:rsid w:val="008D3F3C"/>
    <w:rsid w:val="008E07B9"/>
    <w:rsid w:val="008F26F2"/>
    <w:rsid w:val="008F3E65"/>
    <w:rsid w:val="008F6888"/>
    <w:rsid w:val="008F7CC1"/>
    <w:rsid w:val="008F7D46"/>
    <w:rsid w:val="00900875"/>
    <w:rsid w:val="009053BF"/>
    <w:rsid w:val="00905C9D"/>
    <w:rsid w:val="00906764"/>
    <w:rsid w:val="009118A7"/>
    <w:rsid w:val="009132AD"/>
    <w:rsid w:val="009274D6"/>
    <w:rsid w:val="00935586"/>
    <w:rsid w:val="00940678"/>
    <w:rsid w:val="0094097B"/>
    <w:rsid w:val="009421E4"/>
    <w:rsid w:val="00942D3B"/>
    <w:rsid w:val="0096529D"/>
    <w:rsid w:val="00966A89"/>
    <w:rsid w:val="0096796F"/>
    <w:rsid w:val="00971690"/>
    <w:rsid w:val="00971A83"/>
    <w:rsid w:val="00974774"/>
    <w:rsid w:val="00974B33"/>
    <w:rsid w:val="009760C5"/>
    <w:rsid w:val="0098490C"/>
    <w:rsid w:val="00992B0A"/>
    <w:rsid w:val="00994629"/>
    <w:rsid w:val="009A53B4"/>
    <w:rsid w:val="009B0B73"/>
    <w:rsid w:val="009B26D5"/>
    <w:rsid w:val="009B6441"/>
    <w:rsid w:val="009C0668"/>
    <w:rsid w:val="009C0A8D"/>
    <w:rsid w:val="009F10A9"/>
    <w:rsid w:val="009F1505"/>
    <w:rsid w:val="00A0196C"/>
    <w:rsid w:val="00A02538"/>
    <w:rsid w:val="00A07AA8"/>
    <w:rsid w:val="00A16FEA"/>
    <w:rsid w:val="00A17DFB"/>
    <w:rsid w:val="00A242C9"/>
    <w:rsid w:val="00A24566"/>
    <w:rsid w:val="00A313F8"/>
    <w:rsid w:val="00A469EE"/>
    <w:rsid w:val="00A520EA"/>
    <w:rsid w:val="00A55555"/>
    <w:rsid w:val="00A6210A"/>
    <w:rsid w:val="00A74BCC"/>
    <w:rsid w:val="00A80AC1"/>
    <w:rsid w:val="00A83FD5"/>
    <w:rsid w:val="00A86CE7"/>
    <w:rsid w:val="00A87776"/>
    <w:rsid w:val="00A92AD6"/>
    <w:rsid w:val="00A9376A"/>
    <w:rsid w:val="00AA1655"/>
    <w:rsid w:val="00AA7284"/>
    <w:rsid w:val="00AB126D"/>
    <w:rsid w:val="00AB49D5"/>
    <w:rsid w:val="00AC27F8"/>
    <w:rsid w:val="00AD0CEA"/>
    <w:rsid w:val="00AD1730"/>
    <w:rsid w:val="00AD4395"/>
    <w:rsid w:val="00AE3D2A"/>
    <w:rsid w:val="00B00E85"/>
    <w:rsid w:val="00B10449"/>
    <w:rsid w:val="00B146C3"/>
    <w:rsid w:val="00B44960"/>
    <w:rsid w:val="00B44F99"/>
    <w:rsid w:val="00B46834"/>
    <w:rsid w:val="00B60059"/>
    <w:rsid w:val="00B6144F"/>
    <w:rsid w:val="00B62763"/>
    <w:rsid w:val="00B659BE"/>
    <w:rsid w:val="00B77490"/>
    <w:rsid w:val="00B826C3"/>
    <w:rsid w:val="00B837F0"/>
    <w:rsid w:val="00B87A16"/>
    <w:rsid w:val="00BA2C9C"/>
    <w:rsid w:val="00BA4CEA"/>
    <w:rsid w:val="00BB4D7B"/>
    <w:rsid w:val="00BB5614"/>
    <w:rsid w:val="00BB568D"/>
    <w:rsid w:val="00BE4F2F"/>
    <w:rsid w:val="00BF1EFB"/>
    <w:rsid w:val="00C15B24"/>
    <w:rsid w:val="00C160AF"/>
    <w:rsid w:val="00C2135E"/>
    <w:rsid w:val="00C45F58"/>
    <w:rsid w:val="00C50F7F"/>
    <w:rsid w:val="00C6291A"/>
    <w:rsid w:val="00C641C4"/>
    <w:rsid w:val="00C704AC"/>
    <w:rsid w:val="00C7142C"/>
    <w:rsid w:val="00C72A45"/>
    <w:rsid w:val="00C74179"/>
    <w:rsid w:val="00C827AB"/>
    <w:rsid w:val="00C92311"/>
    <w:rsid w:val="00C96EC3"/>
    <w:rsid w:val="00C97300"/>
    <w:rsid w:val="00CA346A"/>
    <w:rsid w:val="00CA5CBD"/>
    <w:rsid w:val="00CB0E51"/>
    <w:rsid w:val="00CD0863"/>
    <w:rsid w:val="00CD1F77"/>
    <w:rsid w:val="00CD5A65"/>
    <w:rsid w:val="00CE4602"/>
    <w:rsid w:val="00CE5225"/>
    <w:rsid w:val="00CE5677"/>
    <w:rsid w:val="00CE58D3"/>
    <w:rsid w:val="00D00E25"/>
    <w:rsid w:val="00D013CE"/>
    <w:rsid w:val="00D34A18"/>
    <w:rsid w:val="00D40FA1"/>
    <w:rsid w:val="00D43C65"/>
    <w:rsid w:val="00D44388"/>
    <w:rsid w:val="00D45AD7"/>
    <w:rsid w:val="00D51D3C"/>
    <w:rsid w:val="00D57C74"/>
    <w:rsid w:val="00D63140"/>
    <w:rsid w:val="00D840C6"/>
    <w:rsid w:val="00D8454B"/>
    <w:rsid w:val="00D91A83"/>
    <w:rsid w:val="00DA609F"/>
    <w:rsid w:val="00DC3F13"/>
    <w:rsid w:val="00DC46CC"/>
    <w:rsid w:val="00DC72EC"/>
    <w:rsid w:val="00DD1188"/>
    <w:rsid w:val="00DD3E87"/>
    <w:rsid w:val="00DD6B23"/>
    <w:rsid w:val="00DE19F1"/>
    <w:rsid w:val="00DE3A55"/>
    <w:rsid w:val="00DE635B"/>
    <w:rsid w:val="00E02DCF"/>
    <w:rsid w:val="00E04164"/>
    <w:rsid w:val="00E06BBB"/>
    <w:rsid w:val="00E12507"/>
    <w:rsid w:val="00E12816"/>
    <w:rsid w:val="00E1679E"/>
    <w:rsid w:val="00E211EB"/>
    <w:rsid w:val="00E25D8C"/>
    <w:rsid w:val="00E262EF"/>
    <w:rsid w:val="00E32768"/>
    <w:rsid w:val="00E457AB"/>
    <w:rsid w:val="00E50BBB"/>
    <w:rsid w:val="00E53866"/>
    <w:rsid w:val="00E54F66"/>
    <w:rsid w:val="00E55763"/>
    <w:rsid w:val="00E603E3"/>
    <w:rsid w:val="00E60FEE"/>
    <w:rsid w:val="00E63D98"/>
    <w:rsid w:val="00E7159F"/>
    <w:rsid w:val="00E73744"/>
    <w:rsid w:val="00E77E0D"/>
    <w:rsid w:val="00E92860"/>
    <w:rsid w:val="00EB0D56"/>
    <w:rsid w:val="00EB1EA0"/>
    <w:rsid w:val="00EB2663"/>
    <w:rsid w:val="00EC7B50"/>
    <w:rsid w:val="00EC7B7D"/>
    <w:rsid w:val="00ED48A8"/>
    <w:rsid w:val="00EE24E8"/>
    <w:rsid w:val="00EE4CCB"/>
    <w:rsid w:val="00EE52CE"/>
    <w:rsid w:val="00EF284A"/>
    <w:rsid w:val="00F02A42"/>
    <w:rsid w:val="00F060EA"/>
    <w:rsid w:val="00F1714F"/>
    <w:rsid w:val="00F251C3"/>
    <w:rsid w:val="00F3680E"/>
    <w:rsid w:val="00F40870"/>
    <w:rsid w:val="00F45C68"/>
    <w:rsid w:val="00F51480"/>
    <w:rsid w:val="00F540B2"/>
    <w:rsid w:val="00F55324"/>
    <w:rsid w:val="00F56A98"/>
    <w:rsid w:val="00F70141"/>
    <w:rsid w:val="00F82906"/>
    <w:rsid w:val="00F8413A"/>
    <w:rsid w:val="00F955E0"/>
    <w:rsid w:val="00F977A8"/>
    <w:rsid w:val="00FA6310"/>
    <w:rsid w:val="00FA7429"/>
    <w:rsid w:val="00FC10EF"/>
    <w:rsid w:val="00FC21F0"/>
    <w:rsid w:val="00FC57A3"/>
    <w:rsid w:val="00FD6342"/>
    <w:rsid w:val="00FD6ABB"/>
    <w:rsid w:val="00FE422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1B"/>
    <w:rPr>
      <w:lang w:val="es-ES" w:eastAsia="en-US"/>
    </w:rPr>
  </w:style>
  <w:style w:type="paragraph" w:styleId="Heading1">
    <w:name w:val="heading 1"/>
    <w:basedOn w:val="Normal"/>
    <w:next w:val="Normal"/>
    <w:qFormat/>
    <w:rsid w:val="00091F1B"/>
    <w:pPr>
      <w:keepNext/>
      <w:jc w:val="center"/>
      <w:outlineLvl w:val="0"/>
    </w:pPr>
    <w:rPr>
      <w:rFonts w:ascii="Times New Roman Bold" w:hAnsi="Times New Roman Bold"/>
      <w:b/>
      <w:bCs/>
      <w:caps/>
      <w:sz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23E9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23E9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23E9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23E9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23E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23E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23E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23E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91F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091F1B"/>
    <w:rPr>
      <w:color w:val="auto"/>
    </w:rPr>
  </w:style>
  <w:style w:type="paragraph" w:styleId="ListBullet">
    <w:name w:val="List Bullet"/>
    <w:basedOn w:val="Normal"/>
    <w:rsid w:val="00091F1B"/>
    <w:pPr>
      <w:numPr>
        <w:numId w:val="2"/>
      </w:numPr>
      <w:tabs>
        <w:tab w:val="clear" w:pos="360"/>
        <w:tab w:val="num" w:pos="720"/>
      </w:tabs>
      <w:spacing w:after="240"/>
      <w:ind w:left="720" w:hanging="720"/>
    </w:pPr>
    <w:rPr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91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1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F1B"/>
  </w:style>
  <w:style w:type="paragraph" w:styleId="BodyText2">
    <w:name w:val="Body Text 2"/>
    <w:basedOn w:val="Normal"/>
    <w:rsid w:val="00091F1B"/>
    <w:pPr>
      <w:spacing w:before="60" w:after="60"/>
    </w:pPr>
    <w:rPr>
      <w:b/>
      <w:bCs/>
      <w:lang w:val="en-US"/>
    </w:rPr>
  </w:style>
  <w:style w:type="paragraph" w:styleId="BodyText3">
    <w:name w:val="Body Text 3"/>
    <w:basedOn w:val="Normal"/>
    <w:rsid w:val="00091F1B"/>
    <w:pPr>
      <w:spacing w:before="60" w:after="60"/>
    </w:pPr>
    <w:rPr>
      <w:sz w:val="22"/>
      <w:lang w:val="en-US"/>
    </w:rPr>
  </w:style>
  <w:style w:type="character" w:styleId="FootnoteReference">
    <w:name w:val="footnote reference"/>
    <w:aliases w:val="ftref"/>
    <w:basedOn w:val="DefaultParagraphFont"/>
    <w:semiHidden/>
    <w:rsid w:val="003A211F"/>
    <w:rPr>
      <w:vertAlign w:val="superscript"/>
    </w:rPr>
  </w:style>
  <w:style w:type="paragraph" w:styleId="FootnoteText">
    <w:name w:val="footnote text"/>
    <w:aliases w:val="fn,FOOTNOTES,single space,ALTS FOOTNOTE,Footnote Text Char1,Footnote Text Char Char,Note de bas de page Car,footnote text,Footnote Text Char,Fodnotetekst Tegn,Fodnotetekst Tegn Char,footnote text Char Char Char"/>
    <w:basedOn w:val="Normal"/>
    <w:semiHidden/>
    <w:rsid w:val="003A211F"/>
    <w:pPr>
      <w:keepNext/>
      <w:keepLines/>
      <w:spacing w:after="120"/>
      <w:ind w:left="288" w:hanging="288"/>
      <w:jc w:val="both"/>
    </w:pPr>
    <w:rPr>
      <w:spacing w:val="-3"/>
      <w:lang w:val="en-US"/>
    </w:rPr>
  </w:style>
  <w:style w:type="character" w:styleId="CommentReference">
    <w:name w:val="annotation reference"/>
    <w:basedOn w:val="DefaultParagraphFont"/>
    <w:semiHidden/>
    <w:rsid w:val="00BB568D"/>
    <w:rPr>
      <w:sz w:val="16"/>
      <w:szCs w:val="16"/>
    </w:rPr>
  </w:style>
  <w:style w:type="paragraph" w:styleId="CommentText">
    <w:name w:val="annotation text"/>
    <w:basedOn w:val="Normal"/>
    <w:semiHidden/>
    <w:rsid w:val="00BB568D"/>
  </w:style>
  <w:style w:type="paragraph" w:styleId="CommentSubject">
    <w:name w:val="annotation subject"/>
    <w:basedOn w:val="CommentText"/>
    <w:next w:val="CommentText"/>
    <w:semiHidden/>
    <w:rsid w:val="00BB568D"/>
    <w:rPr>
      <w:b/>
      <w:bCs/>
    </w:rPr>
  </w:style>
  <w:style w:type="paragraph" w:styleId="BalloonText">
    <w:name w:val="Balloon Text"/>
    <w:basedOn w:val="Normal"/>
    <w:semiHidden/>
    <w:rsid w:val="00BB56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50BA"/>
    <w:rPr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0BA"/>
    <w:rPr>
      <w:lang w:val="es-ES" w:eastAsia="en-US"/>
    </w:rPr>
  </w:style>
  <w:style w:type="paragraph" w:styleId="ListParagraph">
    <w:name w:val="List Paragraph"/>
    <w:basedOn w:val="Normal"/>
    <w:uiPriority w:val="34"/>
    <w:qFormat/>
    <w:rsid w:val="006D6B5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B7C8F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C97300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7300"/>
    <w:rPr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C97300"/>
    <w:rPr>
      <w:vertAlign w:val="superscript"/>
    </w:rPr>
  </w:style>
  <w:style w:type="paragraph" w:customStyle="1" w:styleId="Chapter">
    <w:name w:val="Chapter"/>
    <w:basedOn w:val="Normal"/>
    <w:next w:val="Normal"/>
    <w:link w:val="ChapterChar"/>
    <w:rsid w:val="007323E9"/>
    <w:pPr>
      <w:keepNext/>
      <w:numPr>
        <w:numId w:val="16"/>
      </w:numPr>
      <w:tabs>
        <w:tab w:val="num" w:pos="648"/>
        <w:tab w:val="left" w:pos="1440"/>
      </w:tabs>
      <w:spacing w:before="240" w:after="240"/>
      <w:ind w:left="0" w:firstLine="288"/>
      <w:jc w:val="center"/>
    </w:pPr>
    <w:rPr>
      <w:b/>
      <w:smallCaps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323E9"/>
    <w:rPr>
      <w:color w:val="000000"/>
      <w:sz w:val="24"/>
      <w:szCs w:val="24"/>
      <w:lang w:val="en-US" w:eastAsia="en-US"/>
    </w:rPr>
  </w:style>
  <w:style w:type="character" w:customStyle="1" w:styleId="ChapterChar">
    <w:name w:val="Chapter Char"/>
    <w:basedOn w:val="DefaultChar"/>
    <w:link w:val="Chapter"/>
    <w:rsid w:val="007323E9"/>
    <w:rPr>
      <w:b/>
      <w:smallCaps/>
      <w:color w:val="000000"/>
      <w:sz w:val="24"/>
      <w:szCs w:val="24"/>
      <w:lang w:val="es-ES" w:eastAsia="en-US"/>
    </w:rPr>
  </w:style>
  <w:style w:type="paragraph" w:customStyle="1" w:styleId="FirstHeading">
    <w:name w:val="FirstHeading"/>
    <w:basedOn w:val="Normal"/>
    <w:next w:val="Normal"/>
    <w:link w:val="FirstHeadingChar"/>
    <w:rsid w:val="007323E9"/>
    <w:pPr>
      <w:keepNext/>
      <w:numPr>
        <w:numId w:val="14"/>
      </w:numPr>
      <w:tabs>
        <w:tab w:val="left" w:pos="0"/>
        <w:tab w:val="left" w:pos="86"/>
      </w:tabs>
      <w:spacing w:before="120" w:after="120"/>
      <w:ind w:left="720" w:hanging="720"/>
    </w:pPr>
    <w:rPr>
      <w:b/>
      <w:color w:val="000000"/>
      <w:sz w:val="24"/>
      <w:szCs w:val="24"/>
    </w:rPr>
  </w:style>
  <w:style w:type="character" w:customStyle="1" w:styleId="FirstHeadingChar">
    <w:name w:val="FirstHeading Char"/>
    <w:basedOn w:val="DefaultChar"/>
    <w:link w:val="FirstHeading"/>
    <w:rsid w:val="007323E9"/>
    <w:rPr>
      <w:b/>
      <w:color w:val="000000"/>
      <w:sz w:val="24"/>
      <w:szCs w:val="24"/>
      <w:lang w:val="es-ES" w:eastAsia="en-US"/>
    </w:rPr>
  </w:style>
  <w:style w:type="paragraph" w:customStyle="1" w:styleId="SecHeading">
    <w:name w:val="SecHeading"/>
    <w:basedOn w:val="Normal"/>
    <w:next w:val="Paragraph"/>
    <w:link w:val="SecHeadingChar"/>
    <w:rsid w:val="007323E9"/>
    <w:pPr>
      <w:keepNext/>
      <w:tabs>
        <w:tab w:val="num" w:pos="1296"/>
      </w:tabs>
      <w:spacing w:before="120" w:after="120"/>
      <w:ind w:left="1296" w:hanging="576"/>
    </w:pPr>
    <w:rPr>
      <w:b/>
      <w:color w:val="000000"/>
      <w:sz w:val="24"/>
      <w:szCs w:val="24"/>
    </w:rPr>
  </w:style>
  <w:style w:type="character" w:customStyle="1" w:styleId="SecHeadingChar">
    <w:name w:val="SecHeading Char"/>
    <w:basedOn w:val="DefaultChar"/>
    <w:link w:val="SecHeading"/>
    <w:rsid w:val="007323E9"/>
    <w:rPr>
      <w:b/>
      <w:color w:val="000000"/>
      <w:sz w:val="24"/>
      <w:szCs w:val="24"/>
      <w:lang w:val="es-ES" w:eastAsia="en-US"/>
    </w:rPr>
  </w:style>
  <w:style w:type="paragraph" w:customStyle="1" w:styleId="SubHeading1">
    <w:name w:val="SubHeading1"/>
    <w:basedOn w:val="SecHeading"/>
    <w:link w:val="SubHeading1Char"/>
    <w:rsid w:val="007323E9"/>
    <w:pPr>
      <w:tabs>
        <w:tab w:val="clear" w:pos="1296"/>
        <w:tab w:val="num" w:pos="1872"/>
      </w:tabs>
      <w:ind w:left="1872"/>
    </w:pPr>
    <w:rPr>
      <w:color w:val="auto"/>
    </w:rPr>
  </w:style>
  <w:style w:type="character" w:customStyle="1" w:styleId="SubHeading1Char">
    <w:name w:val="SubHeading1 Char"/>
    <w:basedOn w:val="DefaultChar"/>
    <w:link w:val="SubHeading1"/>
    <w:rsid w:val="007323E9"/>
    <w:rPr>
      <w:b/>
      <w:color w:val="000000"/>
      <w:sz w:val="24"/>
      <w:szCs w:val="24"/>
      <w:lang w:val="es-ES" w:eastAsia="en-US"/>
    </w:rPr>
  </w:style>
  <w:style w:type="paragraph" w:customStyle="1" w:styleId="Subheading2">
    <w:name w:val="Subheading2"/>
    <w:basedOn w:val="SecHeading"/>
    <w:link w:val="Subheading2Char"/>
    <w:rsid w:val="007323E9"/>
    <w:pPr>
      <w:tabs>
        <w:tab w:val="clear" w:pos="1296"/>
        <w:tab w:val="num" w:pos="2376"/>
      </w:tabs>
      <w:ind w:left="2376" w:hanging="288"/>
    </w:pPr>
    <w:rPr>
      <w:color w:val="auto"/>
    </w:rPr>
  </w:style>
  <w:style w:type="character" w:customStyle="1" w:styleId="Subheading2Char">
    <w:name w:val="Subheading2 Char"/>
    <w:basedOn w:val="DefaultChar"/>
    <w:link w:val="Subheading2"/>
    <w:rsid w:val="007323E9"/>
    <w:rPr>
      <w:b/>
      <w:color w:val="000000"/>
      <w:sz w:val="24"/>
      <w:szCs w:val="24"/>
      <w:lang w:val="es-ES" w:eastAsia="en-US"/>
    </w:rPr>
  </w:style>
  <w:style w:type="paragraph" w:customStyle="1" w:styleId="Paragraph">
    <w:name w:val="Paragraph"/>
    <w:basedOn w:val="BodyTextIndent"/>
    <w:link w:val="ParagraphChar"/>
    <w:rsid w:val="007323E9"/>
    <w:pPr>
      <w:tabs>
        <w:tab w:val="num" w:pos="720"/>
      </w:tabs>
      <w:spacing w:before="120"/>
      <w:ind w:left="720" w:hanging="720"/>
      <w:jc w:val="both"/>
      <w:outlineLvl w:val="1"/>
    </w:pPr>
    <w:rPr>
      <w:color w:val="000000"/>
      <w:szCs w:val="24"/>
    </w:rPr>
  </w:style>
  <w:style w:type="character" w:customStyle="1" w:styleId="ParagraphChar">
    <w:name w:val="Paragraph Char"/>
    <w:basedOn w:val="DefaultChar"/>
    <w:link w:val="Paragraph"/>
    <w:rsid w:val="007323E9"/>
    <w:rPr>
      <w:color w:val="000000"/>
      <w:sz w:val="24"/>
      <w:szCs w:val="24"/>
      <w:lang w:val="es-ES" w:eastAsia="en-US"/>
    </w:rPr>
  </w:style>
  <w:style w:type="paragraph" w:customStyle="1" w:styleId="subpar">
    <w:name w:val="subpar"/>
    <w:basedOn w:val="BodyTextIndent3"/>
    <w:link w:val="subparChar"/>
    <w:rsid w:val="007323E9"/>
    <w:pPr>
      <w:tabs>
        <w:tab w:val="num" w:pos="1152"/>
      </w:tabs>
      <w:spacing w:before="120"/>
      <w:ind w:left="1152" w:hanging="432"/>
      <w:jc w:val="both"/>
      <w:outlineLvl w:val="2"/>
    </w:pPr>
    <w:rPr>
      <w:color w:val="000000"/>
    </w:rPr>
  </w:style>
  <w:style w:type="character" w:customStyle="1" w:styleId="subparChar">
    <w:name w:val="subpar Char"/>
    <w:basedOn w:val="DefaultChar"/>
    <w:link w:val="subpar"/>
    <w:rsid w:val="007323E9"/>
    <w:rPr>
      <w:color w:val="000000"/>
      <w:sz w:val="24"/>
      <w:szCs w:val="16"/>
      <w:lang w:val="es-ES" w:eastAsia="en-US"/>
    </w:rPr>
  </w:style>
  <w:style w:type="paragraph" w:customStyle="1" w:styleId="SubSubPar">
    <w:name w:val="SubSubPar"/>
    <w:basedOn w:val="subpar"/>
    <w:link w:val="SubSubParChar"/>
    <w:rsid w:val="007323E9"/>
    <w:pPr>
      <w:tabs>
        <w:tab w:val="clear" w:pos="1152"/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Char"/>
    <w:link w:val="SubSubPar"/>
    <w:rsid w:val="007323E9"/>
    <w:rPr>
      <w:color w:val="000000"/>
      <w:sz w:val="24"/>
      <w:szCs w:val="16"/>
      <w:lang w:val="es-ES" w:eastAsia="en-US"/>
    </w:rPr>
  </w:style>
  <w:style w:type="paragraph" w:customStyle="1" w:styleId="Regtable">
    <w:name w:val="Regtable"/>
    <w:basedOn w:val="Normal"/>
    <w:link w:val="RegtableChar"/>
    <w:rsid w:val="007323E9"/>
    <w:pPr>
      <w:keepLines/>
      <w:framePr w:wrap="around" w:vAnchor="text" w:hAnchor="text" w:y="1"/>
      <w:spacing w:before="20" w:after="20"/>
    </w:pPr>
    <w:rPr>
      <w:color w:val="000000"/>
      <w:sz w:val="24"/>
      <w:szCs w:val="24"/>
    </w:rPr>
  </w:style>
  <w:style w:type="character" w:customStyle="1" w:styleId="RegtableChar">
    <w:name w:val="Regtable Char"/>
    <w:basedOn w:val="DefaultChar"/>
    <w:link w:val="Regtable"/>
    <w:rsid w:val="007323E9"/>
    <w:rPr>
      <w:color w:val="000000"/>
      <w:sz w:val="24"/>
      <w:szCs w:val="24"/>
      <w:lang w:val="es-ES" w:eastAsia="en-US"/>
    </w:rPr>
  </w:style>
  <w:style w:type="paragraph" w:customStyle="1" w:styleId="TableTitle">
    <w:name w:val="TableTitle"/>
    <w:basedOn w:val="Normal"/>
    <w:link w:val="TableTitleChar"/>
    <w:rsid w:val="007323E9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 w:cs="Times New Roman Bold"/>
      <w:b/>
      <w:color w:val="000000"/>
      <w:spacing w:val="-3"/>
      <w:sz w:val="24"/>
      <w:szCs w:val="24"/>
    </w:rPr>
  </w:style>
  <w:style w:type="character" w:customStyle="1" w:styleId="TableTitleChar">
    <w:name w:val="TableTitle Char"/>
    <w:basedOn w:val="DefaultChar"/>
    <w:link w:val="TableTitle"/>
    <w:rsid w:val="007323E9"/>
    <w:rPr>
      <w:rFonts w:ascii="Times New Roman Bold" w:hAnsi="Times New Roman Bold" w:cs="Times New Roman Bold"/>
      <w:b/>
      <w:color w:val="000000"/>
      <w:spacing w:val="-3"/>
      <w:sz w:val="24"/>
      <w:szCs w:val="24"/>
      <w:lang w:val="es-ES" w:eastAsia="en-US"/>
    </w:rPr>
  </w:style>
  <w:style w:type="character" w:customStyle="1" w:styleId="Heading2Char">
    <w:name w:val="Heading 2 Char"/>
    <w:basedOn w:val="DefaultParagraphFont"/>
    <w:link w:val="Heading2"/>
    <w:semiHidden/>
    <w:rsid w:val="0073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semiHidden/>
    <w:rsid w:val="007323E9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323E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323E9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customStyle="1" w:styleId="Heading6Char">
    <w:name w:val="Heading 6 Char"/>
    <w:basedOn w:val="DefaultParagraphFont"/>
    <w:link w:val="Heading6"/>
    <w:semiHidden/>
    <w:rsid w:val="007323E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character" w:customStyle="1" w:styleId="Heading7Char">
    <w:name w:val="Heading 7 Char"/>
    <w:basedOn w:val="DefaultParagraphFont"/>
    <w:link w:val="Heading7"/>
    <w:semiHidden/>
    <w:rsid w:val="007323E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character" w:customStyle="1" w:styleId="Heading8Char">
    <w:name w:val="Heading 8 Char"/>
    <w:basedOn w:val="DefaultParagraphFont"/>
    <w:link w:val="Heading8"/>
    <w:semiHidden/>
    <w:rsid w:val="007323E9"/>
    <w:rPr>
      <w:rFonts w:asciiTheme="majorHAnsi" w:eastAsiaTheme="majorEastAsia" w:hAnsiTheme="majorHAnsi" w:cstheme="majorBidi"/>
      <w:color w:val="404040" w:themeColor="text1" w:themeTint="BF"/>
      <w:lang w:val="es-ES" w:eastAsia="en-US"/>
    </w:rPr>
  </w:style>
  <w:style w:type="character" w:customStyle="1" w:styleId="Heading9Char">
    <w:name w:val="Heading 9 Char"/>
    <w:basedOn w:val="DefaultParagraphFont"/>
    <w:link w:val="Heading9"/>
    <w:semiHidden/>
    <w:rsid w:val="007323E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BodyTextIndent">
    <w:name w:val="Body Text Indent"/>
    <w:basedOn w:val="Normal"/>
    <w:link w:val="BodyTextIndentChar"/>
    <w:rsid w:val="007323E9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323E9"/>
    <w:rPr>
      <w:sz w:val="24"/>
      <w:lang w:val="es-ES" w:eastAsia="en-US"/>
    </w:rPr>
  </w:style>
  <w:style w:type="paragraph" w:styleId="BodyTextIndent3">
    <w:name w:val="Body Text Indent 3"/>
    <w:basedOn w:val="Normal"/>
    <w:link w:val="BodyTextIndent3Char"/>
    <w:rsid w:val="007323E9"/>
    <w:pPr>
      <w:spacing w:after="120"/>
      <w:ind w:left="360"/>
    </w:pPr>
    <w:rPr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3E9"/>
    <w:rPr>
      <w:sz w:val="24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1B"/>
    <w:rPr>
      <w:lang w:val="es-ES" w:eastAsia="en-US"/>
    </w:rPr>
  </w:style>
  <w:style w:type="paragraph" w:styleId="Heading1">
    <w:name w:val="heading 1"/>
    <w:basedOn w:val="Normal"/>
    <w:next w:val="Normal"/>
    <w:qFormat/>
    <w:rsid w:val="00091F1B"/>
    <w:pPr>
      <w:keepNext/>
      <w:jc w:val="center"/>
      <w:outlineLvl w:val="0"/>
    </w:pPr>
    <w:rPr>
      <w:rFonts w:ascii="Times New Roman Bold" w:hAnsi="Times New Roman Bold"/>
      <w:b/>
      <w:bCs/>
      <w:caps/>
      <w:sz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23E9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23E9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23E9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23E9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23E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23E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23E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23E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91F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091F1B"/>
    <w:rPr>
      <w:color w:val="auto"/>
    </w:rPr>
  </w:style>
  <w:style w:type="paragraph" w:styleId="ListBullet">
    <w:name w:val="List Bullet"/>
    <w:basedOn w:val="Normal"/>
    <w:rsid w:val="00091F1B"/>
    <w:pPr>
      <w:numPr>
        <w:numId w:val="2"/>
      </w:numPr>
      <w:tabs>
        <w:tab w:val="clear" w:pos="360"/>
        <w:tab w:val="num" w:pos="720"/>
      </w:tabs>
      <w:spacing w:after="240"/>
      <w:ind w:left="720" w:hanging="720"/>
    </w:pPr>
    <w:rPr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91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1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F1B"/>
  </w:style>
  <w:style w:type="paragraph" w:styleId="BodyText2">
    <w:name w:val="Body Text 2"/>
    <w:basedOn w:val="Normal"/>
    <w:rsid w:val="00091F1B"/>
    <w:pPr>
      <w:spacing w:before="60" w:after="60"/>
    </w:pPr>
    <w:rPr>
      <w:b/>
      <w:bCs/>
      <w:lang w:val="en-US"/>
    </w:rPr>
  </w:style>
  <w:style w:type="paragraph" w:styleId="BodyText3">
    <w:name w:val="Body Text 3"/>
    <w:basedOn w:val="Normal"/>
    <w:rsid w:val="00091F1B"/>
    <w:pPr>
      <w:spacing w:before="60" w:after="60"/>
    </w:pPr>
    <w:rPr>
      <w:sz w:val="22"/>
      <w:lang w:val="en-US"/>
    </w:rPr>
  </w:style>
  <w:style w:type="character" w:styleId="FootnoteReference">
    <w:name w:val="footnote reference"/>
    <w:aliases w:val="ftref"/>
    <w:basedOn w:val="DefaultParagraphFont"/>
    <w:semiHidden/>
    <w:rsid w:val="003A211F"/>
    <w:rPr>
      <w:vertAlign w:val="superscript"/>
    </w:rPr>
  </w:style>
  <w:style w:type="paragraph" w:styleId="FootnoteText">
    <w:name w:val="footnote text"/>
    <w:aliases w:val="fn,FOOTNOTES,single space,ALTS FOOTNOTE,Footnote Text Char1,Footnote Text Char Char,Note de bas de page Car,footnote text,Footnote Text Char,Fodnotetekst Tegn,Fodnotetekst Tegn Char,footnote text Char Char Char"/>
    <w:basedOn w:val="Normal"/>
    <w:semiHidden/>
    <w:rsid w:val="003A211F"/>
    <w:pPr>
      <w:keepNext/>
      <w:keepLines/>
      <w:spacing w:after="120"/>
      <w:ind w:left="288" w:hanging="288"/>
      <w:jc w:val="both"/>
    </w:pPr>
    <w:rPr>
      <w:spacing w:val="-3"/>
      <w:lang w:val="en-US"/>
    </w:rPr>
  </w:style>
  <w:style w:type="character" w:styleId="CommentReference">
    <w:name w:val="annotation reference"/>
    <w:basedOn w:val="DefaultParagraphFont"/>
    <w:semiHidden/>
    <w:rsid w:val="00BB568D"/>
    <w:rPr>
      <w:sz w:val="16"/>
      <w:szCs w:val="16"/>
    </w:rPr>
  </w:style>
  <w:style w:type="paragraph" w:styleId="CommentText">
    <w:name w:val="annotation text"/>
    <w:basedOn w:val="Normal"/>
    <w:semiHidden/>
    <w:rsid w:val="00BB568D"/>
  </w:style>
  <w:style w:type="paragraph" w:styleId="CommentSubject">
    <w:name w:val="annotation subject"/>
    <w:basedOn w:val="CommentText"/>
    <w:next w:val="CommentText"/>
    <w:semiHidden/>
    <w:rsid w:val="00BB568D"/>
    <w:rPr>
      <w:b/>
      <w:bCs/>
    </w:rPr>
  </w:style>
  <w:style w:type="paragraph" w:styleId="BalloonText">
    <w:name w:val="Balloon Text"/>
    <w:basedOn w:val="Normal"/>
    <w:semiHidden/>
    <w:rsid w:val="00BB56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50BA"/>
    <w:rPr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0BA"/>
    <w:rPr>
      <w:lang w:val="es-ES" w:eastAsia="en-US"/>
    </w:rPr>
  </w:style>
  <w:style w:type="paragraph" w:styleId="ListParagraph">
    <w:name w:val="List Paragraph"/>
    <w:basedOn w:val="Normal"/>
    <w:uiPriority w:val="34"/>
    <w:qFormat/>
    <w:rsid w:val="006D6B5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B7C8F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C97300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7300"/>
    <w:rPr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C97300"/>
    <w:rPr>
      <w:vertAlign w:val="superscript"/>
    </w:rPr>
  </w:style>
  <w:style w:type="paragraph" w:customStyle="1" w:styleId="Chapter">
    <w:name w:val="Chapter"/>
    <w:basedOn w:val="Normal"/>
    <w:next w:val="Normal"/>
    <w:link w:val="ChapterChar"/>
    <w:rsid w:val="007323E9"/>
    <w:pPr>
      <w:keepNext/>
      <w:numPr>
        <w:numId w:val="16"/>
      </w:numPr>
      <w:tabs>
        <w:tab w:val="num" w:pos="648"/>
        <w:tab w:val="left" w:pos="1440"/>
      </w:tabs>
      <w:spacing w:before="240" w:after="240"/>
      <w:ind w:left="0" w:firstLine="288"/>
      <w:jc w:val="center"/>
    </w:pPr>
    <w:rPr>
      <w:b/>
      <w:smallCaps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323E9"/>
    <w:rPr>
      <w:color w:val="000000"/>
      <w:sz w:val="24"/>
      <w:szCs w:val="24"/>
      <w:lang w:val="en-US" w:eastAsia="en-US"/>
    </w:rPr>
  </w:style>
  <w:style w:type="character" w:customStyle="1" w:styleId="ChapterChar">
    <w:name w:val="Chapter Char"/>
    <w:basedOn w:val="DefaultChar"/>
    <w:link w:val="Chapter"/>
    <w:rsid w:val="007323E9"/>
    <w:rPr>
      <w:b/>
      <w:smallCaps/>
      <w:color w:val="000000"/>
      <w:sz w:val="24"/>
      <w:szCs w:val="24"/>
      <w:lang w:val="es-ES" w:eastAsia="en-US"/>
    </w:rPr>
  </w:style>
  <w:style w:type="paragraph" w:customStyle="1" w:styleId="FirstHeading">
    <w:name w:val="FirstHeading"/>
    <w:basedOn w:val="Normal"/>
    <w:next w:val="Normal"/>
    <w:link w:val="FirstHeadingChar"/>
    <w:rsid w:val="007323E9"/>
    <w:pPr>
      <w:keepNext/>
      <w:numPr>
        <w:numId w:val="14"/>
      </w:numPr>
      <w:tabs>
        <w:tab w:val="left" w:pos="0"/>
        <w:tab w:val="left" w:pos="86"/>
      </w:tabs>
      <w:spacing w:before="120" w:after="120"/>
      <w:ind w:left="720" w:hanging="720"/>
    </w:pPr>
    <w:rPr>
      <w:b/>
      <w:color w:val="000000"/>
      <w:sz w:val="24"/>
      <w:szCs w:val="24"/>
    </w:rPr>
  </w:style>
  <w:style w:type="character" w:customStyle="1" w:styleId="FirstHeadingChar">
    <w:name w:val="FirstHeading Char"/>
    <w:basedOn w:val="DefaultChar"/>
    <w:link w:val="FirstHeading"/>
    <w:rsid w:val="007323E9"/>
    <w:rPr>
      <w:b/>
      <w:color w:val="000000"/>
      <w:sz w:val="24"/>
      <w:szCs w:val="24"/>
      <w:lang w:val="es-ES" w:eastAsia="en-US"/>
    </w:rPr>
  </w:style>
  <w:style w:type="paragraph" w:customStyle="1" w:styleId="SecHeading">
    <w:name w:val="SecHeading"/>
    <w:basedOn w:val="Normal"/>
    <w:next w:val="Paragraph"/>
    <w:link w:val="SecHeadingChar"/>
    <w:rsid w:val="007323E9"/>
    <w:pPr>
      <w:keepNext/>
      <w:tabs>
        <w:tab w:val="num" w:pos="1296"/>
      </w:tabs>
      <w:spacing w:before="120" w:after="120"/>
      <w:ind w:left="1296" w:hanging="576"/>
    </w:pPr>
    <w:rPr>
      <w:b/>
      <w:color w:val="000000"/>
      <w:sz w:val="24"/>
      <w:szCs w:val="24"/>
    </w:rPr>
  </w:style>
  <w:style w:type="character" w:customStyle="1" w:styleId="SecHeadingChar">
    <w:name w:val="SecHeading Char"/>
    <w:basedOn w:val="DefaultChar"/>
    <w:link w:val="SecHeading"/>
    <w:rsid w:val="007323E9"/>
    <w:rPr>
      <w:b/>
      <w:color w:val="000000"/>
      <w:sz w:val="24"/>
      <w:szCs w:val="24"/>
      <w:lang w:val="es-ES" w:eastAsia="en-US"/>
    </w:rPr>
  </w:style>
  <w:style w:type="paragraph" w:customStyle="1" w:styleId="SubHeading1">
    <w:name w:val="SubHeading1"/>
    <w:basedOn w:val="SecHeading"/>
    <w:link w:val="SubHeading1Char"/>
    <w:rsid w:val="007323E9"/>
    <w:pPr>
      <w:tabs>
        <w:tab w:val="clear" w:pos="1296"/>
        <w:tab w:val="num" w:pos="1872"/>
      </w:tabs>
      <w:ind w:left="1872"/>
    </w:pPr>
    <w:rPr>
      <w:color w:val="auto"/>
    </w:rPr>
  </w:style>
  <w:style w:type="character" w:customStyle="1" w:styleId="SubHeading1Char">
    <w:name w:val="SubHeading1 Char"/>
    <w:basedOn w:val="DefaultChar"/>
    <w:link w:val="SubHeading1"/>
    <w:rsid w:val="007323E9"/>
    <w:rPr>
      <w:b/>
      <w:color w:val="000000"/>
      <w:sz w:val="24"/>
      <w:szCs w:val="24"/>
      <w:lang w:val="es-ES" w:eastAsia="en-US"/>
    </w:rPr>
  </w:style>
  <w:style w:type="paragraph" w:customStyle="1" w:styleId="Subheading2">
    <w:name w:val="Subheading2"/>
    <w:basedOn w:val="SecHeading"/>
    <w:link w:val="Subheading2Char"/>
    <w:rsid w:val="007323E9"/>
    <w:pPr>
      <w:tabs>
        <w:tab w:val="clear" w:pos="1296"/>
        <w:tab w:val="num" w:pos="2376"/>
      </w:tabs>
      <w:ind w:left="2376" w:hanging="288"/>
    </w:pPr>
    <w:rPr>
      <w:color w:val="auto"/>
    </w:rPr>
  </w:style>
  <w:style w:type="character" w:customStyle="1" w:styleId="Subheading2Char">
    <w:name w:val="Subheading2 Char"/>
    <w:basedOn w:val="DefaultChar"/>
    <w:link w:val="Subheading2"/>
    <w:rsid w:val="007323E9"/>
    <w:rPr>
      <w:b/>
      <w:color w:val="000000"/>
      <w:sz w:val="24"/>
      <w:szCs w:val="24"/>
      <w:lang w:val="es-ES" w:eastAsia="en-US"/>
    </w:rPr>
  </w:style>
  <w:style w:type="paragraph" w:customStyle="1" w:styleId="Paragraph">
    <w:name w:val="Paragraph"/>
    <w:basedOn w:val="BodyTextIndent"/>
    <w:link w:val="ParagraphChar"/>
    <w:rsid w:val="007323E9"/>
    <w:pPr>
      <w:tabs>
        <w:tab w:val="num" w:pos="720"/>
      </w:tabs>
      <w:spacing w:before="120"/>
      <w:ind w:left="720" w:hanging="720"/>
      <w:jc w:val="both"/>
      <w:outlineLvl w:val="1"/>
    </w:pPr>
    <w:rPr>
      <w:color w:val="000000"/>
      <w:szCs w:val="24"/>
    </w:rPr>
  </w:style>
  <w:style w:type="character" w:customStyle="1" w:styleId="ParagraphChar">
    <w:name w:val="Paragraph Char"/>
    <w:basedOn w:val="DefaultChar"/>
    <w:link w:val="Paragraph"/>
    <w:rsid w:val="007323E9"/>
    <w:rPr>
      <w:color w:val="000000"/>
      <w:sz w:val="24"/>
      <w:szCs w:val="24"/>
      <w:lang w:val="es-ES" w:eastAsia="en-US"/>
    </w:rPr>
  </w:style>
  <w:style w:type="paragraph" w:customStyle="1" w:styleId="subpar">
    <w:name w:val="subpar"/>
    <w:basedOn w:val="BodyTextIndent3"/>
    <w:link w:val="subparChar"/>
    <w:rsid w:val="007323E9"/>
    <w:pPr>
      <w:tabs>
        <w:tab w:val="num" w:pos="1152"/>
      </w:tabs>
      <w:spacing w:before="120"/>
      <w:ind w:left="1152" w:hanging="432"/>
      <w:jc w:val="both"/>
      <w:outlineLvl w:val="2"/>
    </w:pPr>
    <w:rPr>
      <w:color w:val="000000"/>
    </w:rPr>
  </w:style>
  <w:style w:type="character" w:customStyle="1" w:styleId="subparChar">
    <w:name w:val="subpar Char"/>
    <w:basedOn w:val="DefaultChar"/>
    <w:link w:val="subpar"/>
    <w:rsid w:val="007323E9"/>
    <w:rPr>
      <w:color w:val="000000"/>
      <w:sz w:val="24"/>
      <w:szCs w:val="16"/>
      <w:lang w:val="es-ES" w:eastAsia="en-US"/>
    </w:rPr>
  </w:style>
  <w:style w:type="paragraph" w:customStyle="1" w:styleId="SubSubPar">
    <w:name w:val="SubSubPar"/>
    <w:basedOn w:val="subpar"/>
    <w:link w:val="SubSubParChar"/>
    <w:rsid w:val="007323E9"/>
    <w:pPr>
      <w:tabs>
        <w:tab w:val="clear" w:pos="1152"/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Char"/>
    <w:link w:val="SubSubPar"/>
    <w:rsid w:val="007323E9"/>
    <w:rPr>
      <w:color w:val="000000"/>
      <w:sz w:val="24"/>
      <w:szCs w:val="16"/>
      <w:lang w:val="es-ES" w:eastAsia="en-US"/>
    </w:rPr>
  </w:style>
  <w:style w:type="paragraph" w:customStyle="1" w:styleId="Regtable">
    <w:name w:val="Regtable"/>
    <w:basedOn w:val="Normal"/>
    <w:link w:val="RegtableChar"/>
    <w:rsid w:val="007323E9"/>
    <w:pPr>
      <w:keepLines/>
      <w:framePr w:wrap="around" w:vAnchor="text" w:hAnchor="text" w:y="1"/>
      <w:spacing w:before="20" w:after="20"/>
    </w:pPr>
    <w:rPr>
      <w:color w:val="000000"/>
      <w:sz w:val="24"/>
      <w:szCs w:val="24"/>
    </w:rPr>
  </w:style>
  <w:style w:type="character" w:customStyle="1" w:styleId="RegtableChar">
    <w:name w:val="Regtable Char"/>
    <w:basedOn w:val="DefaultChar"/>
    <w:link w:val="Regtable"/>
    <w:rsid w:val="007323E9"/>
    <w:rPr>
      <w:color w:val="000000"/>
      <w:sz w:val="24"/>
      <w:szCs w:val="24"/>
      <w:lang w:val="es-ES" w:eastAsia="en-US"/>
    </w:rPr>
  </w:style>
  <w:style w:type="paragraph" w:customStyle="1" w:styleId="TableTitle">
    <w:name w:val="TableTitle"/>
    <w:basedOn w:val="Normal"/>
    <w:link w:val="TableTitleChar"/>
    <w:rsid w:val="007323E9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 w:cs="Times New Roman Bold"/>
      <w:b/>
      <w:color w:val="000000"/>
      <w:spacing w:val="-3"/>
      <w:sz w:val="24"/>
      <w:szCs w:val="24"/>
    </w:rPr>
  </w:style>
  <w:style w:type="character" w:customStyle="1" w:styleId="TableTitleChar">
    <w:name w:val="TableTitle Char"/>
    <w:basedOn w:val="DefaultChar"/>
    <w:link w:val="TableTitle"/>
    <w:rsid w:val="007323E9"/>
    <w:rPr>
      <w:rFonts w:ascii="Times New Roman Bold" w:hAnsi="Times New Roman Bold" w:cs="Times New Roman Bold"/>
      <w:b/>
      <w:color w:val="000000"/>
      <w:spacing w:val="-3"/>
      <w:sz w:val="24"/>
      <w:szCs w:val="24"/>
      <w:lang w:val="es-ES" w:eastAsia="en-US"/>
    </w:rPr>
  </w:style>
  <w:style w:type="character" w:customStyle="1" w:styleId="Heading2Char">
    <w:name w:val="Heading 2 Char"/>
    <w:basedOn w:val="DefaultParagraphFont"/>
    <w:link w:val="Heading2"/>
    <w:semiHidden/>
    <w:rsid w:val="0073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semiHidden/>
    <w:rsid w:val="007323E9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323E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323E9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customStyle="1" w:styleId="Heading6Char">
    <w:name w:val="Heading 6 Char"/>
    <w:basedOn w:val="DefaultParagraphFont"/>
    <w:link w:val="Heading6"/>
    <w:semiHidden/>
    <w:rsid w:val="007323E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character" w:customStyle="1" w:styleId="Heading7Char">
    <w:name w:val="Heading 7 Char"/>
    <w:basedOn w:val="DefaultParagraphFont"/>
    <w:link w:val="Heading7"/>
    <w:semiHidden/>
    <w:rsid w:val="007323E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character" w:customStyle="1" w:styleId="Heading8Char">
    <w:name w:val="Heading 8 Char"/>
    <w:basedOn w:val="DefaultParagraphFont"/>
    <w:link w:val="Heading8"/>
    <w:semiHidden/>
    <w:rsid w:val="007323E9"/>
    <w:rPr>
      <w:rFonts w:asciiTheme="majorHAnsi" w:eastAsiaTheme="majorEastAsia" w:hAnsiTheme="majorHAnsi" w:cstheme="majorBidi"/>
      <w:color w:val="404040" w:themeColor="text1" w:themeTint="BF"/>
      <w:lang w:val="es-ES" w:eastAsia="en-US"/>
    </w:rPr>
  </w:style>
  <w:style w:type="character" w:customStyle="1" w:styleId="Heading9Char">
    <w:name w:val="Heading 9 Char"/>
    <w:basedOn w:val="DefaultParagraphFont"/>
    <w:link w:val="Heading9"/>
    <w:semiHidden/>
    <w:rsid w:val="007323E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BodyTextIndent">
    <w:name w:val="Body Text Indent"/>
    <w:basedOn w:val="Normal"/>
    <w:link w:val="BodyTextIndentChar"/>
    <w:rsid w:val="007323E9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323E9"/>
    <w:rPr>
      <w:sz w:val="24"/>
      <w:lang w:val="es-ES" w:eastAsia="en-US"/>
    </w:rPr>
  </w:style>
  <w:style w:type="paragraph" w:styleId="BodyTextIndent3">
    <w:name w:val="Body Text Indent 3"/>
    <w:basedOn w:val="Normal"/>
    <w:link w:val="BodyTextIndent3Char"/>
    <w:rsid w:val="007323E9"/>
    <w:pPr>
      <w:spacing w:after="120"/>
      <w:ind w:left="360"/>
    </w:pPr>
    <w:rPr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3E9"/>
    <w:rPr>
      <w:sz w:val="24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93D1-523F-49D5-9335-5555EC1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</vt:lpstr>
    </vt:vector>
  </TitlesOfParts>
  <Company>Inter-American Development Bank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</dc:title>
  <dc:creator>SANDRAB</dc:creator>
  <cp:lastModifiedBy>Test</cp:lastModifiedBy>
  <cp:revision>8</cp:revision>
  <cp:lastPrinted>2011-07-20T22:27:00Z</cp:lastPrinted>
  <dcterms:created xsi:type="dcterms:W3CDTF">2013-09-11T17:49:00Z</dcterms:created>
  <dcterms:modified xsi:type="dcterms:W3CDTF">2013-10-04T18:09:00Z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