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D1F" w:rsidRDefault="008A1D1F" w:rsidP="008A1D1F">
      <w:pPr>
        <w:tabs>
          <w:tab w:val="left" w:pos="1440"/>
          <w:tab w:val="left" w:pos="3060"/>
        </w:tabs>
        <w:jc w:val="center"/>
      </w:pPr>
      <w:bookmarkStart w:id="0" w:name="Contents"/>
      <w:r w:rsidRPr="005B40C6">
        <w:t>DOCUMENT OF THE INTER-AMERICAN DEVELOPMENT BANK</w:t>
      </w:r>
    </w:p>
    <w:p w:rsidR="008A1D1F" w:rsidRDefault="008A1D1F" w:rsidP="008A1D1F">
      <w:pPr>
        <w:tabs>
          <w:tab w:val="left" w:pos="1440"/>
          <w:tab w:val="left" w:pos="3060"/>
        </w:tabs>
        <w:jc w:val="center"/>
      </w:pPr>
    </w:p>
    <w:p w:rsidR="008A1D1F" w:rsidRDefault="008A1D1F" w:rsidP="008A1D1F">
      <w:pPr>
        <w:tabs>
          <w:tab w:val="left" w:pos="1440"/>
          <w:tab w:val="left" w:pos="3060"/>
        </w:tabs>
        <w:jc w:val="center"/>
      </w:pPr>
    </w:p>
    <w:p w:rsidR="008A1D1F" w:rsidRDefault="008A1D1F" w:rsidP="008A1D1F">
      <w:pPr>
        <w:tabs>
          <w:tab w:val="left" w:pos="1440"/>
          <w:tab w:val="left" w:pos="3060"/>
        </w:tabs>
        <w:jc w:val="center"/>
      </w:pPr>
      <w:r>
        <w:t>SURINAME</w:t>
      </w:r>
    </w:p>
    <w:p w:rsidR="008A1D1F" w:rsidRDefault="008A1D1F" w:rsidP="008A1D1F">
      <w:pPr>
        <w:tabs>
          <w:tab w:val="left" w:pos="1440"/>
          <w:tab w:val="left" w:pos="3060"/>
        </w:tabs>
        <w:jc w:val="center"/>
      </w:pPr>
    </w:p>
    <w:p w:rsidR="008A1D1F" w:rsidRDefault="008A1D1F" w:rsidP="008A1D1F">
      <w:pPr>
        <w:tabs>
          <w:tab w:val="left" w:pos="1440"/>
          <w:tab w:val="left" w:pos="3060"/>
        </w:tabs>
        <w:jc w:val="center"/>
      </w:pPr>
    </w:p>
    <w:p w:rsidR="008A1D1F" w:rsidRDefault="008A1D1F" w:rsidP="008A1D1F">
      <w:pPr>
        <w:tabs>
          <w:tab w:val="left" w:pos="1440"/>
          <w:tab w:val="left" w:pos="3060"/>
        </w:tabs>
        <w:jc w:val="center"/>
      </w:pPr>
      <w:r>
        <w:t>SUPPORT TO THE INSTITUTIONAL AND OPERATIONAL STRENGTHENING OF THE ENERGY SECTOR II</w:t>
      </w:r>
    </w:p>
    <w:p w:rsidR="008A1D1F" w:rsidRDefault="008A1D1F" w:rsidP="008A1D1F">
      <w:pPr>
        <w:tabs>
          <w:tab w:val="left" w:pos="1440"/>
          <w:tab w:val="left" w:pos="3060"/>
        </w:tabs>
        <w:jc w:val="center"/>
      </w:pPr>
    </w:p>
    <w:p w:rsidR="008A1D1F" w:rsidRDefault="008A1D1F" w:rsidP="008A1D1F">
      <w:pPr>
        <w:tabs>
          <w:tab w:val="left" w:pos="1440"/>
          <w:tab w:val="left" w:pos="3060"/>
        </w:tabs>
        <w:jc w:val="center"/>
      </w:pPr>
      <w:r>
        <w:t>(SU-L1035)</w:t>
      </w:r>
    </w:p>
    <w:p w:rsidR="008A1D1F" w:rsidRDefault="008A1D1F" w:rsidP="008A1D1F">
      <w:pPr>
        <w:tabs>
          <w:tab w:val="left" w:pos="1440"/>
          <w:tab w:val="left" w:pos="3060"/>
        </w:tabs>
        <w:jc w:val="center"/>
      </w:pPr>
    </w:p>
    <w:p w:rsidR="008A1D1F" w:rsidRDefault="008A1D1F" w:rsidP="008A1D1F">
      <w:pPr>
        <w:tabs>
          <w:tab w:val="left" w:pos="1440"/>
          <w:tab w:val="left" w:pos="3060"/>
        </w:tabs>
        <w:jc w:val="center"/>
      </w:pPr>
    </w:p>
    <w:p w:rsidR="008A1D1F" w:rsidRPr="009E2825" w:rsidRDefault="008A1D1F" w:rsidP="008A1D1F">
      <w:pPr>
        <w:tabs>
          <w:tab w:val="left" w:pos="1440"/>
          <w:tab w:val="left" w:pos="3060"/>
        </w:tabs>
        <w:jc w:val="center"/>
      </w:pPr>
      <w:r>
        <w:t xml:space="preserve">MONITORING AND EVALUATION PLAN </w:t>
      </w:r>
    </w:p>
    <w:p w:rsidR="008A1D1F" w:rsidRDefault="008A1D1F" w:rsidP="008A1D1F">
      <w:pPr>
        <w:tabs>
          <w:tab w:val="left" w:pos="1440"/>
          <w:tab w:val="left" w:pos="3060"/>
        </w:tabs>
        <w:jc w:val="center"/>
      </w:pPr>
    </w:p>
    <w:p w:rsidR="008A1D1F" w:rsidRPr="009E2825" w:rsidRDefault="008A1D1F" w:rsidP="008A1D1F">
      <w:pPr>
        <w:tabs>
          <w:tab w:val="left" w:pos="1440"/>
          <w:tab w:val="left" w:pos="3060"/>
        </w:tabs>
        <w:jc w:val="center"/>
      </w:pPr>
    </w:p>
    <w:p w:rsidR="008A1D1F" w:rsidRPr="009E2825" w:rsidRDefault="008A1D1F" w:rsidP="008A1D1F">
      <w:pPr>
        <w:tabs>
          <w:tab w:val="left" w:pos="1440"/>
          <w:tab w:val="left" w:pos="3060"/>
        </w:tabs>
        <w:jc w:val="center"/>
      </w:pPr>
    </w:p>
    <w:p w:rsidR="008A1D1F" w:rsidRPr="009E2825" w:rsidRDefault="008A1D1F" w:rsidP="008A1D1F">
      <w:pPr>
        <w:pStyle w:val="BodyText"/>
        <w:pBdr>
          <w:top w:val="single" w:sz="4" w:space="1" w:color="auto"/>
          <w:left w:val="single" w:sz="4" w:space="4" w:color="auto"/>
          <w:bottom w:val="single" w:sz="4" w:space="1" w:color="auto"/>
          <w:right w:val="single" w:sz="4" w:space="4" w:color="auto"/>
        </w:pBdr>
        <w:tabs>
          <w:tab w:val="left" w:pos="1440"/>
        </w:tabs>
        <w:jc w:val="both"/>
      </w:pPr>
      <w:r w:rsidRPr="009E2825">
        <w:t>This document was prepared by the project team consisting of:</w:t>
      </w:r>
      <w:r>
        <w:t xml:space="preserve"> Alejandro Melandri</w:t>
      </w:r>
      <w:r w:rsidRPr="009E2825">
        <w:t xml:space="preserve">, Project Team Leader (INE/ENE); </w:t>
      </w:r>
      <w:r>
        <w:t>Jesus Tejeda, Alternate Team Leader</w:t>
      </w:r>
      <w:r w:rsidRPr="009E2825">
        <w:t xml:space="preserve"> (INE/ENE),</w:t>
      </w:r>
      <w:r>
        <w:t xml:space="preserve"> Christiaan Gischler (INE/ENE); Steven Hofwijks (</w:t>
      </w:r>
      <w:r w:rsidRPr="00821471">
        <w:t>CCB/CSU</w:t>
      </w:r>
      <w:r>
        <w:t xml:space="preserve">); José </w:t>
      </w:r>
      <w:proofErr w:type="spellStart"/>
      <w:r>
        <w:t>Emiliano</w:t>
      </w:r>
      <w:proofErr w:type="spellEnd"/>
      <w:r>
        <w:t xml:space="preserve"> </w:t>
      </w:r>
      <w:proofErr w:type="spellStart"/>
      <w:r>
        <w:t>Detta</w:t>
      </w:r>
      <w:proofErr w:type="spellEnd"/>
      <w:r>
        <w:t xml:space="preserve"> (INE/ENE); </w:t>
      </w:r>
      <w:r w:rsidRPr="00E84895">
        <w:t xml:space="preserve">Emmanuel </w:t>
      </w:r>
      <w:proofErr w:type="spellStart"/>
      <w:r w:rsidRPr="00E84895">
        <w:t>Boulet</w:t>
      </w:r>
      <w:proofErr w:type="spellEnd"/>
      <w:r w:rsidRPr="00E84895">
        <w:t xml:space="preserve"> (VPS/ESG)</w:t>
      </w:r>
      <w:r>
        <w:t>; Musheer Kamau (</w:t>
      </w:r>
      <w:r w:rsidRPr="00383DC5">
        <w:t>CCB/CSU</w:t>
      </w:r>
      <w:r>
        <w:t xml:space="preserve">); and </w:t>
      </w:r>
      <w:proofErr w:type="spellStart"/>
      <w:r>
        <w:t>Mónica</w:t>
      </w:r>
      <w:proofErr w:type="spellEnd"/>
      <w:r>
        <w:t xml:space="preserve"> Lugo (</w:t>
      </w:r>
      <w:r w:rsidRPr="00FA3AEC">
        <w:t>LEG/SGO</w:t>
      </w:r>
      <w:r>
        <w:t>), under supervision from Leandro Alves, Chief of the Energy Division (CHF/</w:t>
      </w:r>
      <w:r w:rsidRPr="00013715">
        <w:t>INE/ENE</w:t>
      </w:r>
      <w:r>
        <w:t xml:space="preserve">) and Marco Nicola, </w:t>
      </w:r>
      <w:r w:rsidRPr="00FF46EC">
        <w:t xml:space="preserve">IDB Country Representative for Suriname </w:t>
      </w:r>
      <w:r>
        <w:t>(</w:t>
      </w:r>
      <w:r w:rsidRPr="00013715">
        <w:t>CCB/CSU</w:t>
      </w:r>
      <w:r>
        <w:t>)</w:t>
      </w:r>
      <w:r w:rsidRPr="009E2825">
        <w:t>.</w:t>
      </w:r>
    </w:p>
    <w:p w:rsidR="008A1D1F" w:rsidRDefault="008A1D1F" w:rsidP="008A1D1F">
      <w:pPr>
        <w:pStyle w:val="Annex"/>
        <w:tabs>
          <w:tab w:val="left" w:pos="1440"/>
          <w:tab w:val="left" w:pos="3060"/>
        </w:tabs>
        <w:outlineLvl w:val="0"/>
        <w:rPr>
          <w:caps w:val="0"/>
        </w:rPr>
      </w:pPr>
    </w:p>
    <w:p w:rsidR="008A1D1F" w:rsidRDefault="008A1D1F" w:rsidP="008A1D1F">
      <w:pPr>
        <w:pStyle w:val="Annex"/>
        <w:tabs>
          <w:tab w:val="left" w:pos="1440"/>
          <w:tab w:val="left" w:pos="3060"/>
        </w:tabs>
        <w:outlineLvl w:val="0"/>
        <w:rPr>
          <w:caps w:val="0"/>
        </w:rPr>
      </w:pPr>
    </w:p>
    <w:p w:rsidR="008A1D1F" w:rsidRPr="00E67D8A" w:rsidRDefault="008A1D1F" w:rsidP="008A1D1F">
      <w:pPr>
        <w:pStyle w:val="Annex"/>
        <w:tabs>
          <w:tab w:val="left" w:pos="1440"/>
          <w:tab w:val="left" w:pos="3060"/>
        </w:tabs>
        <w:outlineLvl w:val="0"/>
        <w:rPr>
          <w:caps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61"/>
      </w:tblGrid>
      <w:tr w:rsidR="008A1D1F" w:rsidRPr="00E67D8A" w:rsidTr="00A735AF">
        <w:trPr>
          <w:trHeight w:val="770"/>
        </w:trPr>
        <w:tc>
          <w:tcPr>
            <w:tcW w:w="9561" w:type="dxa"/>
          </w:tcPr>
          <w:p w:rsidR="008A1D1F" w:rsidRPr="008A5F30" w:rsidRDefault="008A1D1F" w:rsidP="00A735AF">
            <w:pPr>
              <w:pStyle w:val="Default"/>
              <w:jc w:val="both"/>
              <w:rPr>
                <w:sz w:val="22"/>
                <w:szCs w:val="22"/>
              </w:rPr>
            </w:pPr>
            <w:r w:rsidRPr="008A5F30">
              <w:rPr>
                <w:bCs/>
                <w:sz w:val="22"/>
                <w:szCs w:val="22"/>
              </w:rPr>
              <w:t xml:space="preserve">This document contains confidential information relating to one or more of the ten exceptions of the Access to Information Policy and will be initially treated as confidential. However, the document will be eligible for declassification and future disclosure. </w:t>
            </w:r>
          </w:p>
        </w:tc>
      </w:tr>
    </w:tbl>
    <w:p w:rsidR="008A1D1F" w:rsidRDefault="008A1D1F" w:rsidP="008A1D1F">
      <w:pPr>
        <w:pStyle w:val="Newpage"/>
        <w:jc w:val="both"/>
        <w:rPr>
          <w:szCs w:val="24"/>
        </w:rPr>
        <w:sectPr w:rsidR="008A1D1F" w:rsidSect="00FA7062">
          <w:headerReference w:type="default" r:id="rId9"/>
          <w:pgSz w:w="12240" w:h="15840"/>
          <w:pgMar w:top="1440" w:right="1440" w:bottom="1440" w:left="1440" w:header="720" w:footer="720" w:gutter="0"/>
          <w:cols w:space="720"/>
          <w:docGrid w:linePitch="360"/>
        </w:sectPr>
      </w:pPr>
    </w:p>
    <w:p w:rsidR="008A1D1F" w:rsidRPr="00F97DF7" w:rsidRDefault="008A1D1F" w:rsidP="008A1D1F">
      <w:pPr>
        <w:pStyle w:val="Newpage"/>
        <w:jc w:val="both"/>
        <w:rPr>
          <w:szCs w:val="24"/>
        </w:rPr>
      </w:pPr>
    </w:p>
    <w:p w:rsidR="008A1D1F" w:rsidRPr="007C18C4" w:rsidRDefault="008A1D1F" w:rsidP="008A1D1F">
      <w:pPr>
        <w:jc w:val="both"/>
        <w:rPr>
          <w:b/>
          <w:smallCaps/>
        </w:rPr>
      </w:pPr>
      <w:r w:rsidRPr="007C18C4">
        <w:rPr>
          <w:b/>
          <w:smallCaps/>
        </w:rPr>
        <w:t>Content</w:t>
      </w:r>
    </w:p>
    <w:sdt>
      <w:sdtPr>
        <w:rPr>
          <w:rFonts w:ascii="Times New Roman" w:eastAsia="Calibri" w:hAnsi="Times New Roman"/>
          <w:b w:val="0"/>
          <w:bCs w:val="0"/>
          <w:color w:val="auto"/>
          <w:sz w:val="24"/>
          <w:szCs w:val="22"/>
        </w:rPr>
        <w:id w:val="1316450885"/>
        <w:docPartObj>
          <w:docPartGallery w:val="Table of Contents"/>
          <w:docPartUnique/>
        </w:docPartObj>
      </w:sdtPr>
      <w:sdtEndPr>
        <w:rPr>
          <w:noProof/>
        </w:rPr>
      </w:sdtEndPr>
      <w:sdtContent>
        <w:p w:rsidR="008A1D1F" w:rsidRDefault="008A1D1F" w:rsidP="008A1D1F">
          <w:pPr>
            <w:pStyle w:val="TOCHeading"/>
          </w:pPr>
        </w:p>
        <w:p w:rsidR="008A1D1F" w:rsidRDefault="008A1D1F" w:rsidP="008A1D1F">
          <w:pPr>
            <w:pStyle w:val="TOC1"/>
            <w:rPr>
              <w:rFonts w:asciiTheme="minorHAnsi" w:eastAsiaTheme="minorEastAsia" w:hAnsiTheme="minorHAnsi" w:cstheme="minorBidi"/>
              <w:smallCaps w:val="0"/>
              <w:noProof/>
              <w:sz w:val="22"/>
            </w:rPr>
          </w:pPr>
          <w:r>
            <w:fldChar w:fldCharType="begin"/>
          </w:r>
          <w:r>
            <w:instrText xml:space="preserve"> TOC \o "1-3" \h \z \u </w:instrText>
          </w:r>
          <w:r>
            <w:fldChar w:fldCharType="separate"/>
          </w:r>
          <w:hyperlink w:anchor="_Toc335830650" w:history="1">
            <w:r w:rsidRPr="00790177">
              <w:rPr>
                <w:rStyle w:val="Hyperlink"/>
                <w:b/>
                <w:noProof/>
              </w:rPr>
              <w:t>ABBREVIATIONS</w:t>
            </w:r>
            <w:r>
              <w:rPr>
                <w:noProof/>
                <w:webHidden/>
              </w:rPr>
              <w:tab/>
            </w:r>
            <w:r>
              <w:rPr>
                <w:noProof/>
                <w:webHidden/>
              </w:rPr>
              <w:fldChar w:fldCharType="begin"/>
            </w:r>
            <w:r>
              <w:rPr>
                <w:noProof/>
                <w:webHidden/>
              </w:rPr>
              <w:instrText xml:space="preserve"> PAGEREF _Toc335830650 \h </w:instrText>
            </w:r>
            <w:r>
              <w:rPr>
                <w:noProof/>
                <w:webHidden/>
              </w:rPr>
            </w:r>
            <w:r>
              <w:rPr>
                <w:noProof/>
                <w:webHidden/>
              </w:rPr>
              <w:fldChar w:fldCharType="separate"/>
            </w:r>
            <w:r>
              <w:rPr>
                <w:noProof/>
                <w:webHidden/>
              </w:rPr>
              <w:t>3</w:t>
            </w:r>
            <w:r>
              <w:rPr>
                <w:noProof/>
                <w:webHidden/>
              </w:rPr>
              <w:fldChar w:fldCharType="end"/>
            </w:r>
          </w:hyperlink>
        </w:p>
        <w:p w:rsidR="008A1D1F" w:rsidRDefault="0079157D" w:rsidP="008A1D1F">
          <w:pPr>
            <w:pStyle w:val="TOC1"/>
            <w:rPr>
              <w:rFonts w:asciiTheme="minorHAnsi" w:eastAsiaTheme="minorEastAsia" w:hAnsiTheme="minorHAnsi" w:cstheme="minorBidi"/>
              <w:smallCaps w:val="0"/>
              <w:noProof/>
              <w:sz w:val="22"/>
            </w:rPr>
          </w:pPr>
          <w:hyperlink w:anchor="_Toc335830651" w:history="1">
            <w:r w:rsidR="008A1D1F" w:rsidRPr="00790177">
              <w:rPr>
                <w:rStyle w:val="Hyperlink"/>
                <w:b/>
                <w:noProof/>
              </w:rPr>
              <w:t>I.</w:t>
            </w:r>
            <w:r w:rsidR="008A1D1F">
              <w:rPr>
                <w:rFonts w:asciiTheme="minorHAnsi" w:eastAsiaTheme="minorEastAsia" w:hAnsiTheme="minorHAnsi" w:cstheme="minorBidi"/>
                <w:smallCaps w:val="0"/>
                <w:noProof/>
                <w:sz w:val="22"/>
              </w:rPr>
              <w:tab/>
            </w:r>
            <w:r w:rsidR="008A1D1F" w:rsidRPr="00790177">
              <w:rPr>
                <w:rStyle w:val="Hyperlink"/>
                <w:b/>
                <w:noProof/>
              </w:rPr>
              <w:t>Introduction</w:t>
            </w:r>
            <w:r w:rsidR="008A1D1F">
              <w:rPr>
                <w:noProof/>
                <w:webHidden/>
              </w:rPr>
              <w:tab/>
            </w:r>
            <w:r w:rsidR="008A1D1F">
              <w:rPr>
                <w:noProof/>
                <w:webHidden/>
              </w:rPr>
              <w:fldChar w:fldCharType="begin"/>
            </w:r>
            <w:r w:rsidR="008A1D1F">
              <w:rPr>
                <w:noProof/>
                <w:webHidden/>
              </w:rPr>
              <w:instrText xml:space="preserve"> PAGEREF _Toc335830651 \h </w:instrText>
            </w:r>
            <w:r w:rsidR="008A1D1F">
              <w:rPr>
                <w:noProof/>
                <w:webHidden/>
              </w:rPr>
            </w:r>
            <w:r w:rsidR="008A1D1F">
              <w:rPr>
                <w:noProof/>
                <w:webHidden/>
              </w:rPr>
              <w:fldChar w:fldCharType="separate"/>
            </w:r>
            <w:r w:rsidR="008A1D1F">
              <w:rPr>
                <w:noProof/>
                <w:webHidden/>
              </w:rPr>
              <w:t>4</w:t>
            </w:r>
            <w:r w:rsidR="008A1D1F">
              <w:rPr>
                <w:noProof/>
                <w:webHidden/>
              </w:rPr>
              <w:fldChar w:fldCharType="end"/>
            </w:r>
          </w:hyperlink>
        </w:p>
        <w:p w:rsidR="008A1D1F" w:rsidRDefault="0079157D" w:rsidP="008A1D1F">
          <w:pPr>
            <w:pStyle w:val="TOC1"/>
            <w:rPr>
              <w:rFonts w:asciiTheme="minorHAnsi" w:eastAsiaTheme="minorEastAsia" w:hAnsiTheme="minorHAnsi" w:cstheme="minorBidi"/>
              <w:smallCaps w:val="0"/>
              <w:noProof/>
              <w:sz w:val="22"/>
            </w:rPr>
          </w:pPr>
          <w:hyperlink w:anchor="_Toc335830652" w:history="1">
            <w:r w:rsidR="008A1D1F" w:rsidRPr="00790177">
              <w:rPr>
                <w:rStyle w:val="Hyperlink"/>
                <w:b/>
                <w:noProof/>
              </w:rPr>
              <w:t>II.</w:t>
            </w:r>
            <w:r w:rsidR="008A1D1F">
              <w:rPr>
                <w:rFonts w:asciiTheme="minorHAnsi" w:eastAsiaTheme="minorEastAsia" w:hAnsiTheme="minorHAnsi" w:cstheme="minorBidi"/>
                <w:smallCaps w:val="0"/>
                <w:noProof/>
                <w:sz w:val="22"/>
              </w:rPr>
              <w:tab/>
            </w:r>
            <w:r w:rsidR="008A1D1F" w:rsidRPr="00790177">
              <w:rPr>
                <w:rStyle w:val="Hyperlink"/>
                <w:b/>
                <w:noProof/>
              </w:rPr>
              <w:t>Monitoring</w:t>
            </w:r>
            <w:r w:rsidR="008A1D1F">
              <w:rPr>
                <w:noProof/>
                <w:webHidden/>
              </w:rPr>
              <w:tab/>
            </w:r>
            <w:r w:rsidR="008A1D1F">
              <w:rPr>
                <w:noProof/>
                <w:webHidden/>
              </w:rPr>
              <w:fldChar w:fldCharType="begin"/>
            </w:r>
            <w:r w:rsidR="008A1D1F">
              <w:rPr>
                <w:noProof/>
                <w:webHidden/>
              </w:rPr>
              <w:instrText xml:space="preserve"> PAGEREF _Toc335830652 \h </w:instrText>
            </w:r>
            <w:r w:rsidR="008A1D1F">
              <w:rPr>
                <w:noProof/>
                <w:webHidden/>
              </w:rPr>
            </w:r>
            <w:r w:rsidR="008A1D1F">
              <w:rPr>
                <w:noProof/>
                <w:webHidden/>
              </w:rPr>
              <w:fldChar w:fldCharType="separate"/>
            </w:r>
            <w:r w:rsidR="008A1D1F">
              <w:rPr>
                <w:noProof/>
                <w:webHidden/>
              </w:rPr>
              <w:t>5</w:t>
            </w:r>
            <w:r w:rsidR="008A1D1F">
              <w:rPr>
                <w:noProof/>
                <w:webHidden/>
              </w:rPr>
              <w:fldChar w:fldCharType="end"/>
            </w:r>
          </w:hyperlink>
        </w:p>
        <w:p w:rsidR="008A1D1F" w:rsidRDefault="0079157D" w:rsidP="008A1D1F">
          <w:pPr>
            <w:pStyle w:val="TOC2"/>
            <w:numPr>
              <w:ilvl w:val="0"/>
              <w:numId w:val="0"/>
            </w:numPr>
            <w:ind w:left="921"/>
            <w:rPr>
              <w:rFonts w:asciiTheme="minorHAnsi" w:eastAsiaTheme="minorEastAsia" w:hAnsiTheme="minorHAnsi" w:cstheme="minorBidi"/>
              <w:noProof/>
              <w:sz w:val="22"/>
            </w:rPr>
          </w:pPr>
          <w:hyperlink w:anchor="_Toc335830653" w:history="1">
            <w:r w:rsidR="008A1D1F" w:rsidRPr="00790177">
              <w:rPr>
                <w:rStyle w:val="Hyperlink"/>
                <w:noProof/>
              </w:rPr>
              <w:t>a)</w:t>
            </w:r>
            <w:r w:rsidR="008A1D1F">
              <w:rPr>
                <w:rFonts w:asciiTheme="minorHAnsi" w:eastAsiaTheme="minorEastAsia" w:hAnsiTheme="minorHAnsi" w:cstheme="minorBidi"/>
                <w:noProof/>
                <w:sz w:val="22"/>
              </w:rPr>
              <w:tab/>
            </w:r>
            <w:r w:rsidR="008A1D1F" w:rsidRPr="00790177">
              <w:rPr>
                <w:rStyle w:val="Hyperlink"/>
                <w:noProof/>
              </w:rPr>
              <w:t>Indicators</w:t>
            </w:r>
            <w:r w:rsidR="008A1D1F">
              <w:rPr>
                <w:noProof/>
                <w:webHidden/>
              </w:rPr>
              <w:tab/>
            </w:r>
            <w:r w:rsidR="008A1D1F">
              <w:rPr>
                <w:noProof/>
                <w:webHidden/>
              </w:rPr>
              <w:fldChar w:fldCharType="begin"/>
            </w:r>
            <w:r w:rsidR="008A1D1F">
              <w:rPr>
                <w:noProof/>
                <w:webHidden/>
              </w:rPr>
              <w:instrText xml:space="preserve"> PAGEREF _Toc335830653 \h </w:instrText>
            </w:r>
            <w:r w:rsidR="008A1D1F">
              <w:rPr>
                <w:noProof/>
                <w:webHidden/>
              </w:rPr>
            </w:r>
            <w:r w:rsidR="008A1D1F">
              <w:rPr>
                <w:noProof/>
                <w:webHidden/>
              </w:rPr>
              <w:fldChar w:fldCharType="separate"/>
            </w:r>
            <w:r w:rsidR="008A1D1F">
              <w:rPr>
                <w:noProof/>
                <w:webHidden/>
              </w:rPr>
              <w:t>5</w:t>
            </w:r>
            <w:r w:rsidR="008A1D1F">
              <w:rPr>
                <w:noProof/>
                <w:webHidden/>
              </w:rPr>
              <w:fldChar w:fldCharType="end"/>
            </w:r>
          </w:hyperlink>
        </w:p>
        <w:p w:rsidR="008A1D1F" w:rsidRDefault="0079157D" w:rsidP="008A1D1F">
          <w:pPr>
            <w:pStyle w:val="TOC1"/>
            <w:rPr>
              <w:rFonts w:asciiTheme="minorHAnsi" w:eastAsiaTheme="minorEastAsia" w:hAnsiTheme="minorHAnsi" w:cstheme="minorBidi"/>
              <w:smallCaps w:val="0"/>
              <w:noProof/>
              <w:sz w:val="22"/>
            </w:rPr>
          </w:pPr>
          <w:hyperlink w:anchor="_Toc335830654" w:history="1">
            <w:r w:rsidR="008A1D1F" w:rsidRPr="00790177">
              <w:rPr>
                <w:rStyle w:val="Hyperlink"/>
                <w:b/>
                <w:noProof/>
              </w:rPr>
              <w:t>III.</w:t>
            </w:r>
            <w:r w:rsidR="008A1D1F">
              <w:rPr>
                <w:rFonts w:asciiTheme="minorHAnsi" w:eastAsiaTheme="minorEastAsia" w:hAnsiTheme="minorHAnsi" w:cstheme="minorBidi"/>
                <w:smallCaps w:val="0"/>
                <w:noProof/>
                <w:sz w:val="22"/>
              </w:rPr>
              <w:tab/>
            </w:r>
            <w:r w:rsidR="008A1D1F" w:rsidRPr="00790177">
              <w:rPr>
                <w:rStyle w:val="Hyperlink"/>
                <w:b/>
                <w:noProof/>
              </w:rPr>
              <w:t>Evaluation</w:t>
            </w:r>
            <w:r w:rsidR="008A1D1F">
              <w:rPr>
                <w:noProof/>
                <w:webHidden/>
              </w:rPr>
              <w:tab/>
            </w:r>
            <w:r w:rsidR="008A1D1F">
              <w:rPr>
                <w:noProof/>
                <w:webHidden/>
              </w:rPr>
              <w:fldChar w:fldCharType="begin"/>
            </w:r>
            <w:r w:rsidR="008A1D1F">
              <w:rPr>
                <w:noProof/>
                <w:webHidden/>
              </w:rPr>
              <w:instrText xml:space="preserve"> PAGEREF _Toc335830654 \h </w:instrText>
            </w:r>
            <w:r w:rsidR="008A1D1F">
              <w:rPr>
                <w:noProof/>
                <w:webHidden/>
              </w:rPr>
            </w:r>
            <w:r w:rsidR="008A1D1F">
              <w:rPr>
                <w:noProof/>
                <w:webHidden/>
              </w:rPr>
              <w:fldChar w:fldCharType="separate"/>
            </w:r>
            <w:r w:rsidR="008A1D1F">
              <w:rPr>
                <w:noProof/>
                <w:webHidden/>
              </w:rPr>
              <w:t>7</w:t>
            </w:r>
            <w:r w:rsidR="008A1D1F">
              <w:rPr>
                <w:noProof/>
                <w:webHidden/>
              </w:rPr>
              <w:fldChar w:fldCharType="end"/>
            </w:r>
          </w:hyperlink>
        </w:p>
        <w:p w:rsidR="008A1D1F" w:rsidRDefault="0079157D" w:rsidP="008A1D1F">
          <w:pPr>
            <w:pStyle w:val="TOC2"/>
            <w:rPr>
              <w:rFonts w:asciiTheme="minorHAnsi" w:eastAsiaTheme="minorEastAsia" w:hAnsiTheme="minorHAnsi" w:cstheme="minorBidi"/>
              <w:noProof/>
              <w:sz w:val="22"/>
            </w:rPr>
          </w:pPr>
          <w:hyperlink w:anchor="_Toc335830655" w:history="1">
            <w:r w:rsidR="008A1D1F">
              <w:rPr>
                <w:rFonts w:asciiTheme="minorHAnsi" w:eastAsiaTheme="minorEastAsia" w:hAnsiTheme="minorHAnsi" w:cstheme="minorBidi"/>
                <w:noProof/>
                <w:sz w:val="22"/>
              </w:rPr>
              <w:tab/>
            </w:r>
            <w:r w:rsidR="008A1D1F" w:rsidRPr="00790177">
              <w:rPr>
                <w:rStyle w:val="Hyperlink"/>
                <w:noProof/>
              </w:rPr>
              <w:t>Main Evaluation Questions</w:t>
            </w:r>
            <w:r w:rsidR="008A1D1F">
              <w:rPr>
                <w:noProof/>
                <w:webHidden/>
              </w:rPr>
              <w:tab/>
            </w:r>
            <w:r w:rsidR="008A1D1F">
              <w:rPr>
                <w:noProof/>
                <w:webHidden/>
              </w:rPr>
              <w:fldChar w:fldCharType="begin"/>
            </w:r>
            <w:r w:rsidR="008A1D1F">
              <w:rPr>
                <w:noProof/>
                <w:webHidden/>
              </w:rPr>
              <w:instrText xml:space="preserve"> PAGEREF _Toc335830655 \h </w:instrText>
            </w:r>
            <w:r w:rsidR="008A1D1F">
              <w:rPr>
                <w:noProof/>
                <w:webHidden/>
              </w:rPr>
            </w:r>
            <w:r w:rsidR="008A1D1F">
              <w:rPr>
                <w:noProof/>
                <w:webHidden/>
              </w:rPr>
              <w:fldChar w:fldCharType="separate"/>
            </w:r>
            <w:r w:rsidR="008A1D1F">
              <w:rPr>
                <w:noProof/>
                <w:webHidden/>
              </w:rPr>
              <w:t>7</w:t>
            </w:r>
            <w:r w:rsidR="008A1D1F">
              <w:rPr>
                <w:noProof/>
                <w:webHidden/>
              </w:rPr>
              <w:fldChar w:fldCharType="end"/>
            </w:r>
          </w:hyperlink>
        </w:p>
        <w:p w:rsidR="008A1D1F" w:rsidRDefault="0079157D" w:rsidP="008A1D1F">
          <w:pPr>
            <w:pStyle w:val="TOC2"/>
            <w:rPr>
              <w:rFonts w:asciiTheme="minorHAnsi" w:eastAsiaTheme="minorEastAsia" w:hAnsiTheme="minorHAnsi" w:cstheme="minorBidi"/>
              <w:noProof/>
              <w:sz w:val="22"/>
            </w:rPr>
          </w:pPr>
          <w:hyperlink w:anchor="_Toc335830656" w:history="1">
            <w:r w:rsidR="008A1D1F">
              <w:rPr>
                <w:rFonts w:asciiTheme="minorHAnsi" w:eastAsiaTheme="minorEastAsia" w:hAnsiTheme="minorHAnsi" w:cstheme="minorBidi"/>
                <w:noProof/>
                <w:sz w:val="22"/>
              </w:rPr>
              <w:tab/>
            </w:r>
            <w:r w:rsidR="008A1D1F" w:rsidRPr="00790177">
              <w:rPr>
                <w:rStyle w:val="Hyperlink"/>
                <w:noProof/>
              </w:rPr>
              <w:t>Existing Knowledge (previous evaluations, ex ante economic analysis)</w:t>
            </w:r>
            <w:r w:rsidR="008A1D1F">
              <w:rPr>
                <w:noProof/>
                <w:webHidden/>
              </w:rPr>
              <w:tab/>
            </w:r>
            <w:r w:rsidR="008A1D1F">
              <w:rPr>
                <w:noProof/>
                <w:webHidden/>
              </w:rPr>
              <w:fldChar w:fldCharType="begin"/>
            </w:r>
            <w:r w:rsidR="008A1D1F">
              <w:rPr>
                <w:noProof/>
                <w:webHidden/>
              </w:rPr>
              <w:instrText xml:space="preserve"> PAGEREF _Toc335830656 \h </w:instrText>
            </w:r>
            <w:r w:rsidR="008A1D1F">
              <w:rPr>
                <w:noProof/>
                <w:webHidden/>
              </w:rPr>
            </w:r>
            <w:r w:rsidR="008A1D1F">
              <w:rPr>
                <w:noProof/>
                <w:webHidden/>
              </w:rPr>
              <w:fldChar w:fldCharType="separate"/>
            </w:r>
            <w:r w:rsidR="008A1D1F">
              <w:rPr>
                <w:noProof/>
                <w:webHidden/>
              </w:rPr>
              <w:t>7</w:t>
            </w:r>
            <w:r w:rsidR="008A1D1F">
              <w:rPr>
                <w:noProof/>
                <w:webHidden/>
              </w:rPr>
              <w:fldChar w:fldCharType="end"/>
            </w:r>
          </w:hyperlink>
        </w:p>
        <w:p w:rsidR="008A1D1F" w:rsidRDefault="0079157D" w:rsidP="008A1D1F">
          <w:pPr>
            <w:pStyle w:val="TOC2"/>
            <w:rPr>
              <w:rFonts w:asciiTheme="minorHAnsi" w:eastAsiaTheme="minorEastAsia" w:hAnsiTheme="minorHAnsi" w:cstheme="minorBidi"/>
              <w:noProof/>
              <w:sz w:val="22"/>
            </w:rPr>
          </w:pPr>
          <w:hyperlink w:anchor="_Toc335830657" w:history="1">
            <w:r w:rsidR="008A1D1F">
              <w:rPr>
                <w:rFonts w:asciiTheme="minorHAnsi" w:eastAsiaTheme="minorEastAsia" w:hAnsiTheme="minorHAnsi" w:cstheme="minorBidi"/>
                <w:noProof/>
                <w:sz w:val="22"/>
              </w:rPr>
              <w:tab/>
            </w:r>
            <w:r w:rsidR="008A1D1F" w:rsidRPr="00790177">
              <w:rPr>
                <w:rStyle w:val="Hyperlink"/>
                <w:noProof/>
              </w:rPr>
              <w:t>Key Outcome Indicators</w:t>
            </w:r>
            <w:r w:rsidR="008A1D1F">
              <w:rPr>
                <w:noProof/>
                <w:webHidden/>
              </w:rPr>
              <w:tab/>
            </w:r>
            <w:r w:rsidR="008A1D1F">
              <w:rPr>
                <w:noProof/>
                <w:webHidden/>
              </w:rPr>
              <w:fldChar w:fldCharType="begin"/>
            </w:r>
            <w:r w:rsidR="008A1D1F">
              <w:rPr>
                <w:noProof/>
                <w:webHidden/>
              </w:rPr>
              <w:instrText xml:space="preserve"> PAGEREF _Toc335830657 \h </w:instrText>
            </w:r>
            <w:r w:rsidR="008A1D1F">
              <w:rPr>
                <w:noProof/>
                <w:webHidden/>
              </w:rPr>
            </w:r>
            <w:r w:rsidR="008A1D1F">
              <w:rPr>
                <w:noProof/>
                <w:webHidden/>
              </w:rPr>
              <w:fldChar w:fldCharType="separate"/>
            </w:r>
            <w:r w:rsidR="008A1D1F">
              <w:rPr>
                <w:noProof/>
                <w:webHidden/>
              </w:rPr>
              <w:t>9</w:t>
            </w:r>
            <w:r w:rsidR="008A1D1F">
              <w:rPr>
                <w:noProof/>
                <w:webHidden/>
              </w:rPr>
              <w:fldChar w:fldCharType="end"/>
            </w:r>
          </w:hyperlink>
        </w:p>
        <w:p w:rsidR="008A1D1F" w:rsidRDefault="0079157D" w:rsidP="008A1D1F">
          <w:pPr>
            <w:pStyle w:val="TOC2"/>
            <w:rPr>
              <w:rFonts w:asciiTheme="minorHAnsi" w:eastAsiaTheme="minorEastAsia" w:hAnsiTheme="minorHAnsi" w:cstheme="minorBidi"/>
              <w:noProof/>
              <w:sz w:val="22"/>
            </w:rPr>
          </w:pPr>
          <w:hyperlink w:anchor="_Toc335830658" w:history="1">
            <w:r w:rsidR="008A1D1F">
              <w:rPr>
                <w:rFonts w:asciiTheme="minorHAnsi" w:eastAsiaTheme="minorEastAsia" w:hAnsiTheme="minorHAnsi" w:cstheme="minorBidi"/>
                <w:noProof/>
                <w:sz w:val="22"/>
              </w:rPr>
              <w:tab/>
            </w:r>
            <w:r w:rsidR="008A1D1F" w:rsidRPr="00790177">
              <w:rPr>
                <w:rStyle w:val="Hyperlink"/>
                <w:noProof/>
              </w:rPr>
              <w:t>Evaluation Methodology</w:t>
            </w:r>
            <w:r w:rsidR="008A1D1F">
              <w:rPr>
                <w:noProof/>
                <w:webHidden/>
              </w:rPr>
              <w:tab/>
            </w:r>
            <w:r w:rsidR="008A1D1F">
              <w:rPr>
                <w:noProof/>
                <w:webHidden/>
              </w:rPr>
              <w:fldChar w:fldCharType="begin"/>
            </w:r>
            <w:r w:rsidR="008A1D1F">
              <w:rPr>
                <w:noProof/>
                <w:webHidden/>
              </w:rPr>
              <w:instrText xml:space="preserve"> PAGEREF _Toc335830658 \h </w:instrText>
            </w:r>
            <w:r w:rsidR="008A1D1F">
              <w:rPr>
                <w:noProof/>
                <w:webHidden/>
              </w:rPr>
            </w:r>
            <w:r w:rsidR="008A1D1F">
              <w:rPr>
                <w:noProof/>
                <w:webHidden/>
              </w:rPr>
              <w:fldChar w:fldCharType="separate"/>
            </w:r>
            <w:r w:rsidR="008A1D1F">
              <w:rPr>
                <w:noProof/>
                <w:webHidden/>
              </w:rPr>
              <w:t>10</w:t>
            </w:r>
            <w:r w:rsidR="008A1D1F">
              <w:rPr>
                <w:noProof/>
                <w:webHidden/>
              </w:rPr>
              <w:fldChar w:fldCharType="end"/>
            </w:r>
          </w:hyperlink>
        </w:p>
        <w:p w:rsidR="008A1D1F" w:rsidRDefault="0079157D" w:rsidP="008A1D1F">
          <w:pPr>
            <w:pStyle w:val="TOC2"/>
            <w:rPr>
              <w:rFonts w:asciiTheme="minorHAnsi" w:eastAsiaTheme="minorEastAsia" w:hAnsiTheme="minorHAnsi" w:cstheme="minorBidi"/>
              <w:noProof/>
              <w:sz w:val="22"/>
            </w:rPr>
          </w:pPr>
          <w:hyperlink w:anchor="_Toc335830659" w:history="1">
            <w:r w:rsidR="008A1D1F">
              <w:rPr>
                <w:rFonts w:asciiTheme="minorHAnsi" w:eastAsiaTheme="minorEastAsia" w:hAnsiTheme="minorHAnsi" w:cstheme="minorBidi"/>
                <w:noProof/>
                <w:sz w:val="22"/>
              </w:rPr>
              <w:tab/>
            </w:r>
            <w:r w:rsidR="008A1D1F" w:rsidRPr="00790177">
              <w:rPr>
                <w:rStyle w:val="Hyperlink"/>
                <w:noProof/>
              </w:rPr>
              <w:t>Data Collection and Instruments</w:t>
            </w:r>
            <w:r w:rsidR="008A1D1F">
              <w:rPr>
                <w:noProof/>
                <w:webHidden/>
              </w:rPr>
              <w:tab/>
            </w:r>
            <w:r w:rsidR="008A1D1F">
              <w:rPr>
                <w:noProof/>
                <w:webHidden/>
              </w:rPr>
              <w:fldChar w:fldCharType="begin"/>
            </w:r>
            <w:r w:rsidR="008A1D1F">
              <w:rPr>
                <w:noProof/>
                <w:webHidden/>
              </w:rPr>
              <w:instrText xml:space="preserve"> PAGEREF _Toc335830659 \h </w:instrText>
            </w:r>
            <w:r w:rsidR="008A1D1F">
              <w:rPr>
                <w:noProof/>
                <w:webHidden/>
              </w:rPr>
            </w:r>
            <w:r w:rsidR="008A1D1F">
              <w:rPr>
                <w:noProof/>
                <w:webHidden/>
              </w:rPr>
              <w:fldChar w:fldCharType="separate"/>
            </w:r>
            <w:r w:rsidR="008A1D1F">
              <w:rPr>
                <w:noProof/>
                <w:webHidden/>
              </w:rPr>
              <w:t>11</w:t>
            </w:r>
            <w:r w:rsidR="008A1D1F">
              <w:rPr>
                <w:noProof/>
                <w:webHidden/>
              </w:rPr>
              <w:fldChar w:fldCharType="end"/>
            </w:r>
          </w:hyperlink>
        </w:p>
        <w:p w:rsidR="008A1D1F" w:rsidRDefault="0079157D" w:rsidP="008A1D1F">
          <w:pPr>
            <w:pStyle w:val="TOC2"/>
            <w:rPr>
              <w:rFonts w:asciiTheme="minorHAnsi" w:eastAsiaTheme="minorEastAsia" w:hAnsiTheme="minorHAnsi" w:cstheme="minorBidi"/>
              <w:noProof/>
              <w:sz w:val="22"/>
            </w:rPr>
          </w:pPr>
          <w:hyperlink w:anchor="_Toc335830660" w:history="1">
            <w:r w:rsidR="008A1D1F">
              <w:rPr>
                <w:rFonts w:asciiTheme="minorHAnsi" w:eastAsiaTheme="minorEastAsia" w:hAnsiTheme="minorHAnsi" w:cstheme="minorBidi"/>
                <w:noProof/>
                <w:sz w:val="22"/>
              </w:rPr>
              <w:tab/>
            </w:r>
            <w:r w:rsidR="008A1D1F" w:rsidRPr="00790177">
              <w:rPr>
                <w:rStyle w:val="Hyperlink"/>
                <w:noProof/>
              </w:rPr>
              <w:t>Reporting Evaluation Results</w:t>
            </w:r>
            <w:r w:rsidR="008A1D1F">
              <w:rPr>
                <w:noProof/>
                <w:webHidden/>
              </w:rPr>
              <w:tab/>
            </w:r>
            <w:r w:rsidR="008A1D1F">
              <w:rPr>
                <w:noProof/>
                <w:webHidden/>
              </w:rPr>
              <w:fldChar w:fldCharType="begin"/>
            </w:r>
            <w:r w:rsidR="008A1D1F">
              <w:rPr>
                <w:noProof/>
                <w:webHidden/>
              </w:rPr>
              <w:instrText xml:space="preserve"> PAGEREF _Toc335830660 \h </w:instrText>
            </w:r>
            <w:r w:rsidR="008A1D1F">
              <w:rPr>
                <w:noProof/>
                <w:webHidden/>
              </w:rPr>
            </w:r>
            <w:r w:rsidR="008A1D1F">
              <w:rPr>
                <w:noProof/>
                <w:webHidden/>
              </w:rPr>
              <w:fldChar w:fldCharType="separate"/>
            </w:r>
            <w:r w:rsidR="008A1D1F">
              <w:rPr>
                <w:noProof/>
                <w:webHidden/>
              </w:rPr>
              <w:t>11</w:t>
            </w:r>
            <w:r w:rsidR="008A1D1F">
              <w:rPr>
                <w:noProof/>
                <w:webHidden/>
              </w:rPr>
              <w:fldChar w:fldCharType="end"/>
            </w:r>
          </w:hyperlink>
        </w:p>
        <w:p w:rsidR="008A1D1F" w:rsidRDefault="0079157D" w:rsidP="008A1D1F">
          <w:pPr>
            <w:pStyle w:val="TOC2"/>
            <w:rPr>
              <w:rFonts w:asciiTheme="minorHAnsi" w:eastAsiaTheme="minorEastAsia" w:hAnsiTheme="minorHAnsi" w:cstheme="minorBidi"/>
              <w:noProof/>
              <w:sz w:val="22"/>
            </w:rPr>
          </w:pPr>
          <w:hyperlink w:anchor="_Toc335830661" w:history="1">
            <w:r w:rsidR="008A1D1F">
              <w:rPr>
                <w:rFonts w:asciiTheme="minorHAnsi" w:eastAsiaTheme="minorEastAsia" w:hAnsiTheme="minorHAnsi" w:cstheme="minorBidi"/>
                <w:noProof/>
                <w:sz w:val="22"/>
              </w:rPr>
              <w:tab/>
            </w:r>
            <w:r w:rsidR="008A1D1F" w:rsidRPr="00790177">
              <w:rPr>
                <w:rStyle w:val="Hyperlink"/>
                <w:noProof/>
              </w:rPr>
              <w:t>Evaluation Coordination, Work Plan and Budget</w:t>
            </w:r>
            <w:r w:rsidR="008A1D1F">
              <w:rPr>
                <w:noProof/>
                <w:webHidden/>
              </w:rPr>
              <w:tab/>
            </w:r>
            <w:r w:rsidR="008A1D1F">
              <w:rPr>
                <w:noProof/>
                <w:webHidden/>
              </w:rPr>
              <w:fldChar w:fldCharType="begin"/>
            </w:r>
            <w:r w:rsidR="008A1D1F">
              <w:rPr>
                <w:noProof/>
                <w:webHidden/>
              </w:rPr>
              <w:instrText xml:space="preserve"> PAGEREF _Toc335830661 \h </w:instrText>
            </w:r>
            <w:r w:rsidR="008A1D1F">
              <w:rPr>
                <w:noProof/>
                <w:webHidden/>
              </w:rPr>
            </w:r>
            <w:r w:rsidR="008A1D1F">
              <w:rPr>
                <w:noProof/>
                <w:webHidden/>
              </w:rPr>
              <w:fldChar w:fldCharType="separate"/>
            </w:r>
            <w:r w:rsidR="008A1D1F">
              <w:rPr>
                <w:noProof/>
                <w:webHidden/>
              </w:rPr>
              <w:t>13</w:t>
            </w:r>
            <w:r w:rsidR="008A1D1F">
              <w:rPr>
                <w:noProof/>
                <w:webHidden/>
              </w:rPr>
              <w:fldChar w:fldCharType="end"/>
            </w:r>
          </w:hyperlink>
        </w:p>
        <w:p w:rsidR="008A1D1F" w:rsidRDefault="008A1D1F" w:rsidP="008A1D1F">
          <w:r>
            <w:rPr>
              <w:b/>
              <w:bCs/>
              <w:noProof/>
            </w:rPr>
            <w:fldChar w:fldCharType="end"/>
          </w:r>
        </w:p>
      </w:sdtContent>
    </w:sdt>
    <w:p w:rsidR="008A1D1F" w:rsidRDefault="008A1D1F" w:rsidP="008A1D1F">
      <w:pPr>
        <w:pStyle w:val="TOC3"/>
        <w:jc w:val="both"/>
        <w:sectPr w:rsidR="008A1D1F" w:rsidSect="00FA7062">
          <w:pgSz w:w="12240" w:h="15840"/>
          <w:pgMar w:top="1440" w:right="1440" w:bottom="1440" w:left="1440" w:header="720" w:footer="720" w:gutter="0"/>
          <w:cols w:space="720"/>
          <w:docGrid w:linePitch="360"/>
        </w:sectPr>
      </w:pPr>
    </w:p>
    <w:p w:rsidR="008A1D1F" w:rsidRPr="009625B1" w:rsidRDefault="008A1D1F" w:rsidP="008A1D1F">
      <w:pPr>
        <w:pStyle w:val="TOC3"/>
        <w:jc w:val="both"/>
        <w:rPr>
          <w:b/>
        </w:rPr>
      </w:pPr>
    </w:p>
    <w:p w:rsidR="008A1D1F" w:rsidRPr="009625B1" w:rsidRDefault="008A1D1F" w:rsidP="008A1D1F">
      <w:pPr>
        <w:pStyle w:val="Title"/>
        <w:rPr>
          <w:b/>
        </w:rPr>
      </w:pPr>
      <w:bookmarkStart w:id="1" w:name="_Toc335830650"/>
      <w:r w:rsidRPr="009625B1">
        <w:rPr>
          <w:b/>
        </w:rPr>
        <w:t>ABBREVIATIONS</w:t>
      </w:r>
      <w:bookmarkEnd w:id="1"/>
    </w:p>
    <w:p w:rsidR="008A1D1F" w:rsidRPr="009625B1" w:rsidRDefault="008A1D1F" w:rsidP="008A1D1F">
      <w:pPr>
        <w:pStyle w:val="Title"/>
        <w:jc w:val="left"/>
      </w:pPr>
    </w:p>
    <w:p w:rsidR="008A1D1F" w:rsidRPr="009625B1" w:rsidRDefault="008A1D1F" w:rsidP="008A1D1F">
      <w:pPr>
        <w:pStyle w:val="Newpage"/>
        <w:spacing w:before="0" w:line="360" w:lineRule="auto"/>
        <w:jc w:val="both"/>
        <w:rPr>
          <w:b w:val="0"/>
          <w:szCs w:val="24"/>
        </w:rPr>
      </w:pPr>
      <w:r w:rsidRPr="009625B1">
        <w:rPr>
          <w:b w:val="0"/>
          <w:szCs w:val="24"/>
        </w:rPr>
        <w:t>CBA</w:t>
      </w:r>
      <w:r w:rsidRPr="009625B1">
        <w:rPr>
          <w:b w:val="0"/>
          <w:szCs w:val="24"/>
        </w:rPr>
        <w:tab/>
      </w:r>
      <w:r>
        <w:rPr>
          <w:b w:val="0"/>
          <w:szCs w:val="24"/>
        </w:rPr>
        <w:tab/>
      </w:r>
      <w:r w:rsidRPr="009625B1">
        <w:rPr>
          <w:b w:val="0"/>
          <w:szCs w:val="24"/>
        </w:rPr>
        <w:t>Cost Benefit Analysis</w:t>
      </w:r>
    </w:p>
    <w:p w:rsidR="008A1D1F" w:rsidRPr="009625B1" w:rsidRDefault="008A1D1F" w:rsidP="008A1D1F">
      <w:pPr>
        <w:pStyle w:val="Newpage"/>
        <w:spacing w:before="0" w:line="360" w:lineRule="auto"/>
        <w:jc w:val="both"/>
        <w:rPr>
          <w:b w:val="0"/>
          <w:szCs w:val="24"/>
        </w:rPr>
      </w:pPr>
      <w:r w:rsidRPr="009625B1">
        <w:rPr>
          <w:b w:val="0"/>
          <w:szCs w:val="24"/>
        </w:rPr>
        <w:t>EA</w:t>
      </w:r>
      <w:r w:rsidRPr="009625B1">
        <w:rPr>
          <w:b w:val="0"/>
          <w:szCs w:val="24"/>
        </w:rPr>
        <w:tab/>
      </w:r>
      <w:r>
        <w:rPr>
          <w:b w:val="0"/>
          <w:szCs w:val="24"/>
        </w:rPr>
        <w:tab/>
      </w:r>
      <w:r w:rsidRPr="009625B1">
        <w:rPr>
          <w:b w:val="0"/>
          <w:szCs w:val="24"/>
        </w:rPr>
        <w:t>Executing Agency</w:t>
      </w:r>
    </w:p>
    <w:p w:rsidR="008A1D1F" w:rsidRPr="009625B1" w:rsidRDefault="008A1D1F" w:rsidP="008A1D1F">
      <w:pPr>
        <w:pStyle w:val="Newpage"/>
        <w:spacing w:before="0" w:line="360" w:lineRule="auto"/>
        <w:jc w:val="both"/>
        <w:rPr>
          <w:b w:val="0"/>
          <w:szCs w:val="24"/>
        </w:rPr>
      </w:pPr>
      <w:r w:rsidRPr="009625B1">
        <w:rPr>
          <w:b w:val="0"/>
          <w:szCs w:val="24"/>
        </w:rPr>
        <w:t>EBS</w:t>
      </w:r>
      <w:r w:rsidRPr="009625B1">
        <w:rPr>
          <w:b w:val="0"/>
          <w:szCs w:val="24"/>
        </w:rPr>
        <w:tab/>
      </w:r>
      <w:r>
        <w:rPr>
          <w:b w:val="0"/>
          <w:szCs w:val="24"/>
        </w:rPr>
        <w:tab/>
      </w:r>
      <w:proofErr w:type="spellStart"/>
      <w:r w:rsidRPr="009625B1">
        <w:rPr>
          <w:b w:val="0"/>
          <w:szCs w:val="24"/>
        </w:rPr>
        <w:t>Energiebedrijven</w:t>
      </w:r>
      <w:proofErr w:type="spellEnd"/>
      <w:r w:rsidRPr="009625B1">
        <w:rPr>
          <w:b w:val="0"/>
          <w:szCs w:val="24"/>
        </w:rPr>
        <w:t xml:space="preserve"> Suriname</w:t>
      </w:r>
    </w:p>
    <w:p w:rsidR="008A1D1F" w:rsidRPr="009625B1" w:rsidRDefault="008A1D1F" w:rsidP="008A1D1F">
      <w:pPr>
        <w:pStyle w:val="Newpage"/>
        <w:spacing w:before="0" w:line="360" w:lineRule="auto"/>
        <w:jc w:val="both"/>
        <w:rPr>
          <w:b w:val="0"/>
          <w:szCs w:val="24"/>
        </w:rPr>
      </w:pPr>
      <w:r w:rsidRPr="009625B1">
        <w:rPr>
          <w:b w:val="0"/>
          <w:szCs w:val="24"/>
        </w:rPr>
        <w:t>EE</w:t>
      </w:r>
      <w:r w:rsidRPr="009625B1">
        <w:rPr>
          <w:b w:val="0"/>
          <w:szCs w:val="24"/>
        </w:rPr>
        <w:tab/>
      </w:r>
      <w:r>
        <w:rPr>
          <w:b w:val="0"/>
          <w:szCs w:val="24"/>
        </w:rPr>
        <w:tab/>
      </w:r>
      <w:r w:rsidRPr="009625B1">
        <w:rPr>
          <w:b w:val="0"/>
          <w:szCs w:val="24"/>
        </w:rPr>
        <w:t>Energy Efficiency</w:t>
      </w:r>
    </w:p>
    <w:p w:rsidR="008A1D1F" w:rsidRPr="009625B1" w:rsidRDefault="008A1D1F" w:rsidP="008A1D1F">
      <w:pPr>
        <w:pStyle w:val="Newpage"/>
        <w:spacing w:before="0" w:line="360" w:lineRule="auto"/>
        <w:jc w:val="both"/>
        <w:rPr>
          <w:b w:val="0"/>
          <w:szCs w:val="24"/>
        </w:rPr>
      </w:pPr>
      <w:proofErr w:type="spellStart"/>
      <w:r w:rsidRPr="009625B1">
        <w:rPr>
          <w:b w:val="0"/>
          <w:szCs w:val="24"/>
        </w:rPr>
        <w:t>GoS</w:t>
      </w:r>
      <w:proofErr w:type="spellEnd"/>
      <w:r w:rsidRPr="009625B1">
        <w:rPr>
          <w:b w:val="0"/>
          <w:szCs w:val="24"/>
        </w:rPr>
        <w:tab/>
      </w:r>
      <w:r>
        <w:rPr>
          <w:b w:val="0"/>
          <w:szCs w:val="24"/>
        </w:rPr>
        <w:tab/>
      </w:r>
      <w:r w:rsidRPr="009625B1">
        <w:rPr>
          <w:b w:val="0"/>
          <w:szCs w:val="24"/>
        </w:rPr>
        <w:t>Government of the Republic of Suriname</w:t>
      </w:r>
    </w:p>
    <w:p w:rsidR="008A1D1F" w:rsidRPr="009625B1" w:rsidRDefault="008A1D1F" w:rsidP="008A1D1F">
      <w:pPr>
        <w:pStyle w:val="Newpage"/>
        <w:spacing w:before="0" w:line="360" w:lineRule="auto"/>
        <w:jc w:val="both"/>
        <w:rPr>
          <w:b w:val="0"/>
          <w:szCs w:val="24"/>
        </w:rPr>
      </w:pPr>
      <w:r w:rsidRPr="009625B1">
        <w:rPr>
          <w:b w:val="0"/>
          <w:szCs w:val="24"/>
        </w:rPr>
        <w:t>IDB</w:t>
      </w:r>
      <w:r w:rsidRPr="009625B1">
        <w:rPr>
          <w:b w:val="0"/>
          <w:szCs w:val="24"/>
        </w:rPr>
        <w:tab/>
      </w:r>
      <w:r>
        <w:rPr>
          <w:b w:val="0"/>
          <w:szCs w:val="24"/>
        </w:rPr>
        <w:tab/>
      </w:r>
      <w:r w:rsidRPr="009625B1">
        <w:rPr>
          <w:b w:val="0"/>
          <w:szCs w:val="24"/>
        </w:rPr>
        <w:t>Inter-American Development Bank</w:t>
      </w:r>
    </w:p>
    <w:p w:rsidR="008A1D1F" w:rsidRPr="009625B1" w:rsidRDefault="008A1D1F" w:rsidP="008A1D1F">
      <w:pPr>
        <w:pStyle w:val="Newpage"/>
        <w:spacing w:before="0" w:line="360" w:lineRule="auto"/>
        <w:jc w:val="both"/>
        <w:rPr>
          <w:b w:val="0"/>
          <w:szCs w:val="24"/>
        </w:rPr>
      </w:pPr>
      <w:r w:rsidRPr="009625B1">
        <w:rPr>
          <w:b w:val="0"/>
          <w:szCs w:val="24"/>
        </w:rPr>
        <w:t>MF</w:t>
      </w:r>
      <w:r w:rsidRPr="009625B1">
        <w:rPr>
          <w:b w:val="0"/>
          <w:szCs w:val="24"/>
        </w:rPr>
        <w:tab/>
      </w:r>
      <w:r>
        <w:rPr>
          <w:b w:val="0"/>
          <w:szCs w:val="24"/>
        </w:rPr>
        <w:tab/>
      </w:r>
      <w:r w:rsidRPr="009625B1">
        <w:rPr>
          <w:b w:val="0"/>
          <w:szCs w:val="24"/>
        </w:rPr>
        <w:t>Ministry of Finance</w:t>
      </w:r>
    </w:p>
    <w:p w:rsidR="008A1D1F" w:rsidRPr="009625B1" w:rsidRDefault="008A1D1F" w:rsidP="008A1D1F">
      <w:pPr>
        <w:pStyle w:val="Newpage"/>
        <w:spacing w:before="0" w:line="360" w:lineRule="auto"/>
        <w:jc w:val="both"/>
        <w:rPr>
          <w:b w:val="0"/>
          <w:szCs w:val="24"/>
        </w:rPr>
      </w:pPr>
      <w:r w:rsidRPr="009625B1">
        <w:rPr>
          <w:b w:val="0"/>
          <w:szCs w:val="24"/>
        </w:rPr>
        <w:t>MNH</w:t>
      </w:r>
      <w:r w:rsidRPr="009625B1">
        <w:rPr>
          <w:b w:val="0"/>
          <w:szCs w:val="24"/>
        </w:rPr>
        <w:tab/>
      </w:r>
      <w:r>
        <w:rPr>
          <w:b w:val="0"/>
          <w:szCs w:val="24"/>
        </w:rPr>
        <w:tab/>
      </w:r>
      <w:r w:rsidRPr="009625B1">
        <w:rPr>
          <w:b w:val="0"/>
          <w:szCs w:val="24"/>
        </w:rPr>
        <w:t>Ministry of Natural Resources</w:t>
      </w:r>
    </w:p>
    <w:p w:rsidR="008A1D1F" w:rsidRPr="009625B1" w:rsidRDefault="008A1D1F" w:rsidP="008A1D1F">
      <w:pPr>
        <w:pStyle w:val="Newpage"/>
        <w:spacing w:before="0" w:line="360" w:lineRule="auto"/>
        <w:jc w:val="both"/>
        <w:rPr>
          <w:b w:val="0"/>
          <w:szCs w:val="24"/>
        </w:rPr>
      </w:pPr>
      <w:r w:rsidRPr="009625B1">
        <w:rPr>
          <w:b w:val="0"/>
          <w:szCs w:val="24"/>
        </w:rPr>
        <w:t>MW</w:t>
      </w:r>
      <w:r w:rsidRPr="009625B1">
        <w:rPr>
          <w:b w:val="0"/>
          <w:szCs w:val="24"/>
        </w:rPr>
        <w:tab/>
      </w:r>
      <w:r>
        <w:rPr>
          <w:b w:val="0"/>
          <w:szCs w:val="24"/>
        </w:rPr>
        <w:tab/>
      </w:r>
      <w:proofErr w:type="spellStart"/>
      <w:r w:rsidRPr="009625B1">
        <w:rPr>
          <w:b w:val="0"/>
          <w:szCs w:val="24"/>
        </w:rPr>
        <w:t>MegaWatt</w:t>
      </w:r>
      <w:proofErr w:type="spellEnd"/>
    </w:p>
    <w:p w:rsidR="008A1D1F" w:rsidRDefault="008A1D1F" w:rsidP="008A1D1F">
      <w:pPr>
        <w:pStyle w:val="Newpage"/>
        <w:spacing w:before="0" w:line="360" w:lineRule="auto"/>
        <w:jc w:val="both"/>
        <w:rPr>
          <w:b w:val="0"/>
          <w:szCs w:val="24"/>
        </w:rPr>
      </w:pPr>
      <w:proofErr w:type="spellStart"/>
      <w:r w:rsidRPr="009625B1">
        <w:rPr>
          <w:b w:val="0"/>
          <w:szCs w:val="24"/>
        </w:rPr>
        <w:t>MWh</w:t>
      </w:r>
      <w:proofErr w:type="spellEnd"/>
      <w:r w:rsidRPr="009625B1">
        <w:rPr>
          <w:b w:val="0"/>
          <w:szCs w:val="24"/>
        </w:rPr>
        <w:tab/>
      </w:r>
      <w:r>
        <w:rPr>
          <w:b w:val="0"/>
          <w:szCs w:val="24"/>
        </w:rPr>
        <w:tab/>
      </w:r>
      <w:proofErr w:type="spellStart"/>
      <w:r w:rsidRPr="009625B1">
        <w:rPr>
          <w:b w:val="0"/>
          <w:szCs w:val="24"/>
        </w:rPr>
        <w:t>MegaWatt</w:t>
      </w:r>
      <w:proofErr w:type="spellEnd"/>
      <w:r w:rsidRPr="009625B1">
        <w:rPr>
          <w:b w:val="0"/>
          <w:szCs w:val="24"/>
        </w:rPr>
        <w:t xml:space="preserve"> hour</w:t>
      </w:r>
    </w:p>
    <w:p w:rsidR="008A1D1F" w:rsidRPr="009625B1" w:rsidRDefault="008A1D1F" w:rsidP="008A1D1F">
      <w:pPr>
        <w:pStyle w:val="Newpage"/>
        <w:spacing w:before="0" w:line="360" w:lineRule="auto"/>
        <w:jc w:val="both"/>
        <w:rPr>
          <w:b w:val="0"/>
          <w:szCs w:val="24"/>
        </w:rPr>
      </w:pPr>
      <w:r>
        <w:rPr>
          <w:b w:val="0"/>
          <w:szCs w:val="24"/>
        </w:rPr>
        <w:t>PCR</w:t>
      </w:r>
      <w:r>
        <w:rPr>
          <w:b w:val="0"/>
          <w:szCs w:val="24"/>
        </w:rPr>
        <w:tab/>
      </w:r>
      <w:r>
        <w:rPr>
          <w:b w:val="0"/>
          <w:szCs w:val="24"/>
        </w:rPr>
        <w:tab/>
      </w:r>
      <w:r w:rsidRPr="009625B1">
        <w:rPr>
          <w:b w:val="0"/>
          <w:szCs w:val="24"/>
        </w:rPr>
        <w:t>Project Completion Report</w:t>
      </w:r>
    </w:p>
    <w:p w:rsidR="008A1D1F" w:rsidRPr="009625B1" w:rsidRDefault="008A1D1F" w:rsidP="008A1D1F">
      <w:pPr>
        <w:pStyle w:val="Newpage"/>
        <w:spacing w:before="0" w:line="360" w:lineRule="auto"/>
        <w:jc w:val="both"/>
        <w:rPr>
          <w:b w:val="0"/>
          <w:szCs w:val="24"/>
        </w:rPr>
      </w:pPr>
      <w:r w:rsidRPr="009625B1">
        <w:rPr>
          <w:b w:val="0"/>
          <w:szCs w:val="24"/>
        </w:rPr>
        <w:t>PBP</w:t>
      </w:r>
      <w:r w:rsidRPr="009625B1">
        <w:rPr>
          <w:b w:val="0"/>
          <w:szCs w:val="24"/>
        </w:rPr>
        <w:tab/>
      </w:r>
      <w:r>
        <w:rPr>
          <w:b w:val="0"/>
          <w:szCs w:val="24"/>
        </w:rPr>
        <w:tab/>
      </w:r>
      <w:r w:rsidRPr="009625B1">
        <w:rPr>
          <w:b w:val="0"/>
          <w:szCs w:val="24"/>
        </w:rPr>
        <w:t>Policy-Based Programmatic</w:t>
      </w:r>
    </w:p>
    <w:p w:rsidR="008A1D1F" w:rsidRPr="009625B1" w:rsidRDefault="008A1D1F" w:rsidP="008A1D1F">
      <w:pPr>
        <w:pStyle w:val="Newpage"/>
        <w:spacing w:before="0" w:line="360" w:lineRule="auto"/>
        <w:jc w:val="both"/>
        <w:rPr>
          <w:b w:val="0"/>
          <w:szCs w:val="24"/>
        </w:rPr>
      </w:pPr>
      <w:r w:rsidRPr="009625B1">
        <w:rPr>
          <w:b w:val="0"/>
          <w:szCs w:val="24"/>
        </w:rPr>
        <w:t>PBL</w:t>
      </w:r>
      <w:r w:rsidRPr="009625B1">
        <w:rPr>
          <w:b w:val="0"/>
          <w:szCs w:val="24"/>
        </w:rPr>
        <w:tab/>
      </w:r>
      <w:r>
        <w:rPr>
          <w:b w:val="0"/>
          <w:szCs w:val="24"/>
        </w:rPr>
        <w:tab/>
      </w:r>
      <w:r w:rsidRPr="009625B1">
        <w:rPr>
          <w:b w:val="0"/>
          <w:szCs w:val="24"/>
        </w:rPr>
        <w:t>Policy-Based Loan</w:t>
      </w:r>
    </w:p>
    <w:p w:rsidR="008A1D1F" w:rsidRPr="009625B1" w:rsidRDefault="008A1D1F" w:rsidP="008A1D1F">
      <w:pPr>
        <w:pStyle w:val="Newpage"/>
        <w:spacing w:before="0" w:line="360" w:lineRule="auto"/>
        <w:jc w:val="both"/>
        <w:rPr>
          <w:b w:val="0"/>
          <w:szCs w:val="24"/>
        </w:rPr>
      </w:pPr>
      <w:r w:rsidRPr="009625B1">
        <w:rPr>
          <w:b w:val="0"/>
          <w:szCs w:val="24"/>
        </w:rPr>
        <w:t>RE</w:t>
      </w:r>
      <w:r w:rsidRPr="009625B1">
        <w:rPr>
          <w:b w:val="0"/>
          <w:szCs w:val="24"/>
        </w:rPr>
        <w:tab/>
      </w:r>
      <w:r>
        <w:rPr>
          <w:b w:val="0"/>
          <w:szCs w:val="24"/>
        </w:rPr>
        <w:tab/>
      </w:r>
      <w:r w:rsidRPr="009625B1">
        <w:rPr>
          <w:b w:val="0"/>
          <w:szCs w:val="24"/>
        </w:rPr>
        <w:t>Renewable Energy</w:t>
      </w:r>
    </w:p>
    <w:p w:rsidR="008A1D1F" w:rsidRDefault="008A1D1F" w:rsidP="008A1D1F">
      <w:pPr>
        <w:pStyle w:val="Newpage"/>
        <w:jc w:val="both"/>
        <w:rPr>
          <w:szCs w:val="24"/>
        </w:rPr>
      </w:pPr>
    </w:p>
    <w:p w:rsidR="008A1D1F" w:rsidRDefault="008A1D1F" w:rsidP="008A1D1F">
      <w:pPr>
        <w:pStyle w:val="Newpage"/>
        <w:jc w:val="both"/>
        <w:rPr>
          <w:szCs w:val="24"/>
        </w:rPr>
      </w:pPr>
    </w:p>
    <w:p w:rsidR="008A1D1F" w:rsidRDefault="008A1D1F" w:rsidP="008A1D1F">
      <w:pPr>
        <w:pStyle w:val="Newpage"/>
        <w:jc w:val="both"/>
        <w:rPr>
          <w:szCs w:val="24"/>
        </w:rPr>
        <w:sectPr w:rsidR="008A1D1F" w:rsidSect="00FA7062">
          <w:pgSz w:w="12240" w:h="15840"/>
          <w:pgMar w:top="1440" w:right="1440" w:bottom="1440" w:left="1440" w:header="720" w:footer="720" w:gutter="0"/>
          <w:cols w:space="720"/>
          <w:docGrid w:linePitch="360"/>
        </w:sectPr>
      </w:pPr>
    </w:p>
    <w:p w:rsidR="008A1D1F" w:rsidRPr="00A53C68" w:rsidRDefault="008A1D1F" w:rsidP="008A1D1F">
      <w:pPr>
        <w:pStyle w:val="Title"/>
        <w:numPr>
          <w:ilvl w:val="0"/>
          <w:numId w:val="15"/>
        </w:numPr>
        <w:jc w:val="left"/>
        <w:rPr>
          <w:b/>
        </w:rPr>
      </w:pPr>
      <w:bookmarkStart w:id="2" w:name="_Toc323827268"/>
      <w:bookmarkStart w:id="3" w:name="_Toc335830651"/>
      <w:r w:rsidRPr="00A53C68">
        <w:rPr>
          <w:b/>
        </w:rPr>
        <w:lastRenderedPageBreak/>
        <w:t>Introduction</w:t>
      </w:r>
      <w:bookmarkEnd w:id="2"/>
      <w:bookmarkEnd w:id="3"/>
      <w:r w:rsidRPr="00A53C68">
        <w:rPr>
          <w:b/>
        </w:rPr>
        <w:t xml:space="preserve"> </w:t>
      </w:r>
    </w:p>
    <w:p w:rsidR="008A1D1F" w:rsidRPr="00BF6F36" w:rsidRDefault="008A1D1F" w:rsidP="008A1D1F">
      <w:pPr>
        <w:pStyle w:val="Title"/>
        <w:jc w:val="left"/>
      </w:pPr>
    </w:p>
    <w:p w:rsidR="008A1D1F" w:rsidRPr="005B40C6" w:rsidRDefault="008A1D1F" w:rsidP="008A1D1F">
      <w:pPr>
        <w:spacing w:after="0" w:line="360" w:lineRule="auto"/>
        <w:jc w:val="both"/>
        <w:rPr>
          <w:rFonts w:eastAsia="MS Mincho"/>
          <w:szCs w:val="24"/>
          <w:lang w:eastAsia="ja-JP"/>
        </w:rPr>
      </w:pPr>
      <w:bookmarkStart w:id="4" w:name="_Toc296958008"/>
      <w:r w:rsidRPr="005B40C6">
        <w:rPr>
          <w:rFonts w:eastAsia="MS Mincho"/>
          <w:szCs w:val="24"/>
          <w:lang w:eastAsia="ja-JP"/>
        </w:rPr>
        <w:t>The general objective of the Program is to increase the efficiency, transparency, sustainability and accountability of the power sector. The specific objectives are to; (i) develop an energy framework and (ii) strengthen the sustainability and corporate capabilities of the sector.</w:t>
      </w:r>
    </w:p>
    <w:p w:rsidR="008A1D1F" w:rsidRPr="005C1207" w:rsidRDefault="008A1D1F" w:rsidP="008A1D1F">
      <w:pPr>
        <w:pStyle w:val="ListParagraph"/>
        <w:spacing w:after="0" w:line="360" w:lineRule="auto"/>
        <w:ind w:left="405"/>
        <w:jc w:val="both"/>
        <w:rPr>
          <w:rFonts w:eastAsia="MS Mincho"/>
          <w:szCs w:val="24"/>
          <w:lang w:eastAsia="ja-JP"/>
        </w:rPr>
      </w:pPr>
    </w:p>
    <w:p w:rsidR="008A1D1F" w:rsidRPr="005B40C6" w:rsidRDefault="008A1D1F" w:rsidP="008A1D1F">
      <w:pPr>
        <w:spacing w:after="0" w:line="360" w:lineRule="auto"/>
        <w:jc w:val="both"/>
        <w:rPr>
          <w:rFonts w:eastAsia="MS Mincho"/>
          <w:szCs w:val="24"/>
          <w:lang w:eastAsia="ja-JP"/>
        </w:rPr>
      </w:pPr>
      <w:r w:rsidRPr="005B40C6">
        <w:rPr>
          <w:rFonts w:eastAsia="MS Mincho"/>
          <w:szCs w:val="24"/>
          <w:lang w:eastAsia="ja-JP"/>
        </w:rPr>
        <w:t xml:space="preserve">The proposed operation is the </w:t>
      </w:r>
      <w:r>
        <w:rPr>
          <w:rFonts w:eastAsia="MS Mincho"/>
          <w:szCs w:val="24"/>
          <w:lang w:eastAsia="ja-JP"/>
        </w:rPr>
        <w:t>second</w:t>
      </w:r>
      <w:r w:rsidRPr="005B40C6">
        <w:rPr>
          <w:rFonts w:eastAsia="MS Mincho"/>
          <w:szCs w:val="24"/>
          <w:lang w:eastAsia="ja-JP"/>
        </w:rPr>
        <w:t xml:space="preserve"> tranche of three Policy-Based Loan under a programmatic modality (programmatic policy-based loan or PBP), which will </w:t>
      </w:r>
      <w:bookmarkEnd w:id="4"/>
      <w:r w:rsidRPr="005B40C6">
        <w:rPr>
          <w:rFonts w:eastAsia="MS Mincho"/>
          <w:szCs w:val="24"/>
          <w:lang w:eastAsia="ja-JP"/>
        </w:rPr>
        <w:t xml:space="preserve">support the </w:t>
      </w:r>
      <w:proofErr w:type="spellStart"/>
      <w:r w:rsidRPr="005B40C6">
        <w:rPr>
          <w:rFonts w:eastAsia="MS Mincho"/>
          <w:szCs w:val="24"/>
          <w:lang w:eastAsia="ja-JP"/>
        </w:rPr>
        <w:t>GoS’s</w:t>
      </w:r>
      <w:proofErr w:type="spellEnd"/>
      <w:r w:rsidRPr="005B40C6">
        <w:rPr>
          <w:rFonts w:eastAsia="MS Mincho"/>
          <w:szCs w:val="24"/>
          <w:lang w:eastAsia="ja-JP"/>
        </w:rPr>
        <w:t xml:space="preserve"> efforts to gradually design and establish the electricity sector framework and improve the utility´s strategic capacities to fulfill its duties efficiently. The three individual lending operations will be correlated with the expected progress in the reform process.</w:t>
      </w:r>
    </w:p>
    <w:p w:rsidR="008A1D1F" w:rsidRPr="004915D2" w:rsidRDefault="008A1D1F" w:rsidP="008A1D1F">
      <w:pPr>
        <w:pStyle w:val="ListParagraph"/>
        <w:rPr>
          <w:rFonts w:eastAsia="MS Mincho"/>
          <w:szCs w:val="24"/>
          <w:lang w:eastAsia="ja-JP"/>
        </w:rPr>
      </w:pPr>
    </w:p>
    <w:p w:rsidR="008A1D1F" w:rsidRPr="005B40C6" w:rsidRDefault="008A1D1F" w:rsidP="008A1D1F">
      <w:pPr>
        <w:spacing w:after="0" w:line="360" w:lineRule="auto"/>
        <w:jc w:val="both"/>
        <w:rPr>
          <w:rFonts w:eastAsia="MS Mincho"/>
          <w:szCs w:val="24"/>
          <w:lang w:eastAsia="ja-JP"/>
        </w:rPr>
      </w:pPr>
      <w:r w:rsidRPr="005B40C6">
        <w:rPr>
          <w:rFonts w:eastAsia="MS Mincho"/>
          <w:szCs w:val="24"/>
          <w:lang w:eastAsia="ja-JP"/>
        </w:rPr>
        <w:t xml:space="preserve">Each operation has specific institutional and policy goals to be met in 2012, 2013 and 2014, respectively. The three operations will be independent of one another though technically interlinked.  The objective of this first operation is to initiate the process of policy and legislation formulation that will then be consolidated and implemented in reform commitments during the subsequent operations.  </w:t>
      </w:r>
    </w:p>
    <w:p w:rsidR="008A1D1F" w:rsidRPr="004915D2" w:rsidRDefault="008A1D1F" w:rsidP="008A1D1F">
      <w:pPr>
        <w:pStyle w:val="ListParagraph"/>
        <w:rPr>
          <w:rFonts w:eastAsia="MS Mincho"/>
          <w:szCs w:val="24"/>
          <w:lang w:eastAsia="ja-JP"/>
        </w:rPr>
      </w:pPr>
    </w:p>
    <w:p w:rsidR="008A1D1F" w:rsidRPr="005B40C6" w:rsidRDefault="008A1D1F" w:rsidP="008A1D1F">
      <w:pPr>
        <w:spacing w:after="0" w:line="360" w:lineRule="auto"/>
        <w:jc w:val="both"/>
        <w:rPr>
          <w:rFonts w:eastAsia="MS Mincho"/>
          <w:szCs w:val="24"/>
          <w:lang w:eastAsia="ja-JP"/>
        </w:rPr>
      </w:pPr>
      <w:r>
        <w:rPr>
          <w:lang w:eastAsia="ja-JP"/>
        </w:rPr>
        <w:t xml:space="preserve">This monitoring and evaluation (M&amp;E) plan presents: (i) monitoring indicators (ii) main indicators to follow-up on outcome achievements (described in </w:t>
      </w:r>
      <w:r>
        <w:rPr>
          <w:lang w:eastAsia="ja-JP"/>
        </w:rPr>
        <w:fldChar w:fldCharType="begin"/>
      </w:r>
      <w:r>
        <w:rPr>
          <w:lang w:eastAsia="ja-JP"/>
        </w:rPr>
        <w:instrText xml:space="preserve"> REF _Ref323827233 \h  \* MERGEFORMAT </w:instrText>
      </w:r>
      <w:r>
        <w:rPr>
          <w:lang w:eastAsia="ja-JP"/>
        </w:rPr>
      </w:r>
      <w:r>
        <w:rPr>
          <w:lang w:eastAsia="ja-JP"/>
        </w:rPr>
        <w:fldChar w:fldCharType="separate"/>
      </w:r>
      <w:r>
        <w:t xml:space="preserve">Table </w:t>
      </w:r>
      <w:r>
        <w:rPr>
          <w:noProof/>
        </w:rPr>
        <w:t>1</w:t>
      </w:r>
      <w:r>
        <w:t>: Impact and Outcome Indicators</w:t>
      </w:r>
      <w:r>
        <w:rPr>
          <w:lang w:eastAsia="ja-JP"/>
        </w:rPr>
        <w:fldChar w:fldCharType="end"/>
      </w:r>
      <w:r>
        <w:rPr>
          <w:lang w:eastAsia="ja-JP"/>
        </w:rPr>
        <w:t xml:space="preserve">), and (iii) the evaluation methodology chosen for assessing medium and long term impacts, i.e. an ex-post cost benefit analysis (CBA) (see section </w:t>
      </w:r>
      <w:r w:rsidRPr="00EA6A97">
        <w:fldChar w:fldCharType="begin"/>
      </w:r>
      <w:r w:rsidRPr="00EA6A97">
        <w:instrText xml:space="preserve"> REF _Ref322096084 \r \h  \* MERGEFORMAT </w:instrText>
      </w:r>
      <w:r w:rsidRPr="00EA6A97">
        <w:fldChar w:fldCharType="separate"/>
      </w:r>
      <w:r w:rsidRPr="00EA6A97">
        <w:rPr>
          <w:lang w:eastAsia="ja-JP"/>
        </w:rPr>
        <w:t>III</w:t>
      </w:r>
      <w:r w:rsidRPr="00EA6A97">
        <w:fldChar w:fldCharType="end"/>
      </w:r>
      <w:r>
        <w:rPr>
          <w:lang w:eastAsia="ja-JP"/>
        </w:rPr>
        <w:t xml:space="preserve">). </w:t>
      </w:r>
    </w:p>
    <w:p w:rsidR="008A1D1F" w:rsidRDefault="008A1D1F" w:rsidP="008A1D1F">
      <w:pPr>
        <w:pStyle w:val="ListParagraph"/>
        <w:spacing w:after="0" w:line="360" w:lineRule="auto"/>
        <w:jc w:val="both"/>
        <w:rPr>
          <w:lang w:eastAsia="ja-JP"/>
        </w:rPr>
      </w:pPr>
    </w:p>
    <w:p w:rsidR="008A1D1F" w:rsidRPr="005B40C6" w:rsidRDefault="008A1D1F" w:rsidP="008A1D1F">
      <w:pPr>
        <w:spacing w:after="0" w:line="360" w:lineRule="auto"/>
        <w:jc w:val="both"/>
        <w:rPr>
          <w:rFonts w:eastAsia="MS Mincho"/>
          <w:szCs w:val="24"/>
          <w:lang w:eastAsia="ja-JP"/>
        </w:rPr>
      </w:pPr>
      <w:r w:rsidRPr="005B40C6">
        <w:rPr>
          <w:rFonts w:eastAsia="MS Mincho"/>
          <w:szCs w:val="24"/>
          <w:lang w:eastAsia="ja-JP"/>
        </w:rPr>
        <w:t>This document presents the methodology and the implementation of the evaluation processes for this particular program. Specifically, this document presents the logic of the intervention, the main indicators for outputs, outcomes and impacts, the hypotheses to be tested, the institutions responsible for each activity and the costs.</w:t>
      </w:r>
    </w:p>
    <w:p w:rsidR="008A1D1F" w:rsidRDefault="008A1D1F" w:rsidP="008A1D1F">
      <w:pPr>
        <w:pStyle w:val="ListParagraph"/>
        <w:rPr>
          <w:rFonts w:eastAsia="MS Mincho"/>
          <w:szCs w:val="24"/>
          <w:lang w:eastAsia="ja-JP"/>
        </w:rPr>
      </w:pPr>
    </w:p>
    <w:p w:rsidR="008A1D1F" w:rsidRPr="00C024B5" w:rsidRDefault="008A1D1F" w:rsidP="008A1D1F">
      <w:pPr>
        <w:pStyle w:val="ListParagraph"/>
        <w:rPr>
          <w:rFonts w:eastAsia="MS Mincho"/>
          <w:szCs w:val="24"/>
          <w:lang w:eastAsia="ja-JP"/>
        </w:rPr>
      </w:pPr>
    </w:p>
    <w:p w:rsidR="008A1D1F" w:rsidRDefault="008A1D1F" w:rsidP="008A1D1F">
      <w:pPr>
        <w:pStyle w:val="ListParagraph"/>
        <w:spacing w:after="0" w:line="360" w:lineRule="auto"/>
        <w:rPr>
          <w:rFonts w:eastAsia="MS Mincho"/>
          <w:szCs w:val="24"/>
          <w:lang w:eastAsia="ja-JP"/>
        </w:rPr>
      </w:pPr>
    </w:p>
    <w:p w:rsidR="008A1D1F" w:rsidRDefault="008A1D1F" w:rsidP="008A1D1F">
      <w:pPr>
        <w:pStyle w:val="ListParagraph"/>
        <w:spacing w:after="0" w:line="360" w:lineRule="auto"/>
        <w:rPr>
          <w:rFonts w:eastAsia="MS Mincho"/>
          <w:szCs w:val="24"/>
          <w:lang w:eastAsia="ja-JP"/>
        </w:rPr>
      </w:pPr>
    </w:p>
    <w:p w:rsidR="008A1D1F" w:rsidRPr="002C6D38" w:rsidRDefault="008A1D1F" w:rsidP="008A1D1F">
      <w:pPr>
        <w:pStyle w:val="ListParagraph"/>
        <w:spacing w:after="0" w:line="360" w:lineRule="auto"/>
        <w:rPr>
          <w:rFonts w:eastAsia="MS Mincho"/>
          <w:szCs w:val="24"/>
          <w:lang w:eastAsia="ja-JP"/>
        </w:rPr>
      </w:pPr>
    </w:p>
    <w:p w:rsidR="008A1D1F" w:rsidRDefault="008A1D1F" w:rsidP="008A1D1F">
      <w:pPr>
        <w:pStyle w:val="Title"/>
        <w:numPr>
          <w:ilvl w:val="0"/>
          <w:numId w:val="15"/>
        </w:numPr>
        <w:jc w:val="left"/>
        <w:rPr>
          <w:b/>
        </w:rPr>
      </w:pPr>
      <w:bookmarkStart w:id="5" w:name="_Toc323827269"/>
      <w:bookmarkStart w:id="6" w:name="_Toc335830652"/>
      <w:r w:rsidRPr="00A53C68">
        <w:rPr>
          <w:b/>
        </w:rPr>
        <w:lastRenderedPageBreak/>
        <w:t>Monitoring</w:t>
      </w:r>
      <w:bookmarkEnd w:id="5"/>
      <w:bookmarkEnd w:id="6"/>
      <w:r w:rsidRPr="00A53C68">
        <w:rPr>
          <w:b/>
        </w:rPr>
        <w:t xml:space="preserve"> </w:t>
      </w:r>
    </w:p>
    <w:p w:rsidR="008A1D1F" w:rsidRPr="00A53C68" w:rsidRDefault="008A1D1F" w:rsidP="008A1D1F">
      <w:pPr>
        <w:pStyle w:val="Title"/>
        <w:ind w:left="720"/>
        <w:jc w:val="left"/>
        <w:rPr>
          <w:b/>
        </w:rPr>
      </w:pPr>
    </w:p>
    <w:p w:rsidR="008A1D1F" w:rsidRDefault="008A1D1F" w:rsidP="008A1D1F">
      <w:pPr>
        <w:spacing w:after="0" w:line="360" w:lineRule="auto"/>
      </w:pPr>
      <w:bookmarkStart w:id="7" w:name="_Ref322096215"/>
      <w:bookmarkStart w:id="8" w:name="_Toc323827270"/>
      <w:r>
        <w:t>T</w:t>
      </w:r>
      <w:r w:rsidRPr="00161FB9">
        <w:t>he purpose of this section is to describe the monitoring process.</w:t>
      </w:r>
    </w:p>
    <w:p w:rsidR="008A1D1F" w:rsidRPr="007C18C4" w:rsidRDefault="008A1D1F" w:rsidP="008A1D1F">
      <w:pPr>
        <w:pStyle w:val="Heading2"/>
        <w:rPr>
          <w:rStyle w:val="SubtleEmphasis"/>
          <w:color w:val="auto"/>
        </w:rPr>
      </w:pPr>
      <w:bookmarkStart w:id="9" w:name="_Toc335830653"/>
      <w:r w:rsidRPr="007C18C4">
        <w:rPr>
          <w:rStyle w:val="SubtleEmphasis"/>
          <w:color w:val="auto"/>
        </w:rPr>
        <w:t>Indicators</w:t>
      </w:r>
      <w:bookmarkEnd w:id="7"/>
      <w:bookmarkEnd w:id="8"/>
      <w:bookmarkEnd w:id="9"/>
    </w:p>
    <w:p w:rsidR="008A1D1F" w:rsidRDefault="008A1D1F" w:rsidP="008A1D1F">
      <w:pPr>
        <w:spacing w:after="0" w:line="360" w:lineRule="auto"/>
        <w:jc w:val="both"/>
      </w:pPr>
      <w:r>
        <w:t>For each output, an indicator was defined.</w:t>
      </w:r>
      <w:r w:rsidRPr="0078343E">
        <w:t xml:space="preserve"> These </w:t>
      </w:r>
      <w:r>
        <w:t>outputs</w:t>
      </w:r>
      <w:r w:rsidRPr="0078343E">
        <w:t xml:space="preserve"> correspond to the policy commitments that are detailed in the Policy Matrix and in the Verificatio</w:t>
      </w:r>
      <w:r>
        <w:t>n</w:t>
      </w:r>
      <w:r w:rsidRPr="0078343E">
        <w:t xml:space="preserve"> Matrix.</w:t>
      </w:r>
      <w:r>
        <w:t xml:space="preserve">  Given that this is a PBP, all outputs are accomplished once the disbursement is made. Thus this doesn’t require any monitoring activities and doesn’t involve any costs associated with this PBG. </w:t>
      </w:r>
      <w:r w:rsidRPr="00F50F28">
        <w:t>The project outputs described in this section are also found in the Policy Matrix and the means of verification in the Verification Matrix.</w:t>
      </w:r>
    </w:p>
    <w:p w:rsidR="008A1D1F" w:rsidRDefault="008A1D1F" w:rsidP="008A1D1F">
      <w:pPr>
        <w:spacing w:after="0" w:line="360" w:lineRule="auto"/>
        <w:jc w:val="both"/>
      </w:pPr>
    </w:p>
    <w:p w:rsidR="008A1D1F" w:rsidRDefault="008A1D1F" w:rsidP="008A1D1F">
      <w:pPr>
        <w:spacing w:after="0" w:line="360" w:lineRule="auto"/>
        <w:jc w:val="center"/>
        <w:rPr>
          <w:b/>
        </w:rPr>
      </w:pPr>
      <w:proofErr w:type="gramStart"/>
      <w:r w:rsidRPr="002D29A3">
        <w:rPr>
          <w:b/>
        </w:rPr>
        <w:t>Table 1.</w:t>
      </w:r>
      <w:proofErr w:type="gramEnd"/>
      <w:r w:rsidRPr="002D29A3">
        <w:rPr>
          <w:b/>
        </w:rPr>
        <w:t xml:space="preserve"> </w:t>
      </w:r>
      <w:r w:rsidRPr="002A3A98">
        <w:rPr>
          <w:b/>
        </w:rPr>
        <w:t>Programmatic</w:t>
      </w:r>
      <w:r w:rsidRPr="002D29A3">
        <w:rPr>
          <w:b/>
        </w:rPr>
        <w:t xml:space="preserve"> </w:t>
      </w:r>
      <w:r w:rsidRPr="002A3A98">
        <w:rPr>
          <w:b/>
        </w:rPr>
        <w:t>Commitment</w:t>
      </w:r>
      <w:r w:rsidRPr="002D29A3">
        <w:rPr>
          <w:b/>
        </w:rPr>
        <w:t xml:space="preserve"> for the Program</w:t>
      </w:r>
      <w:bookmarkStart w:id="10" w:name="_Ref322096084"/>
      <w:bookmarkStart w:id="11" w:name="_Toc323827271"/>
      <w:bookmarkStart w:id="12" w:name="_Toc335830654"/>
    </w:p>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8"/>
        <w:gridCol w:w="1592"/>
        <w:gridCol w:w="90"/>
        <w:gridCol w:w="2250"/>
        <w:gridCol w:w="2250"/>
        <w:gridCol w:w="2070"/>
      </w:tblGrid>
      <w:tr w:rsidR="0079157D" w:rsidRPr="00503B17" w:rsidTr="00E822E7">
        <w:trPr>
          <w:tblHeader/>
        </w:trPr>
        <w:tc>
          <w:tcPr>
            <w:tcW w:w="1828" w:type="dxa"/>
            <w:shd w:val="clear" w:color="auto" w:fill="BFBFBF" w:themeFill="background1" w:themeFillShade="BF"/>
            <w:vAlign w:val="center"/>
          </w:tcPr>
          <w:p w:rsidR="0079157D" w:rsidRPr="00503B17" w:rsidRDefault="0079157D" w:rsidP="00E822E7">
            <w:pPr>
              <w:jc w:val="center"/>
              <w:rPr>
                <w:b/>
                <w:sz w:val="18"/>
                <w:szCs w:val="18"/>
              </w:rPr>
            </w:pPr>
            <w:r w:rsidRPr="00503B17">
              <w:rPr>
                <w:b/>
                <w:sz w:val="18"/>
                <w:szCs w:val="18"/>
              </w:rPr>
              <w:t>Issues</w:t>
            </w:r>
          </w:p>
        </w:tc>
        <w:tc>
          <w:tcPr>
            <w:tcW w:w="1682" w:type="dxa"/>
            <w:gridSpan w:val="2"/>
            <w:shd w:val="clear" w:color="auto" w:fill="BFBFBF" w:themeFill="background1" w:themeFillShade="BF"/>
            <w:vAlign w:val="center"/>
          </w:tcPr>
          <w:p w:rsidR="0079157D" w:rsidRPr="00503B17" w:rsidRDefault="0079157D" w:rsidP="00E822E7">
            <w:pPr>
              <w:jc w:val="center"/>
              <w:rPr>
                <w:b/>
                <w:sz w:val="18"/>
                <w:szCs w:val="18"/>
              </w:rPr>
            </w:pPr>
            <w:r w:rsidRPr="00503B17">
              <w:rPr>
                <w:b/>
                <w:sz w:val="18"/>
                <w:szCs w:val="18"/>
              </w:rPr>
              <w:t>Objective</w:t>
            </w:r>
          </w:p>
        </w:tc>
        <w:tc>
          <w:tcPr>
            <w:tcW w:w="2250" w:type="dxa"/>
            <w:shd w:val="clear" w:color="auto" w:fill="BFBFBF" w:themeFill="background1" w:themeFillShade="BF"/>
            <w:vAlign w:val="center"/>
          </w:tcPr>
          <w:p w:rsidR="0079157D" w:rsidRPr="00503B17" w:rsidRDefault="0079157D" w:rsidP="00E822E7">
            <w:pPr>
              <w:jc w:val="center"/>
              <w:rPr>
                <w:b/>
                <w:sz w:val="18"/>
                <w:szCs w:val="18"/>
              </w:rPr>
            </w:pPr>
            <w:r>
              <w:rPr>
                <w:b/>
                <w:sz w:val="18"/>
                <w:szCs w:val="18"/>
              </w:rPr>
              <w:t>Policy Conditions</w:t>
            </w:r>
          </w:p>
          <w:p w:rsidR="0079157D" w:rsidRPr="00503B17" w:rsidRDefault="0079157D" w:rsidP="00E822E7">
            <w:pPr>
              <w:jc w:val="center"/>
              <w:rPr>
                <w:b/>
                <w:sz w:val="18"/>
                <w:szCs w:val="18"/>
              </w:rPr>
            </w:pPr>
            <w:r>
              <w:rPr>
                <w:b/>
                <w:sz w:val="18"/>
                <w:szCs w:val="18"/>
              </w:rPr>
              <w:t>1</w:t>
            </w:r>
            <w:r w:rsidRPr="00344480">
              <w:rPr>
                <w:b/>
                <w:sz w:val="18"/>
                <w:szCs w:val="18"/>
                <w:vertAlign w:val="superscript"/>
              </w:rPr>
              <w:t>st</w:t>
            </w:r>
            <w:r>
              <w:rPr>
                <w:b/>
                <w:sz w:val="18"/>
                <w:szCs w:val="18"/>
              </w:rPr>
              <w:t xml:space="preserve"> Operation</w:t>
            </w:r>
          </w:p>
        </w:tc>
        <w:tc>
          <w:tcPr>
            <w:tcW w:w="2250" w:type="dxa"/>
            <w:shd w:val="clear" w:color="auto" w:fill="BFBFBF" w:themeFill="background1" w:themeFillShade="BF"/>
            <w:vAlign w:val="center"/>
          </w:tcPr>
          <w:p w:rsidR="0079157D" w:rsidRPr="00503B17" w:rsidRDefault="0079157D" w:rsidP="00E822E7">
            <w:pPr>
              <w:jc w:val="center"/>
              <w:rPr>
                <w:b/>
                <w:sz w:val="18"/>
                <w:szCs w:val="18"/>
              </w:rPr>
            </w:pPr>
            <w:r>
              <w:rPr>
                <w:b/>
                <w:sz w:val="18"/>
                <w:szCs w:val="18"/>
              </w:rPr>
              <w:t>Policy Conditions</w:t>
            </w:r>
          </w:p>
          <w:p w:rsidR="0079157D" w:rsidRPr="00503B17" w:rsidRDefault="0079157D" w:rsidP="00E822E7">
            <w:pPr>
              <w:jc w:val="center"/>
              <w:rPr>
                <w:b/>
                <w:sz w:val="18"/>
                <w:szCs w:val="18"/>
              </w:rPr>
            </w:pPr>
            <w:r>
              <w:rPr>
                <w:b/>
                <w:sz w:val="18"/>
                <w:szCs w:val="18"/>
              </w:rPr>
              <w:t xml:space="preserve"> 2</w:t>
            </w:r>
            <w:r w:rsidRPr="00344480">
              <w:rPr>
                <w:b/>
                <w:sz w:val="18"/>
                <w:szCs w:val="18"/>
                <w:vertAlign w:val="superscript"/>
              </w:rPr>
              <w:t>nd</w:t>
            </w:r>
            <w:r>
              <w:rPr>
                <w:b/>
                <w:sz w:val="18"/>
                <w:szCs w:val="18"/>
              </w:rPr>
              <w:t xml:space="preserve"> Operation</w:t>
            </w:r>
          </w:p>
        </w:tc>
        <w:tc>
          <w:tcPr>
            <w:tcW w:w="2070" w:type="dxa"/>
            <w:shd w:val="clear" w:color="auto" w:fill="BFBFBF" w:themeFill="background1" w:themeFillShade="BF"/>
            <w:vAlign w:val="center"/>
          </w:tcPr>
          <w:p w:rsidR="0079157D" w:rsidRPr="00503B17" w:rsidRDefault="0079157D" w:rsidP="00E822E7">
            <w:pPr>
              <w:jc w:val="center"/>
              <w:rPr>
                <w:b/>
                <w:sz w:val="18"/>
                <w:szCs w:val="18"/>
              </w:rPr>
            </w:pPr>
            <w:r>
              <w:rPr>
                <w:b/>
                <w:sz w:val="18"/>
                <w:szCs w:val="18"/>
              </w:rPr>
              <w:t>Triggers 3</w:t>
            </w:r>
            <w:r w:rsidRPr="00344480">
              <w:rPr>
                <w:b/>
                <w:sz w:val="18"/>
                <w:szCs w:val="18"/>
                <w:vertAlign w:val="superscript"/>
              </w:rPr>
              <w:t>rd</w:t>
            </w:r>
            <w:r>
              <w:rPr>
                <w:b/>
                <w:sz w:val="18"/>
                <w:szCs w:val="18"/>
              </w:rPr>
              <w:t xml:space="preserve">  Operation</w:t>
            </w:r>
          </w:p>
        </w:tc>
      </w:tr>
      <w:tr w:rsidR="0079157D" w:rsidRPr="00820F0B" w:rsidTr="00E822E7">
        <w:trPr>
          <w:trHeight w:val="332"/>
        </w:trPr>
        <w:tc>
          <w:tcPr>
            <w:tcW w:w="10080" w:type="dxa"/>
            <w:gridSpan w:val="6"/>
          </w:tcPr>
          <w:p w:rsidR="0079157D" w:rsidRPr="0079157D" w:rsidRDefault="0079157D" w:rsidP="00E822E7">
            <w:pPr>
              <w:jc w:val="center"/>
              <w:rPr>
                <w:b/>
                <w:sz w:val="20"/>
                <w:szCs w:val="20"/>
              </w:rPr>
            </w:pPr>
            <w:r w:rsidRPr="0079157D">
              <w:rPr>
                <w:b/>
                <w:sz w:val="20"/>
                <w:szCs w:val="20"/>
              </w:rPr>
              <w:t>I. Macroeconomic Stability</w:t>
            </w:r>
          </w:p>
        </w:tc>
      </w:tr>
      <w:tr w:rsidR="0079157D" w:rsidRPr="00820F0B" w:rsidTr="00E822E7">
        <w:trPr>
          <w:trHeight w:val="1457"/>
        </w:trPr>
        <w:tc>
          <w:tcPr>
            <w:tcW w:w="1828" w:type="dxa"/>
            <w:vAlign w:val="center"/>
          </w:tcPr>
          <w:p w:rsidR="0079157D" w:rsidRPr="00820F0B" w:rsidRDefault="0079157D" w:rsidP="00E822E7">
            <w:pPr>
              <w:jc w:val="center"/>
              <w:rPr>
                <w:sz w:val="18"/>
                <w:szCs w:val="18"/>
              </w:rPr>
            </w:pPr>
          </w:p>
        </w:tc>
        <w:tc>
          <w:tcPr>
            <w:tcW w:w="1592" w:type="dxa"/>
            <w:vAlign w:val="center"/>
          </w:tcPr>
          <w:p w:rsidR="0079157D" w:rsidRPr="00820F0B" w:rsidRDefault="0079157D" w:rsidP="00E822E7">
            <w:pPr>
              <w:jc w:val="center"/>
              <w:rPr>
                <w:sz w:val="18"/>
                <w:szCs w:val="18"/>
              </w:rPr>
            </w:pPr>
            <w:r w:rsidRPr="00820F0B">
              <w:rPr>
                <w:sz w:val="18"/>
                <w:szCs w:val="18"/>
              </w:rPr>
              <w:t xml:space="preserve">Maintain a stable general Macroeconomic Framework </w:t>
            </w:r>
          </w:p>
        </w:tc>
        <w:tc>
          <w:tcPr>
            <w:tcW w:w="2340" w:type="dxa"/>
            <w:gridSpan w:val="2"/>
            <w:vAlign w:val="center"/>
          </w:tcPr>
          <w:p w:rsidR="0079157D" w:rsidRPr="00820F0B" w:rsidRDefault="0079157D" w:rsidP="00E822E7">
            <w:pPr>
              <w:jc w:val="center"/>
              <w:rPr>
                <w:sz w:val="18"/>
                <w:szCs w:val="18"/>
              </w:rPr>
            </w:pPr>
            <w:r w:rsidRPr="00820F0B">
              <w:rPr>
                <w:sz w:val="18"/>
                <w:szCs w:val="18"/>
              </w:rPr>
              <w:t>Macroeconomic framework is consistent with the objectives of the program and with policy letter</w:t>
            </w:r>
          </w:p>
        </w:tc>
        <w:tc>
          <w:tcPr>
            <w:tcW w:w="2250" w:type="dxa"/>
            <w:vAlign w:val="center"/>
          </w:tcPr>
          <w:p w:rsidR="0079157D" w:rsidRPr="00503B17" w:rsidRDefault="0079157D" w:rsidP="00E822E7">
            <w:pPr>
              <w:jc w:val="center"/>
              <w:rPr>
                <w:sz w:val="18"/>
                <w:szCs w:val="18"/>
              </w:rPr>
            </w:pPr>
            <w:r w:rsidRPr="00820F0B">
              <w:rPr>
                <w:sz w:val="18"/>
                <w:szCs w:val="18"/>
              </w:rPr>
              <w:t>Macroeconomic framework is consistent with the objectives of the program and with policy letter</w:t>
            </w:r>
          </w:p>
        </w:tc>
        <w:tc>
          <w:tcPr>
            <w:tcW w:w="2070" w:type="dxa"/>
            <w:vAlign w:val="center"/>
          </w:tcPr>
          <w:p w:rsidR="0079157D" w:rsidRPr="00820F0B" w:rsidRDefault="0079157D" w:rsidP="0079157D">
            <w:pPr>
              <w:jc w:val="center"/>
              <w:rPr>
                <w:sz w:val="18"/>
                <w:szCs w:val="18"/>
              </w:rPr>
            </w:pPr>
            <w:r w:rsidRPr="00820F0B">
              <w:rPr>
                <w:sz w:val="18"/>
                <w:szCs w:val="18"/>
              </w:rPr>
              <w:t>Macroeconomic framework is consistent with the objectives of the program and with policy letter</w:t>
            </w:r>
          </w:p>
        </w:tc>
      </w:tr>
      <w:tr w:rsidR="0079157D" w:rsidRPr="00820F0B" w:rsidTr="00E822E7">
        <w:trPr>
          <w:tblHeader/>
        </w:trPr>
        <w:tc>
          <w:tcPr>
            <w:tcW w:w="10080" w:type="dxa"/>
            <w:gridSpan w:val="6"/>
            <w:shd w:val="clear" w:color="auto" w:fill="auto"/>
          </w:tcPr>
          <w:p w:rsidR="0079157D" w:rsidRPr="0079157D" w:rsidRDefault="0079157D" w:rsidP="00E822E7">
            <w:pPr>
              <w:jc w:val="center"/>
              <w:rPr>
                <w:b/>
                <w:sz w:val="20"/>
                <w:szCs w:val="20"/>
              </w:rPr>
            </w:pPr>
            <w:r w:rsidRPr="0079157D">
              <w:rPr>
                <w:b/>
                <w:sz w:val="20"/>
                <w:szCs w:val="20"/>
              </w:rPr>
              <w:t>II. Development of a Sustainable Power Sector Framework</w:t>
            </w:r>
          </w:p>
        </w:tc>
      </w:tr>
      <w:tr w:rsidR="0079157D" w:rsidRPr="00820F0B" w:rsidTr="0079157D">
        <w:trPr>
          <w:trHeight w:val="2420"/>
        </w:trPr>
        <w:tc>
          <w:tcPr>
            <w:tcW w:w="1828" w:type="dxa"/>
            <w:vMerge w:val="restart"/>
            <w:vAlign w:val="center"/>
          </w:tcPr>
          <w:p w:rsidR="0079157D" w:rsidRPr="00820F0B" w:rsidRDefault="0079157D" w:rsidP="00E822E7">
            <w:pPr>
              <w:jc w:val="center"/>
              <w:rPr>
                <w:sz w:val="18"/>
                <w:szCs w:val="18"/>
              </w:rPr>
            </w:pPr>
            <w:r w:rsidRPr="00820F0B">
              <w:rPr>
                <w:sz w:val="18"/>
                <w:szCs w:val="18"/>
              </w:rPr>
              <w:t xml:space="preserve">Lack of an integrated policy and regulatory framework to regulate sector activity. </w:t>
            </w:r>
          </w:p>
        </w:tc>
        <w:tc>
          <w:tcPr>
            <w:tcW w:w="1682" w:type="dxa"/>
            <w:gridSpan w:val="2"/>
            <w:vMerge w:val="restart"/>
            <w:vAlign w:val="center"/>
          </w:tcPr>
          <w:p w:rsidR="0079157D" w:rsidRPr="00820F0B" w:rsidRDefault="0079157D" w:rsidP="00E822E7">
            <w:pPr>
              <w:jc w:val="center"/>
              <w:rPr>
                <w:sz w:val="18"/>
                <w:szCs w:val="18"/>
              </w:rPr>
            </w:pPr>
            <w:r w:rsidRPr="00820F0B">
              <w:rPr>
                <w:sz w:val="18"/>
                <w:szCs w:val="18"/>
              </w:rPr>
              <w:t>Define the regulatory and legal framework to contribute to a more effective power sector with increased efficiency, transparency and accountability.</w:t>
            </w:r>
          </w:p>
        </w:tc>
        <w:tc>
          <w:tcPr>
            <w:tcW w:w="2250" w:type="dxa"/>
            <w:vAlign w:val="center"/>
          </w:tcPr>
          <w:p w:rsidR="0079157D" w:rsidRPr="00820F0B" w:rsidRDefault="0079157D" w:rsidP="0079157D">
            <w:pPr>
              <w:jc w:val="center"/>
              <w:rPr>
                <w:sz w:val="18"/>
                <w:szCs w:val="18"/>
              </w:rPr>
            </w:pPr>
            <w:r w:rsidRPr="00820F0B">
              <w:rPr>
                <w:sz w:val="18"/>
                <w:szCs w:val="18"/>
              </w:rPr>
              <w:t>A diagnostic assessment that includes an identification of the main issues and initial proposals for sector reform has been developed and presented for stakeholders consultations.</w:t>
            </w:r>
          </w:p>
        </w:tc>
        <w:tc>
          <w:tcPr>
            <w:tcW w:w="2250" w:type="dxa"/>
            <w:vAlign w:val="center"/>
          </w:tcPr>
          <w:p w:rsidR="0079157D" w:rsidRPr="00694ED8" w:rsidRDefault="0079157D" w:rsidP="00E822E7">
            <w:pPr>
              <w:jc w:val="center"/>
              <w:rPr>
                <w:sz w:val="18"/>
                <w:szCs w:val="18"/>
              </w:rPr>
            </w:pPr>
            <w:r w:rsidRPr="00820F0B">
              <w:rPr>
                <w:sz w:val="18"/>
                <w:szCs w:val="18"/>
              </w:rPr>
              <w:t>The first draft of a Policy document that addresses the main guidelines for sector reform and the basic institutional structure for the power sector has been submitted to Cabinet.</w:t>
            </w:r>
          </w:p>
        </w:tc>
        <w:tc>
          <w:tcPr>
            <w:tcW w:w="2070" w:type="dxa"/>
            <w:vAlign w:val="center"/>
          </w:tcPr>
          <w:p w:rsidR="0079157D" w:rsidRPr="00820F0B" w:rsidRDefault="0079157D" w:rsidP="00E822E7">
            <w:pPr>
              <w:jc w:val="center"/>
              <w:rPr>
                <w:sz w:val="18"/>
                <w:szCs w:val="18"/>
              </w:rPr>
            </w:pPr>
            <w:r w:rsidRPr="00820F0B">
              <w:rPr>
                <w:sz w:val="18"/>
                <w:szCs w:val="18"/>
              </w:rPr>
              <w:t>The Power Sector Policy that establishes the basic principles for a sustainable growth of the energy sector, consistently with its new legal and institutional structure has been approved.</w:t>
            </w:r>
          </w:p>
        </w:tc>
      </w:tr>
      <w:tr w:rsidR="0079157D" w:rsidRPr="00820F0B" w:rsidTr="0079157D">
        <w:trPr>
          <w:trHeight w:val="1610"/>
        </w:trPr>
        <w:tc>
          <w:tcPr>
            <w:tcW w:w="1828" w:type="dxa"/>
            <w:vMerge/>
            <w:vAlign w:val="center"/>
          </w:tcPr>
          <w:p w:rsidR="0079157D" w:rsidRPr="00820F0B" w:rsidRDefault="0079157D" w:rsidP="00E822E7">
            <w:pPr>
              <w:jc w:val="center"/>
              <w:rPr>
                <w:sz w:val="18"/>
                <w:szCs w:val="18"/>
              </w:rPr>
            </w:pPr>
          </w:p>
        </w:tc>
        <w:tc>
          <w:tcPr>
            <w:tcW w:w="1682" w:type="dxa"/>
            <w:gridSpan w:val="2"/>
            <w:vMerge/>
            <w:vAlign w:val="center"/>
          </w:tcPr>
          <w:p w:rsidR="0079157D" w:rsidRPr="00820F0B" w:rsidRDefault="0079157D" w:rsidP="00E822E7">
            <w:pPr>
              <w:jc w:val="center"/>
              <w:rPr>
                <w:sz w:val="18"/>
                <w:szCs w:val="18"/>
              </w:rPr>
            </w:pPr>
          </w:p>
        </w:tc>
        <w:tc>
          <w:tcPr>
            <w:tcW w:w="2250" w:type="dxa"/>
            <w:vAlign w:val="center"/>
          </w:tcPr>
          <w:p w:rsidR="0079157D" w:rsidRPr="00820F0B" w:rsidRDefault="0079157D" w:rsidP="0079157D">
            <w:pPr>
              <w:jc w:val="center"/>
              <w:rPr>
                <w:sz w:val="18"/>
                <w:szCs w:val="18"/>
              </w:rPr>
            </w:pPr>
            <w:r w:rsidRPr="00820F0B">
              <w:rPr>
                <w:sz w:val="18"/>
                <w:szCs w:val="18"/>
              </w:rPr>
              <w:t>Guidelines to draft the legal framework that will regulate the energy sector have been developed and presented for stakeholder consultations.</w:t>
            </w:r>
          </w:p>
        </w:tc>
        <w:tc>
          <w:tcPr>
            <w:tcW w:w="2250" w:type="dxa"/>
            <w:vAlign w:val="center"/>
          </w:tcPr>
          <w:p w:rsidR="0079157D" w:rsidRDefault="0079157D" w:rsidP="00E822E7">
            <w:pPr>
              <w:jc w:val="center"/>
              <w:rPr>
                <w:sz w:val="18"/>
                <w:szCs w:val="18"/>
              </w:rPr>
            </w:pPr>
          </w:p>
          <w:p w:rsidR="0079157D" w:rsidRPr="00820F0B" w:rsidRDefault="0079157D" w:rsidP="0079157D">
            <w:pPr>
              <w:jc w:val="center"/>
              <w:rPr>
                <w:sz w:val="18"/>
                <w:szCs w:val="18"/>
              </w:rPr>
            </w:pPr>
            <w:r w:rsidRPr="00784B62">
              <w:rPr>
                <w:sz w:val="18"/>
                <w:szCs w:val="18"/>
              </w:rPr>
              <w:t>Drafting</w:t>
            </w:r>
            <w:r w:rsidRPr="00694ED8">
              <w:rPr>
                <w:sz w:val="18"/>
                <w:szCs w:val="18"/>
              </w:rPr>
              <w:t xml:space="preserve"> of </w:t>
            </w:r>
            <w:r>
              <w:rPr>
                <w:sz w:val="18"/>
                <w:szCs w:val="18"/>
              </w:rPr>
              <w:t>regulatory instruments</w:t>
            </w:r>
            <w:r w:rsidRPr="00694ED8">
              <w:rPr>
                <w:sz w:val="18"/>
                <w:szCs w:val="18"/>
              </w:rPr>
              <w:t xml:space="preserve"> that will regulate the organization and functioning of the Electricity Sector has been </w:t>
            </w:r>
            <w:r w:rsidRPr="00784B62">
              <w:rPr>
                <w:sz w:val="18"/>
                <w:szCs w:val="18"/>
              </w:rPr>
              <w:t>initiated</w:t>
            </w:r>
            <w:r w:rsidRPr="00694ED8">
              <w:rPr>
                <w:sz w:val="18"/>
                <w:szCs w:val="18"/>
              </w:rPr>
              <w:t>.</w:t>
            </w:r>
          </w:p>
        </w:tc>
        <w:tc>
          <w:tcPr>
            <w:tcW w:w="2070" w:type="dxa"/>
            <w:vAlign w:val="center"/>
          </w:tcPr>
          <w:p w:rsidR="0079157D" w:rsidRPr="00193BA7" w:rsidRDefault="0079157D" w:rsidP="00E822E7">
            <w:pPr>
              <w:jc w:val="center"/>
              <w:rPr>
                <w:sz w:val="18"/>
                <w:szCs w:val="18"/>
              </w:rPr>
            </w:pPr>
            <w:r>
              <w:rPr>
                <w:sz w:val="18"/>
                <w:szCs w:val="18"/>
              </w:rPr>
              <w:t>The proposed draft legislation to regulate the Energy sector is presented to Parliament for its approval.</w:t>
            </w:r>
          </w:p>
        </w:tc>
      </w:tr>
      <w:tr w:rsidR="0079157D" w:rsidRPr="00820F0B" w:rsidTr="0079157D">
        <w:trPr>
          <w:trHeight w:val="1448"/>
        </w:trPr>
        <w:tc>
          <w:tcPr>
            <w:tcW w:w="1828" w:type="dxa"/>
            <w:vMerge w:val="restart"/>
            <w:vAlign w:val="center"/>
          </w:tcPr>
          <w:p w:rsidR="0079157D" w:rsidRPr="00820F0B" w:rsidRDefault="0079157D" w:rsidP="00E822E7">
            <w:pPr>
              <w:jc w:val="center"/>
              <w:rPr>
                <w:sz w:val="18"/>
                <w:szCs w:val="18"/>
              </w:rPr>
            </w:pPr>
            <w:r w:rsidRPr="00820F0B">
              <w:rPr>
                <w:sz w:val="18"/>
                <w:szCs w:val="18"/>
              </w:rPr>
              <w:lastRenderedPageBreak/>
              <w:t>High level of subsidies from the government to the utility due to low electricity tariffs. Lack of proper price signals to consumers and inefficient operation of the utility.</w:t>
            </w:r>
          </w:p>
        </w:tc>
        <w:tc>
          <w:tcPr>
            <w:tcW w:w="1682" w:type="dxa"/>
            <w:gridSpan w:val="2"/>
            <w:vMerge w:val="restart"/>
            <w:vAlign w:val="center"/>
          </w:tcPr>
          <w:p w:rsidR="0079157D" w:rsidRPr="00820F0B" w:rsidRDefault="0079157D" w:rsidP="00E822E7">
            <w:pPr>
              <w:jc w:val="center"/>
              <w:rPr>
                <w:sz w:val="18"/>
                <w:szCs w:val="18"/>
              </w:rPr>
            </w:pPr>
            <w:r w:rsidRPr="00820F0B">
              <w:rPr>
                <w:sz w:val="18"/>
                <w:szCs w:val="18"/>
              </w:rPr>
              <w:t>Implement institutions with a view to having a commercially-based operation and clear social, economic and financial incentives to achieve efficiency.</w:t>
            </w:r>
          </w:p>
        </w:tc>
        <w:tc>
          <w:tcPr>
            <w:tcW w:w="2250" w:type="dxa"/>
            <w:vAlign w:val="center"/>
          </w:tcPr>
          <w:p w:rsidR="0079157D" w:rsidRPr="00820F0B" w:rsidRDefault="0079157D" w:rsidP="00E822E7">
            <w:pPr>
              <w:jc w:val="center"/>
              <w:rPr>
                <w:sz w:val="18"/>
                <w:szCs w:val="18"/>
              </w:rPr>
            </w:pPr>
          </w:p>
          <w:p w:rsidR="0079157D" w:rsidRPr="00820F0B" w:rsidRDefault="0079157D" w:rsidP="0079157D">
            <w:pPr>
              <w:jc w:val="center"/>
              <w:rPr>
                <w:sz w:val="18"/>
                <w:szCs w:val="18"/>
              </w:rPr>
            </w:pPr>
            <w:r w:rsidRPr="00820F0B">
              <w:rPr>
                <w:sz w:val="18"/>
                <w:szCs w:val="18"/>
              </w:rPr>
              <w:t>A specific office within the MNH has been created to serve as a focal point for sector dialogue and coordination of the reform process.</w:t>
            </w:r>
          </w:p>
        </w:tc>
        <w:tc>
          <w:tcPr>
            <w:tcW w:w="2250" w:type="dxa"/>
            <w:vAlign w:val="center"/>
          </w:tcPr>
          <w:p w:rsidR="0079157D" w:rsidRPr="00820F0B" w:rsidRDefault="0079157D" w:rsidP="00E822E7">
            <w:pPr>
              <w:jc w:val="center"/>
              <w:rPr>
                <w:sz w:val="18"/>
                <w:szCs w:val="18"/>
              </w:rPr>
            </w:pPr>
            <w:r w:rsidRPr="00820F0B">
              <w:rPr>
                <w:sz w:val="18"/>
                <w:szCs w:val="18"/>
              </w:rPr>
              <w:t>A specific office within the MNH to manage the energy sector affairs is presented for consideration of and approval by the Cabinet.</w:t>
            </w:r>
          </w:p>
        </w:tc>
        <w:tc>
          <w:tcPr>
            <w:tcW w:w="2070" w:type="dxa"/>
            <w:vAlign w:val="center"/>
          </w:tcPr>
          <w:p w:rsidR="0079157D" w:rsidRPr="00820F0B" w:rsidRDefault="0079157D" w:rsidP="00E822E7">
            <w:pPr>
              <w:jc w:val="center"/>
              <w:rPr>
                <w:sz w:val="18"/>
                <w:szCs w:val="18"/>
              </w:rPr>
            </w:pPr>
            <w:r w:rsidRPr="00820F0B">
              <w:rPr>
                <w:sz w:val="18"/>
                <w:szCs w:val="18"/>
              </w:rPr>
              <w:t>An Energy Sector entity to regulate and manage the sector affairs has been created.</w:t>
            </w:r>
          </w:p>
        </w:tc>
      </w:tr>
      <w:tr w:rsidR="0079157D" w:rsidRPr="00820F0B" w:rsidTr="00E822E7">
        <w:trPr>
          <w:trHeight w:val="1718"/>
        </w:trPr>
        <w:tc>
          <w:tcPr>
            <w:tcW w:w="1828" w:type="dxa"/>
            <w:vMerge/>
            <w:vAlign w:val="center"/>
          </w:tcPr>
          <w:p w:rsidR="0079157D" w:rsidRPr="00820F0B" w:rsidRDefault="0079157D" w:rsidP="00E822E7">
            <w:pPr>
              <w:jc w:val="center"/>
              <w:rPr>
                <w:sz w:val="18"/>
                <w:szCs w:val="18"/>
              </w:rPr>
            </w:pPr>
          </w:p>
        </w:tc>
        <w:tc>
          <w:tcPr>
            <w:tcW w:w="1682" w:type="dxa"/>
            <w:gridSpan w:val="2"/>
            <w:vMerge/>
            <w:vAlign w:val="center"/>
          </w:tcPr>
          <w:p w:rsidR="0079157D" w:rsidRPr="00820F0B" w:rsidRDefault="0079157D" w:rsidP="00E822E7">
            <w:pPr>
              <w:jc w:val="center"/>
              <w:rPr>
                <w:sz w:val="18"/>
                <w:szCs w:val="18"/>
              </w:rPr>
            </w:pPr>
          </w:p>
        </w:tc>
        <w:tc>
          <w:tcPr>
            <w:tcW w:w="2250" w:type="dxa"/>
            <w:vAlign w:val="center"/>
          </w:tcPr>
          <w:p w:rsidR="0079157D" w:rsidRPr="00820F0B" w:rsidRDefault="0079157D" w:rsidP="00E822E7">
            <w:pPr>
              <w:jc w:val="center"/>
              <w:rPr>
                <w:sz w:val="18"/>
                <w:szCs w:val="18"/>
              </w:rPr>
            </w:pPr>
            <w:r w:rsidRPr="00820F0B">
              <w:rPr>
                <w:sz w:val="18"/>
                <w:szCs w:val="18"/>
              </w:rPr>
              <w:t>A set of basic principles to establish a new tariff structure has been identified and a proposal of a new tariff schedule based on such principles has been prepared by EBS.</w:t>
            </w:r>
          </w:p>
        </w:tc>
        <w:tc>
          <w:tcPr>
            <w:tcW w:w="2250" w:type="dxa"/>
            <w:vAlign w:val="center"/>
          </w:tcPr>
          <w:p w:rsidR="0079157D" w:rsidRPr="00820F0B" w:rsidRDefault="0079157D" w:rsidP="00E822E7">
            <w:pPr>
              <w:jc w:val="center"/>
              <w:rPr>
                <w:sz w:val="18"/>
                <w:szCs w:val="18"/>
              </w:rPr>
            </w:pPr>
            <w:r w:rsidRPr="00820F0B">
              <w:rPr>
                <w:sz w:val="18"/>
                <w:szCs w:val="18"/>
              </w:rPr>
              <w:t>A Tariff structure proposal was submitted to the Cabinet for consideration.</w:t>
            </w:r>
          </w:p>
        </w:tc>
        <w:tc>
          <w:tcPr>
            <w:tcW w:w="2070" w:type="dxa"/>
            <w:vAlign w:val="center"/>
          </w:tcPr>
          <w:p w:rsidR="0079157D" w:rsidRPr="00820F0B" w:rsidRDefault="0079157D" w:rsidP="00E822E7">
            <w:pPr>
              <w:jc w:val="center"/>
              <w:rPr>
                <w:sz w:val="18"/>
                <w:szCs w:val="18"/>
              </w:rPr>
            </w:pPr>
            <w:r w:rsidRPr="00820F0B">
              <w:rPr>
                <w:sz w:val="18"/>
                <w:szCs w:val="18"/>
              </w:rPr>
              <w:t>Price setting principles are reflected in the tariff schedule implemented by EBS.</w:t>
            </w:r>
          </w:p>
        </w:tc>
      </w:tr>
      <w:tr w:rsidR="0079157D" w:rsidRPr="00820F0B" w:rsidTr="00E822E7">
        <w:trPr>
          <w:trHeight w:val="1493"/>
        </w:trPr>
        <w:tc>
          <w:tcPr>
            <w:tcW w:w="1828" w:type="dxa"/>
            <w:vMerge w:val="restart"/>
            <w:vAlign w:val="center"/>
          </w:tcPr>
          <w:p w:rsidR="0079157D" w:rsidRPr="00820F0B" w:rsidRDefault="0079157D" w:rsidP="00E822E7">
            <w:pPr>
              <w:jc w:val="center"/>
              <w:rPr>
                <w:sz w:val="18"/>
                <w:szCs w:val="18"/>
              </w:rPr>
            </w:pPr>
            <w:r>
              <w:rPr>
                <w:sz w:val="18"/>
                <w:szCs w:val="18"/>
              </w:rPr>
              <w:t>A</w:t>
            </w:r>
            <w:r w:rsidRPr="00E41597">
              <w:rPr>
                <w:sz w:val="18"/>
                <w:szCs w:val="18"/>
              </w:rPr>
              <w:t xml:space="preserve"> significant increase in power </w:t>
            </w:r>
            <w:r>
              <w:rPr>
                <w:sz w:val="18"/>
                <w:szCs w:val="18"/>
              </w:rPr>
              <w:t>demand due to new residential, commercial and industrial projects.</w:t>
            </w:r>
          </w:p>
        </w:tc>
        <w:tc>
          <w:tcPr>
            <w:tcW w:w="1682" w:type="dxa"/>
            <w:gridSpan w:val="2"/>
            <w:vMerge w:val="restart"/>
            <w:vAlign w:val="center"/>
          </w:tcPr>
          <w:p w:rsidR="0079157D" w:rsidRPr="00820F0B" w:rsidRDefault="0079157D" w:rsidP="00E822E7">
            <w:pPr>
              <w:jc w:val="center"/>
              <w:rPr>
                <w:sz w:val="18"/>
                <w:szCs w:val="18"/>
              </w:rPr>
            </w:pPr>
            <w:r>
              <w:rPr>
                <w:sz w:val="18"/>
                <w:szCs w:val="18"/>
              </w:rPr>
              <w:t>Update the</w:t>
            </w:r>
            <w:r w:rsidRPr="00E41597">
              <w:rPr>
                <w:sz w:val="18"/>
                <w:szCs w:val="18"/>
              </w:rPr>
              <w:t xml:space="preserve"> </w:t>
            </w:r>
            <w:r>
              <w:rPr>
                <w:sz w:val="18"/>
                <w:szCs w:val="18"/>
              </w:rPr>
              <w:t>expansion strategy</w:t>
            </w:r>
            <w:r w:rsidRPr="00E41597">
              <w:rPr>
                <w:sz w:val="18"/>
                <w:szCs w:val="18"/>
              </w:rPr>
              <w:t xml:space="preserve"> </w:t>
            </w:r>
            <w:r>
              <w:rPr>
                <w:sz w:val="18"/>
                <w:szCs w:val="18"/>
              </w:rPr>
              <w:t xml:space="preserve">of the sector </w:t>
            </w:r>
            <w:r w:rsidRPr="00E41597">
              <w:rPr>
                <w:sz w:val="18"/>
                <w:szCs w:val="18"/>
              </w:rPr>
              <w:t>to improve</w:t>
            </w:r>
            <w:r>
              <w:rPr>
                <w:sz w:val="18"/>
                <w:szCs w:val="18"/>
              </w:rPr>
              <w:t xml:space="preserve"> supply</w:t>
            </w:r>
            <w:r w:rsidRPr="00820F0B">
              <w:rPr>
                <w:sz w:val="18"/>
                <w:szCs w:val="18"/>
              </w:rPr>
              <w:t xml:space="preserve"> efficiency. </w:t>
            </w:r>
          </w:p>
        </w:tc>
        <w:tc>
          <w:tcPr>
            <w:tcW w:w="2250" w:type="dxa"/>
            <w:vAlign w:val="center"/>
          </w:tcPr>
          <w:p w:rsidR="0079157D" w:rsidRPr="00820F0B" w:rsidRDefault="0079157D" w:rsidP="0079157D">
            <w:pPr>
              <w:jc w:val="center"/>
              <w:rPr>
                <w:sz w:val="18"/>
                <w:szCs w:val="18"/>
              </w:rPr>
            </w:pPr>
            <w:r w:rsidRPr="00820F0B">
              <w:rPr>
                <w:sz w:val="18"/>
                <w:szCs w:val="18"/>
              </w:rPr>
              <w:t>The EBS has initiated the process to adopt a new mechanism to improve the economic and technical efficiency of its energy purchases through updated power purchase agreements (PPAs).</w:t>
            </w:r>
          </w:p>
        </w:tc>
        <w:tc>
          <w:tcPr>
            <w:tcW w:w="2250" w:type="dxa"/>
            <w:vAlign w:val="center"/>
          </w:tcPr>
          <w:p w:rsidR="0079157D" w:rsidRPr="00820F0B" w:rsidRDefault="0079157D" w:rsidP="00E822E7">
            <w:pPr>
              <w:jc w:val="center"/>
              <w:rPr>
                <w:sz w:val="18"/>
                <w:szCs w:val="18"/>
              </w:rPr>
            </w:pPr>
            <w:r w:rsidRPr="00820F0B">
              <w:rPr>
                <w:sz w:val="18"/>
                <w:szCs w:val="18"/>
              </w:rPr>
              <w:t>A revised draft model of PPA contract was developed by EBS as guideline</w:t>
            </w:r>
          </w:p>
        </w:tc>
        <w:tc>
          <w:tcPr>
            <w:tcW w:w="2070" w:type="dxa"/>
            <w:vAlign w:val="center"/>
          </w:tcPr>
          <w:p w:rsidR="0079157D" w:rsidRPr="00820F0B" w:rsidRDefault="0079157D" w:rsidP="00E822E7">
            <w:pPr>
              <w:jc w:val="center"/>
              <w:rPr>
                <w:sz w:val="18"/>
                <w:szCs w:val="18"/>
              </w:rPr>
            </w:pPr>
            <w:r w:rsidRPr="00820F0B">
              <w:rPr>
                <w:sz w:val="18"/>
                <w:szCs w:val="18"/>
              </w:rPr>
              <w:t>The new contract model has already been used for the purchase of additional power by EBS.</w:t>
            </w:r>
          </w:p>
        </w:tc>
      </w:tr>
      <w:tr w:rsidR="0079157D" w:rsidRPr="00820F0B" w:rsidTr="0079157D">
        <w:trPr>
          <w:trHeight w:val="2123"/>
        </w:trPr>
        <w:tc>
          <w:tcPr>
            <w:tcW w:w="1828" w:type="dxa"/>
            <w:vMerge/>
          </w:tcPr>
          <w:p w:rsidR="0079157D" w:rsidRPr="00820F0B" w:rsidRDefault="0079157D" w:rsidP="00E822E7">
            <w:pPr>
              <w:jc w:val="center"/>
              <w:rPr>
                <w:sz w:val="18"/>
                <w:szCs w:val="18"/>
              </w:rPr>
            </w:pPr>
          </w:p>
        </w:tc>
        <w:tc>
          <w:tcPr>
            <w:tcW w:w="1682" w:type="dxa"/>
            <w:gridSpan w:val="2"/>
            <w:vMerge/>
          </w:tcPr>
          <w:p w:rsidR="0079157D" w:rsidRPr="00820F0B" w:rsidRDefault="0079157D" w:rsidP="00E822E7">
            <w:pPr>
              <w:jc w:val="center"/>
              <w:rPr>
                <w:sz w:val="18"/>
                <w:szCs w:val="18"/>
              </w:rPr>
            </w:pPr>
          </w:p>
        </w:tc>
        <w:tc>
          <w:tcPr>
            <w:tcW w:w="2250" w:type="dxa"/>
          </w:tcPr>
          <w:p w:rsidR="0079157D" w:rsidRPr="00820F0B" w:rsidRDefault="0079157D" w:rsidP="00E822E7">
            <w:pPr>
              <w:jc w:val="center"/>
              <w:rPr>
                <w:sz w:val="18"/>
                <w:szCs w:val="18"/>
              </w:rPr>
            </w:pPr>
          </w:p>
          <w:p w:rsidR="0079157D" w:rsidRPr="00820F0B" w:rsidRDefault="0079157D" w:rsidP="0079157D">
            <w:pPr>
              <w:jc w:val="center"/>
              <w:rPr>
                <w:sz w:val="18"/>
                <w:szCs w:val="18"/>
              </w:rPr>
            </w:pPr>
            <w:r w:rsidRPr="00820F0B">
              <w:rPr>
                <w:sz w:val="18"/>
                <w:szCs w:val="18"/>
              </w:rPr>
              <w:t xml:space="preserve">A decision to promote the incorporation of environmental and social sustainability principles in the sector has been adopted to support the initiation of sector assessments on environmental issues. </w:t>
            </w:r>
          </w:p>
        </w:tc>
        <w:tc>
          <w:tcPr>
            <w:tcW w:w="2250" w:type="dxa"/>
          </w:tcPr>
          <w:p w:rsidR="0079157D" w:rsidRDefault="0079157D" w:rsidP="00E822E7">
            <w:pPr>
              <w:jc w:val="center"/>
              <w:rPr>
                <w:sz w:val="18"/>
                <w:szCs w:val="18"/>
              </w:rPr>
            </w:pPr>
          </w:p>
          <w:p w:rsidR="0079157D" w:rsidRPr="00820F0B" w:rsidRDefault="0079157D" w:rsidP="00E822E7">
            <w:pPr>
              <w:jc w:val="center"/>
              <w:rPr>
                <w:sz w:val="18"/>
                <w:szCs w:val="18"/>
              </w:rPr>
            </w:pPr>
            <w:r w:rsidRPr="00820F0B">
              <w:rPr>
                <w:sz w:val="18"/>
                <w:szCs w:val="18"/>
              </w:rPr>
              <w:t>The sector expansion plan included basic environmental and social sustainability principles.</w:t>
            </w:r>
          </w:p>
        </w:tc>
        <w:tc>
          <w:tcPr>
            <w:tcW w:w="2070" w:type="dxa"/>
          </w:tcPr>
          <w:p w:rsidR="0079157D" w:rsidRDefault="0079157D" w:rsidP="00E822E7">
            <w:pPr>
              <w:jc w:val="center"/>
              <w:rPr>
                <w:sz w:val="18"/>
                <w:szCs w:val="18"/>
              </w:rPr>
            </w:pPr>
          </w:p>
          <w:p w:rsidR="0079157D" w:rsidRPr="00820F0B" w:rsidRDefault="0079157D" w:rsidP="00E822E7">
            <w:pPr>
              <w:jc w:val="center"/>
              <w:rPr>
                <w:sz w:val="18"/>
                <w:szCs w:val="18"/>
              </w:rPr>
            </w:pPr>
            <w:r w:rsidRPr="00820F0B">
              <w:rPr>
                <w:sz w:val="18"/>
                <w:szCs w:val="18"/>
              </w:rPr>
              <w:t xml:space="preserve">Environmental and social sustainability principles are being implemented throughout the project cycle (planning to execution). </w:t>
            </w:r>
          </w:p>
        </w:tc>
      </w:tr>
      <w:tr w:rsidR="0079157D" w:rsidRPr="00820F0B" w:rsidTr="00E822E7">
        <w:trPr>
          <w:trHeight w:val="520"/>
        </w:trPr>
        <w:tc>
          <w:tcPr>
            <w:tcW w:w="1828" w:type="dxa"/>
            <w:vMerge/>
          </w:tcPr>
          <w:p w:rsidR="0079157D" w:rsidRPr="00820F0B" w:rsidRDefault="0079157D" w:rsidP="00E822E7">
            <w:pPr>
              <w:jc w:val="center"/>
              <w:rPr>
                <w:sz w:val="18"/>
                <w:szCs w:val="18"/>
              </w:rPr>
            </w:pPr>
          </w:p>
        </w:tc>
        <w:tc>
          <w:tcPr>
            <w:tcW w:w="1682" w:type="dxa"/>
            <w:gridSpan w:val="2"/>
            <w:vMerge/>
          </w:tcPr>
          <w:p w:rsidR="0079157D" w:rsidRPr="00820F0B" w:rsidRDefault="0079157D" w:rsidP="00E822E7">
            <w:pPr>
              <w:jc w:val="center"/>
              <w:rPr>
                <w:sz w:val="18"/>
                <w:szCs w:val="18"/>
              </w:rPr>
            </w:pPr>
          </w:p>
        </w:tc>
        <w:tc>
          <w:tcPr>
            <w:tcW w:w="2250" w:type="dxa"/>
          </w:tcPr>
          <w:p w:rsidR="0079157D" w:rsidRPr="00820F0B" w:rsidRDefault="0079157D" w:rsidP="00E822E7">
            <w:pPr>
              <w:jc w:val="center"/>
              <w:rPr>
                <w:sz w:val="18"/>
                <w:szCs w:val="18"/>
              </w:rPr>
            </w:pPr>
          </w:p>
          <w:p w:rsidR="0079157D" w:rsidRPr="00820F0B" w:rsidRDefault="0079157D" w:rsidP="00E822E7">
            <w:pPr>
              <w:jc w:val="center"/>
              <w:rPr>
                <w:sz w:val="18"/>
                <w:szCs w:val="18"/>
              </w:rPr>
            </w:pPr>
            <w:r w:rsidRPr="00820F0B">
              <w:rPr>
                <w:sz w:val="18"/>
                <w:szCs w:val="18"/>
              </w:rPr>
              <w:t>A program to pilot the implementation of a sustainable electrification scheme using on-grid and off-grid Renewable Energies has been designed and endorsed by the Borrower.</w:t>
            </w:r>
          </w:p>
          <w:p w:rsidR="0079157D" w:rsidRPr="00820F0B" w:rsidRDefault="0079157D" w:rsidP="00E822E7">
            <w:pPr>
              <w:jc w:val="center"/>
              <w:rPr>
                <w:sz w:val="18"/>
                <w:szCs w:val="18"/>
              </w:rPr>
            </w:pPr>
          </w:p>
        </w:tc>
        <w:tc>
          <w:tcPr>
            <w:tcW w:w="2250" w:type="dxa"/>
          </w:tcPr>
          <w:p w:rsidR="0079157D" w:rsidRDefault="0079157D" w:rsidP="00E822E7">
            <w:pPr>
              <w:jc w:val="center"/>
              <w:rPr>
                <w:sz w:val="18"/>
                <w:szCs w:val="18"/>
              </w:rPr>
            </w:pPr>
          </w:p>
          <w:p w:rsidR="0079157D" w:rsidRPr="009819DD" w:rsidRDefault="0079157D" w:rsidP="00E822E7">
            <w:pPr>
              <w:jc w:val="center"/>
              <w:rPr>
                <w:sz w:val="18"/>
                <w:szCs w:val="18"/>
              </w:rPr>
            </w:pPr>
            <w:r w:rsidRPr="009819DD">
              <w:rPr>
                <w:sz w:val="18"/>
                <w:szCs w:val="18"/>
              </w:rPr>
              <w:t>The Government of Suriname has approved the financing for the implementation of the Program with Renewable Energy Technologies (RETs).</w:t>
            </w:r>
          </w:p>
        </w:tc>
        <w:tc>
          <w:tcPr>
            <w:tcW w:w="2070" w:type="dxa"/>
          </w:tcPr>
          <w:p w:rsidR="0079157D" w:rsidRDefault="0079157D" w:rsidP="00E822E7">
            <w:pPr>
              <w:jc w:val="center"/>
              <w:rPr>
                <w:sz w:val="18"/>
                <w:szCs w:val="18"/>
              </w:rPr>
            </w:pPr>
          </w:p>
          <w:p w:rsidR="0079157D" w:rsidRPr="00820F0B" w:rsidRDefault="0079157D" w:rsidP="00E822E7">
            <w:pPr>
              <w:jc w:val="center"/>
              <w:rPr>
                <w:sz w:val="18"/>
                <w:szCs w:val="18"/>
              </w:rPr>
            </w:pPr>
            <w:r w:rsidRPr="00820F0B">
              <w:rPr>
                <w:sz w:val="18"/>
                <w:szCs w:val="18"/>
              </w:rPr>
              <w:t xml:space="preserve">At least one feasibility study for the implementation of RETs to increase energy access has been completed. </w:t>
            </w:r>
          </w:p>
        </w:tc>
      </w:tr>
      <w:tr w:rsidR="0079157D" w:rsidRPr="00820F0B" w:rsidTr="0079157D">
        <w:trPr>
          <w:trHeight w:val="332"/>
        </w:trPr>
        <w:tc>
          <w:tcPr>
            <w:tcW w:w="10080" w:type="dxa"/>
            <w:gridSpan w:val="6"/>
          </w:tcPr>
          <w:p w:rsidR="0079157D" w:rsidRPr="0079157D" w:rsidRDefault="0079157D" w:rsidP="00E822E7">
            <w:pPr>
              <w:jc w:val="center"/>
              <w:rPr>
                <w:b/>
                <w:sz w:val="20"/>
                <w:szCs w:val="20"/>
              </w:rPr>
            </w:pPr>
            <w:r w:rsidRPr="0079157D">
              <w:rPr>
                <w:b/>
                <w:sz w:val="20"/>
                <w:szCs w:val="20"/>
              </w:rPr>
              <w:lastRenderedPageBreak/>
              <w:t xml:space="preserve">III. Strengthen sector corporate capabilities  </w:t>
            </w:r>
          </w:p>
        </w:tc>
      </w:tr>
      <w:tr w:rsidR="0079157D" w:rsidRPr="00820F0B" w:rsidTr="0079157D">
        <w:trPr>
          <w:trHeight w:val="2222"/>
        </w:trPr>
        <w:tc>
          <w:tcPr>
            <w:tcW w:w="1828" w:type="dxa"/>
            <w:vMerge w:val="restart"/>
            <w:vAlign w:val="center"/>
          </w:tcPr>
          <w:p w:rsidR="0079157D" w:rsidRPr="00820F0B" w:rsidRDefault="0079157D" w:rsidP="00E822E7">
            <w:pPr>
              <w:jc w:val="center"/>
              <w:rPr>
                <w:sz w:val="18"/>
                <w:szCs w:val="18"/>
              </w:rPr>
            </w:pPr>
            <w:r w:rsidRPr="00820F0B">
              <w:rPr>
                <w:sz w:val="18"/>
                <w:szCs w:val="18"/>
              </w:rPr>
              <w:t>EBS faces several operational and financial challenges including: (i) production costs; (ii) financial sustainability; (iii) electricity rates; and (iv) increase of electricity demand with new investments or through contracts for the purchase of reliable supply.</w:t>
            </w:r>
          </w:p>
        </w:tc>
        <w:tc>
          <w:tcPr>
            <w:tcW w:w="1682" w:type="dxa"/>
            <w:gridSpan w:val="2"/>
            <w:vMerge w:val="restart"/>
            <w:vAlign w:val="center"/>
          </w:tcPr>
          <w:p w:rsidR="0079157D" w:rsidRPr="00820F0B" w:rsidRDefault="0079157D" w:rsidP="00E822E7">
            <w:pPr>
              <w:jc w:val="center"/>
              <w:rPr>
                <w:sz w:val="18"/>
                <w:szCs w:val="18"/>
              </w:rPr>
            </w:pPr>
            <w:r w:rsidRPr="00820F0B">
              <w:rPr>
                <w:sz w:val="18"/>
                <w:szCs w:val="18"/>
              </w:rPr>
              <w:t>Strengthen utility’s capabilities to operate by contributing to improvements in technical tools and corporate governance, transparency and accountability.</w:t>
            </w:r>
          </w:p>
        </w:tc>
        <w:tc>
          <w:tcPr>
            <w:tcW w:w="2250" w:type="dxa"/>
            <w:vAlign w:val="center"/>
          </w:tcPr>
          <w:p w:rsidR="0079157D" w:rsidRPr="00820F0B" w:rsidRDefault="0079157D" w:rsidP="00E822E7">
            <w:pPr>
              <w:jc w:val="center"/>
              <w:rPr>
                <w:sz w:val="18"/>
                <w:szCs w:val="18"/>
              </w:rPr>
            </w:pPr>
          </w:p>
          <w:p w:rsidR="0079157D" w:rsidRPr="00820F0B" w:rsidRDefault="0079157D" w:rsidP="0079157D">
            <w:pPr>
              <w:jc w:val="center"/>
              <w:rPr>
                <w:sz w:val="18"/>
                <w:szCs w:val="18"/>
              </w:rPr>
            </w:pPr>
            <w:r w:rsidRPr="00820F0B">
              <w:rPr>
                <w:sz w:val="18"/>
                <w:szCs w:val="18"/>
              </w:rPr>
              <w:t xml:space="preserve"> A review of the expansion plan of the Generation and Transmission System has been carried out by EBS to analyze alternatives and their technical and economic outcomes</w:t>
            </w:r>
          </w:p>
        </w:tc>
        <w:tc>
          <w:tcPr>
            <w:tcW w:w="2250" w:type="dxa"/>
            <w:vAlign w:val="center"/>
          </w:tcPr>
          <w:p w:rsidR="0079157D" w:rsidRPr="00820F0B" w:rsidRDefault="0079157D" w:rsidP="00E822E7">
            <w:pPr>
              <w:jc w:val="center"/>
              <w:rPr>
                <w:sz w:val="18"/>
                <w:szCs w:val="18"/>
              </w:rPr>
            </w:pPr>
            <w:r w:rsidRPr="00820F0B">
              <w:rPr>
                <w:sz w:val="18"/>
                <w:szCs w:val="18"/>
              </w:rPr>
              <w:t xml:space="preserve">EBS applies rigorous technical and </w:t>
            </w:r>
            <w:proofErr w:type="spellStart"/>
            <w:r w:rsidRPr="00820F0B">
              <w:rPr>
                <w:sz w:val="18"/>
                <w:szCs w:val="18"/>
              </w:rPr>
              <w:t>economical</w:t>
            </w:r>
            <w:proofErr w:type="spellEnd"/>
            <w:r w:rsidRPr="00820F0B">
              <w:rPr>
                <w:sz w:val="18"/>
                <w:szCs w:val="18"/>
              </w:rPr>
              <w:t xml:space="preserve"> criteria to evaluate alternatives within its expansion plan</w:t>
            </w:r>
          </w:p>
        </w:tc>
        <w:tc>
          <w:tcPr>
            <w:tcW w:w="2070" w:type="dxa"/>
            <w:vAlign w:val="center"/>
          </w:tcPr>
          <w:p w:rsidR="0079157D" w:rsidRPr="00820F0B" w:rsidRDefault="0079157D" w:rsidP="00E822E7">
            <w:pPr>
              <w:jc w:val="center"/>
              <w:rPr>
                <w:sz w:val="18"/>
                <w:szCs w:val="18"/>
              </w:rPr>
            </w:pPr>
            <w:r w:rsidRPr="00820F0B">
              <w:rPr>
                <w:sz w:val="18"/>
                <w:szCs w:val="18"/>
              </w:rPr>
              <w:t xml:space="preserve">The EBS expansion plan is being executed.   </w:t>
            </w:r>
          </w:p>
        </w:tc>
      </w:tr>
      <w:tr w:rsidR="0079157D" w:rsidRPr="00820F0B" w:rsidTr="00E822E7">
        <w:trPr>
          <w:trHeight w:val="332"/>
        </w:trPr>
        <w:tc>
          <w:tcPr>
            <w:tcW w:w="1828" w:type="dxa"/>
            <w:vMerge/>
            <w:vAlign w:val="center"/>
          </w:tcPr>
          <w:p w:rsidR="0079157D" w:rsidRPr="00820F0B" w:rsidRDefault="0079157D" w:rsidP="00E822E7">
            <w:pPr>
              <w:jc w:val="center"/>
              <w:rPr>
                <w:sz w:val="18"/>
                <w:szCs w:val="18"/>
              </w:rPr>
            </w:pPr>
          </w:p>
        </w:tc>
        <w:tc>
          <w:tcPr>
            <w:tcW w:w="1682" w:type="dxa"/>
            <w:gridSpan w:val="2"/>
            <w:vMerge/>
            <w:vAlign w:val="center"/>
          </w:tcPr>
          <w:p w:rsidR="0079157D" w:rsidRPr="00820F0B" w:rsidRDefault="0079157D" w:rsidP="00E822E7">
            <w:pPr>
              <w:jc w:val="center"/>
              <w:rPr>
                <w:sz w:val="18"/>
                <w:szCs w:val="18"/>
              </w:rPr>
            </w:pPr>
          </w:p>
        </w:tc>
        <w:tc>
          <w:tcPr>
            <w:tcW w:w="2250" w:type="dxa"/>
            <w:vAlign w:val="center"/>
          </w:tcPr>
          <w:p w:rsidR="0079157D" w:rsidRPr="00820F0B" w:rsidRDefault="0079157D" w:rsidP="00E822E7">
            <w:pPr>
              <w:jc w:val="center"/>
              <w:rPr>
                <w:sz w:val="18"/>
                <w:szCs w:val="18"/>
              </w:rPr>
            </w:pPr>
          </w:p>
          <w:p w:rsidR="0079157D" w:rsidRPr="00820F0B" w:rsidRDefault="0079157D" w:rsidP="0079157D">
            <w:pPr>
              <w:jc w:val="center"/>
              <w:rPr>
                <w:sz w:val="18"/>
                <w:szCs w:val="18"/>
              </w:rPr>
            </w:pPr>
            <w:r w:rsidRPr="00820F0B">
              <w:rPr>
                <w:sz w:val="18"/>
                <w:szCs w:val="18"/>
              </w:rPr>
              <w:t>A corporate assessment of EBS has been completed to identify upgrade requirements and areas of improvement and a report has been issued with the corresponding results.</w:t>
            </w:r>
          </w:p>
        </w:tc>
        <w:tc>
          <w:tcPr>
            <w:tcW w:w="2250" w:type="dxa"/>
            <w:vAlign w:val="center"/>
          </w:tcPr>
          <w:p w:rsidR="0079157D" w:rsidRPr="002C0787" w:rsidRDefault="0079157D" w:rsidP="00E822E7">
            <w:pPr>
              <w:jc w:val="center"/>
              <w:rPr>
                <w:sz w:val="18"/>
                <w:szCs w:val="18"/>
              </w:rPr>
            </w:pPr>
            <w:r w:rsidRPr="002C0787">
              <w:rPr>
                <w:sz w:val="18"/>
                <w:szCs w:val="18"/>
              </w:rPr>
              <w:t xml:space="preserve">EBS has issued an action plan to implement fundamental </w:t>
            </w:r>
            <w:r>
              <w:rPr>
                <w:sz w:val="18"/>
                <w:szCs w:val="18"/>
              </w:rPr>
              <w:t xml:space="preserve">technical </w:t>
            </w:r>
            <w:r w:rsidRPr="002C0787">
              <w:rPr>
                <w:sz w:val="18"/>
                <w:szCs w:val="18"/>
              </w:rPr>
              <w:t>recommendations from corporate assessment</w:t>
            </w:r>
            <w:r>
              <w:rPr>
                <w:sz w:val="18"/>
                <w:szCs w:val="18"/>
              </w:rPr>
              <w:t>.</w:t>
            </w:r>
          </w:p>
        </w:tc>
        <w:tc>
          <w:tcPr>
            <w:tcW w:w="2070" w:type="dxa"/>
            <w:vAlign w:val="center"/>
          </w:tcPr>
          <w:p w:rsidR="0079157D" w:rsidRPr="00820F0B" w:rsidRDefault="0079157D" w:rsidP="00E822E7">
            <w:pPr>
              <w:jc w:val="center"/>
              <w:rPr>
                <w:sz w:val="18"/>
                <w:szCs w:val="18"/>
              </w:rPr>
            </w:pPr>
            <w:r w:rsidRPr="002C0787">
              <w:rPr>
                <w:sz w:val="18"/>
                <w:szCs w:val="18"/>
              </w:rPr>
              <w:t xml:space="preserve">Fundamental </w:t>
            </w:r>
            <w:r>
              <w:rPr>
                <w:sz w:val="18"/>
                <w:szCs w:val="18"/>
              </w:rPr>
              <w:t xml:space="preserve">technical </w:t>
            </w:r>
            <w:r w:rsidRPr="002C0787">
              <w:rPr>
                <w:sz w:val="18"/>
                <w:szCs w:val="18"/>
              </w:rPr>
              <w:t>recommendations from corporate assessment are being implemented</w:t>
            </w:r>
            <w:r>
              <w:rPr>
                <w:sz w:val="18"/>
                <w:szCs w:val="18"/>
              </w:rPr>
              <w:t>.</w:t>
            </w:r>
          </w:p>
        </w:tc>
      </w:tr>
      <w:tr w:rsidR="0079157D" w:rsidRPr="00820F0B" w:rsidTr="0079157D">
        <w:trPr>
          <w:trHeight w:val="2375"/>
        </w:trPr>
        <w:tc>
          <w:tcPr>
            <w:tcW w:w="1828" w:type="dxa"/>
            <w:vMerge/>
            <w:vAlign w:val="center"/>
          </w:tcPr>
          <w:p w:rsidR="0079157D" w:rsidRPr="00820F0B" w:rsidRDefault="0079157D" w:rsidP="00E822E7">
            <w:pPr>
              <w:jc w:val="center"/>
              <w:rPr>
                <w:sz w:val="18"/>
                <w:szCs w:val="18"/>
              </w:rPr>
            </w:pPr>
          </w:p>
        </w:tc>
        <w:tc>
          <w:tcPr>
            <w:tcW w:w="1682" w:type="dxa"/>
            <w:gridSpan w:val="2"/>
            <w:vMerge/>
            <w:vAlign w:val="center"/>
          </w:tcPr>
          <w:p w:rsidR="0079157D" w:rsidRPr="00820F0B" w:rsidRDefault="0079157D" w:rsidP="00E822E7">
            <w:pPr>
              <w:jc w:val="center"/>
              <w:rPr>
                <w:sz w:val="18"/>
                <w:szCs w:val="18"/>
              </w:rPr>
            </w:pPr>
          </w:p>
        </w:tc>
        <w:tc>
          <w:tcPr>
            <w:tcW w:w="2250" w:type="dxa"/>
            <w:vAlign w:val="center"/>
          </w:tcPr>
          <w:p w:rsidR="0079157D" w:rsidRPr="00820F0B" w:rsidRDefault="0079157D" w:rsidP="00E822E7">
            <w:pPr>
              <w:jc w:val="center"/>
              <w:rPr>
                <w:sz w:val="18"/>
                <w:szCs w:val="18"/>
              </w:rPr>
            </w:pPr>
            <w:r w:rsidRPr="00820F0B">
              <w:rPr>
                <w:sz w:val="18"/>
                <w:szCs w:val="18"/>
              </w:rPr>
              <w:t xml:space="preserve">Basic principles to strengthen EBS’s corporate structure to enhance its governance, transparency and accountability have been identified by EBS. </w:t>
            </w:r>
          </w:p>
        </w:tc>
        <w:tc>
          <w:tcPr>
            <w:tcW w:w="2250" w:type="dxa"/>
            <w:vAlign w:val="center"/>
          </w:tcPr>
          <w:p w:rsidR="0079157D" w:rsidRPr="00820F0B" w:rsidRDefault="0079157D" w:rsidP="00E822E7">
            <w:pPr>
              <w:jc w:val="center"/>
              <w:rPr>
                <w:sz w:val="18"/>
                <w:szCs w:val="18"/>
              </w:rPr>
            </w:pPr>
            <w:r w:rsidRPr="00820F0B">
              <w:rPr>
                <w:sz w:val="18"/>
                <w:szCs w:val="18"/>
              </w:rPr>
              <w:t xml:space="preserve">EBS is carrying out a study to strengthen its corporate structure to enhance its governance, transparency and accountability. </w:t>
            </w:r>
          </w:p>
          <w:p w:rsidR="0079157D" w:rsidRPr="00820F0B" w:rsidRDefault="0079157D" w:rsidP="0079157D">
            <w:pPr>
              <w:jc w:val="center"/>
              <w:rPr>
                <w:sz w:val="18"/>
                <w:szCs w:val="18"/>
              </w:rPr>
            </w:pPr>
            <w:r w:rsidRPr="00820F0B">
              <w:rPr>
                <w:sz w:val="18"/>
                <w:szCs w:val="18"/>
              </w:rPr>
              <w:t>EBS is making public</w:t>
            </w:r>
            <w:r>
              <w:rPr>
                <w:sz w:val="18"/>
                <w:szCs w:val="18"/>
              </w:rPr>
              <w:t xml:space="preserve"> </w:t>
            </w:r>
            <w:r w:rsidRPr="00820F0B">
              <w:rPr>
                <w:sz w:val="18"/>
                <w:szCs w:val="18"/>
              </w:rPr>
              <w:t>its operational</w:t>
            </w:r>
            <w:r>
              <w:rPr>
                <w:sz w:val="18"/>
                <w:szCs w:val="18"/>
              </w:rPr>
              <w:t xml:space="preserve"> statistics, </w:t>
            </w:r>
            <w:r w:rsidRPr="00820F0B">
              <w:rPr>
                <w:sz w:val="18"/>
                <w:szCs w:val="18"/>
              </w:rPr>
              <w:t>preferably</w:t>
            </w:r>
            <w:r>
              <w:rPr>
                <w:sz w:val="18"/>
                <w:szCs w:val="18"/>
              </w:rPr>
              <w:t xml:space="preserve"> </w:t>
            </w:r>
            <w:r w:rsidRPr="00820F0B">
              <w:rPr>
                <w:sz w:val="18"/>
                <w:szCs w:val="18"/>
              </w:rPr>
              <w:t>on the web.</w:t>
            </w:r>
          </w:p>
        </w:tc>
        <w:tc>
          <w:tcPr>
            <w:tcW w:w="2070" w:type="dxa"/>
            <w:vAlign w:val="center"/>
          </w:tcPr>
          <w:p w:rsidR="0079157D" w:rsidRPr="00820F0B" w:rsidRDefault="0079157D" w:rsidP="00E822E7">
            <w:pPr>
              <w:jc w:val="center"/>
              <w:rPr>
                <w:sz w:val="18"/>
                <w:szCs w:val="18"/>
              </w:rPr>
            </w:pPr>
            <w:r w:rsidRPr="00820F0B">
              <w:rPr>
                <w:sz w:val="18"/>
                <w:szCs w:val="18"/>
              </w:rPr>
              <w:t>EBS is undertaking an update of its corporate and operational instruments, codes and laws, according to findings from corporate internal assessments.</w:t>
            </w:r>
          </w:p>
          <w:p w:rsidR="0079157D" w:rsidRPr="00820F0B" w:rsidRDefault="0079157D" w:rsidP="00E822E7">
            <w:pPr>
              <w:jc w:val="center"/>
              <w:rPr>
                <w:sz w:val="18"/>
                <w:szCs w:val="18"/>
              </w:rPr>
            </w:pPr>
          </w:p>
          <w:p w:rsidR="0079157D" w:rsidRPr="00820F0B" w:rsidRDefault="0079157D" w:rsidP="00E822E7">
            <w:pPr>
              <w:jc w:val="center"/>
              <w:rPr>
                <w:sz w:val="18"/>
                <w:szCs w:val="18"/>
              </w:rPr>
            </w:pPr>
          </w:p>
        </w:tc>
      </w:tr>
    </w:tbl>
    <w:p w:rsidR="008A1D1F" w:rsidRDefault="008A1D1F" w:rsidP="008A1D1F">
      <w:pPr>
        <w:spacing w:after="0" w:line="360" w:lineRule="auto"/>
        <w:jc w:val="center"/>
        <w:rPr>
          <w:b/>
        </w:rPr>
      </w:pPr>
    </w:p>
    <w:p w:rsidR="008A1D1F" w:rsidRDefault="008A1D1F" w:rsidP="008A1D1F">
      <w:pPr>
        <w:pStyle w:val="Title"/>
        <w:ind w:left="720"/>
        <w:jc w:val="left"/>
        <w:rPr>
          <w:b/>
        </w:rPr>
      </w:pPr>
    </w:p>
    <w:p w:rsidR="008A1D1F" w:rsidRDefault="008A1D1F" w:rsidP="008A1D1F">
      <w:pPr>
        <w:pStyle w:val="Title"/>
        <w:numPr>
          <w:ilvl w:val="0"/>
          <w:numId w:val="15"/>
        </w:numPr>
        <w:jc w:val="left"/>
        <w:rPr>
          <w:b/>
        </w:rPr>
      </w:pPr>
      <w:r w:rsidRPr="00A53C68">
        <w:rPr>
          <w:b/>
        </w:rPr>
        <w:t>Evaluation</w:t>
      </w:r>
      <w:bookmarkEnd w:id="10"/>
      <w:bookmarkEnd w:id="11"/>
      <w:bookmarkEnd w:id="12"/>
      <w:r w:rsidRPr="00A53C68">
        <w:rPr>
          <w:b/>
        </w:rPr>
        <w:t xml:space="preserve"> </w:t>
      </w:r>
    </w:p>
    <w:p w:rsidR="008A1D1F" w:rsidRPr="00A53C68" w:rsidRDefault="008A1D1F" w:rsidP="008A1D1F">
      <w:pPr>
        <w:pStyle w:val="Title"/>
        <w:ind w:left="720"/>
        <w:jc w:val="left"/>
        <w:rPr>
          <w:b/>
        </w:rPr>
      </w:pPr>
    </w:p>
    <w:p w:rsidR="008A1D1F" w:rsidRDefault="008A1D1F" w:rsidP="008A1D1F">
      <w:r w:rsidRPr="00890118">
        <w:t>The purpose of this section is to detail the evaluation methodology</w:t>
      </w:r>
      <w:r>
        <w:t xml:space="preserve">, </w:t>
      </w:r>
      <w:r w:rsidRPr="00890118">
        <w:t>the result and impact indicators, the data collection process</w:t>
      </w:r>
      <w:r>
        <w:t>, the work plan and the budget</w:t>
      </w:r>
      <w:r w:rsidRPr="00890118">
        <w:t xml:space="preserve"> and the implementation of the evaluation.</w:t>
      </w:r>
    </w:p>
    <w:p w:rsidR="008A1D1F" w:rsidRPr="007C18C4" w:rsidRDefault="008A1D1F" w:rsidP="008A1D1F">
      <w:pPr>
        <w:pStyle w:val="Heading2"/>
        <w:rPr>
          <w:rStyle w:val="SubtleEmphasis"/>
          <w:color w:val="auto"/>
        </w:rPr>
      </w:pPr>
      <w:bookmarkStart w:id="13" w:name="_Toc323827272"/>
      <w:bookmarkStart w:id="14" w:name="_Toc335830655"/>
      <w:r w:rsidRPr="007C18C4">
        <w:rPr>
          <w:rStyle w:val="SubtleEmphasis"/>
          <w:color w:val="auto"/>
        </w:rPr>
        <w:t>Main Evaluation Question</w:t>
      </w:r>
      <w:bookmarkEnd w:id="13"/>
      <w:r w:rsidRPr="007C18C4">
        <w:rPr>
          <w:rStyle w:val="SubtleEmphasis"/>
          <w:color w:val="auto"/>
        </w:rPr>
        <w:t>s</w:t>
      </w:r>
      <w:bookmarkEnd w:id="14"/>
    </w:p>
    <w:p w:rsidR="008A1D1F" w:rsidRDefault="008A1D1F" w:rsidP="008A1D1F">
      <w:pPr>
        <w:spacing w:after="0" w:line="360" w:lineRule="auto"/>
        <w:jc w:val="both"/>
      </w:pPr>
      <w:r w:rsidRPr="004F320D">
        <w:rPr>
          <w:szCs w:val="20"/>
        </w:rPr>
        <w:t xml:space="preserve">The evaluation purpose is to </w:t>
      </w:r>
      <w:r>
        <w:rPr>
          <w:szCs w:val="20"/>
        </w:rPr>
        <w:t>assess</w:t>
      </w:r>
      <w:r w:rsidRPr="004F320D">
        <w:rPr>
          <w:szCs w:val="20"/>
        </w:rPr>
        <w:t xml:space="preserve"> the </w:t>
      </w:r>
      <w:r>
        <w:rPr>
          <w:szCs w:val="20"/>
        </w:rPr>
        <w:t xml:space="preserve">outcomes </w:t>
      </w:r>
      <w:r w:rsidRPr="004F320D">
        <w:rPr>
          <w:szCs w:val="20"/>
        </w:rPr>
        <w:t xml:space="preserve">of the </w:t>
      </w:r>
      <w:r>
        <w:rPr>
          <w:szCs w:val="20"/>
        </w:rPr>
        <w:t>Program</w:t>
      </w:r>
      <w:r>
        <w:rPr>
          <w:rStyle w:val="FootnoteReference"/>
          <w:szCs w:val="20"/>
        </w:rPr>
        <w:footnoteReference w:id="1"/>
      </w:r>
      <w:r>
        <w:rPr>
          <w:szCs w:val="20"/>
        </w:rPr>
        <w:t xml:space="preserve">, which aims to </w:t>
      </w:r>
      <w:r w:rsidRPr="00161FB9">
        <w:rPr>
          <w:szCs w:val="20"/>
        </w:rPr>
        <w:t>support of policy reform in the energy sector</w:t>
      </w:r>
      <w:r>
        <w:t xml:space="preserve">. The main evaluation questions of this Program are as follows: </w:t>
      </w:r>
    </w:p>
    <w:p w:rsidR="008A1D1F" w:rsidRDefault="008A1D1F" w:rsidP="008A1D1F">
      <w:pPr>
        <w:spacing w:after="0" w:line="360" w:lineRule="auto"/>
        <w:jc w:val="both"/>
      </w:pPr>
    </w:p>
    <w:p w:rsidR="008A1D1F" w:rsidRDefault="008A1D1F" w:rsidP="008A1D1F">
      <w:pPr>
        <w:pStyle w:val="ListParagraph"/>
        <w:numPr>
          <w:ilvl w:val="0"/>
          <w:numId w:val="14"/>
        </w:numPr>
        <w:spacing w:after="0" w:line="360" w:lineRule="auto"/>
        <w:jc w:val="both"/>
      </w:pPr>
      <w:r>
        <w:t xml:space="preserve">Has EBS </w:t>
      </w:r>
      <w:r w:rsidRPr="007C18C4">
        <w:t xml:space="preserve">strengthened its transparency, </w:t>
      </w:r>
      <w:r>
        <w:t xml:space="preserve">governance and accountability? </w:t>
      </w:r>
    </w:p>
    <w:p w:rsidR="008A1D1F" w:rsidRDefault="008A1D1F" w:rsidP="008A1D1F">
      <w:pPr>
        <w:pStyle w:val="ListParagraph"/>
        <w:numPr>
          <w:ilvl w:val="0"/>
          <w:numId w:val="14"/>
        </w:numPr>
        <w:spacing w:after="0" w:line="360" w:lineRule="auto"/>
        <w:jc w:val="both"/>
      </w:pPr>
      <w:r>
        <w:t xml:space="preserve">Has the new </w:t>
      </w:r>
      <w:r w:rsidRPr="007C18C4">
        <w:t>policy and legal framework</w:t>
      </w:r>
      <w:r>
        <w:t xml:space="preserve"> promoted the development of renewable energy sources? and</w:t>
      </w:r>
    </w:p>
    <w:p w:rsidR="008A1D1F" w:rsidRDefault="008A1D1F" w:rsidP="008A1D1F">
      <w:pPr>
        <w:pStyle w:val="ListParagraph"/>
        <w:numPr>
          <w:ilvl w:val="0"/>
          <w:numId w:val="14"/>
        </w:numPr>
        <w:spacing w:after="0" w:line="360" w:lineRule="auto"/>
        <w:jc w:val="both"/>
      </w:pPr>
      <w:r>
        <w:t>Have the energy generation capacity and demand increased due to the new energy framework?</w:t>
      </w:r>
    </w:p>
    <w:p w:rsidR="008A1D1F" w:rsidRPr="007C18C4" w:rsidRDefault="008A1D1F" w:rsidP="008A1D1F">
      <w:pPr>
        <w:pStyle w:val="Heading2"/>
        <w:rPr>
          <w:rStyle w:val="SubtleEmphasis"/>
          <w:color w:val="auto"/>
        </w:rPr>
      </w:pPr>
      <w:bookmarkStart w:id="15" w:name="_Toc323827273"/>
      <w:bookmarkStart w:id="16" w:name="_Toc335830656"/>
      <w:r w:rsidRPr="007C18C4">
        <w:rPr>
          <w:rStyle w:val="SubtleEmphasis"/>
          <w:color w:val="auto"/>
        </w:rPr>
        <w:t>Existing Knowledge (previous evaluations, ex ante economic analysis)</w:t>
      </w:r>
      <w:bookmarkEnd w:id="15"/>
      <w:bookmarkEnd w:id="16"/>
      <w:r w:rsidRPr="007C18C4">
        <w:rPr>
          <w:rStyle w:val="SubtleEmphasis"/>
          <w:color w:val="auto"/>
        </w:rPr>
        <w:t xml:space="preserve"> </w:t>
      </w:r>
    </w:p>
    <w:p w:rsidR="008A1D1F" w:rsidRDefault="008A1D1F" w:rsidP="008A1D1F">
      <w:pPr>
        <w:spacing w:after="0" w:line="360" w:lineRule="auto"/>
        <w:jc w:val="both"/>
        <w:rPr>
          <w:szCs w:val="20"/>
        </w:rPr>
      </w:pPr>
    </w:p>
    <w:p w:rsidR="008A1D1F" w:rsidRDefault="008A1D1F" w:rsidP="008A1D1F">
      <w:pPr>
        <w:spacing w:after="0" w:line="360" w:lineRule="auto"/>
        <w:jc w:val="both"/>
      </w:pPr>
      <w:r w:rsidRPr="00E56C7D">
        <w:rPr>
          <w:szCs w:val="20"/>
        </w:rPr>
        <w:t>An ex-ante economic analysis was carried ou</w:t>
      </w:r>
      <w:r>
        <w:rPr>
          <w:szCs w:val="20"/>
        </w:rPr>
        <w:t xml:space="preserve">t for the first operation of the Program (SU-L1022), which was updated for this second operation. The </w:t>
      </w:r>
      <w:r w:rsidRPr="00E56C7D">
        <w:rPr>
          <w:szCs w:val="20"/>
        </w:rPr>
        <w:t>ex-ante economic analysis</w:t>
      </w:r>
      <w:r>
        <w:rPr>
          <w:szCs w:val="20"/>
        </w:rPr>
        <w:t xml:space="preserve"> was prepared </w:t>
      </w:r>
      <w:r w:rsidRPr="006840BC">
        <w:rPr>
          <w:szCs w:val="20"/>
        </w:rPr>
        <w:t>taking into account a scenario with and without Program</w:t>
      </w:r>
      <w:r w:rsidRPr="00D65B88">
        <w:rPr>
          <w:szCs w:val="20"/>
        </w:rPr>
        <w:t xml:space="preserve">. </w:t>
      </w:r>
      <w:r w:rsidRPr="00D65B88">
        <w:t xml:space="preserve">The general evaluation methodology applied was a Cost-Benefit Analysis of the expansion program of the Surinamese power system. Program benefits were estimated as the additional electricity supply, made possible with Program execution, valued at the consumers’ willingness to pay and consisting of the total surplus beneath the electricity demand curve less supply costs. Investment, fuel, operation and maintenance costs were determined through an indicative planning procedure </w:t>
      </w:r>
      <w:r>
        <w:t>aiming to determine future (2013</w:t>
      </w:r>
      <w:r w:rsidRPr="00D65B88">
        <w:t xml:space="preserve"> – 2025) generation and transmission project expansions to conform the Program that minimizes total costs providing an adequate reliability to supply the expected future power demand.</w:t>
      </w:r>
    </w:p>
    <w:p w:rsidR="008A1D1F" w:rsidRDefault="008A1D1F" w:rsidP="008A1D1F">
      <w:pPr>
        <w:spacing w:after="0" w:line="360" w:lineRule="auto"/>
        <w:jc w:val="both"/>
      </w:pPr>
    </w:p>
    <w:p w:rsidR="008A1D1F" w:rsidRDefault="008A1D1F" w:rsidP="008A1D1F">
      <w:pPr>
        <w:spacing w:after="0" w:line="360" w:lineRule="auto"/>
        <w:jc w:val="both"/>
      </w:pPr>
      <w:r>
        <w:t xml:space="preserve">It was estimated that the existing Generation/Transmission system could provide the power service until 2012, when it is estimated that total generation demand will reach 1,525 </w:t>
      </w:r>
      <w:proofErr w:type="spellStart"/>
      <w:r>
        <w:t>GWh</w:t>
      </w:r>
      <w:proofErr w:type="spellEnd"/>
      <w:r>
        <w:t>. After this year, without the Program it would not be possible to supply the demand increase with an acceptable reliability. In this way, the increase of electricity sales after 2012 will be directly associated to the Program.</w:t>
      </w:r>
    </w:p>
    <w:p w:rsidR="008A1D1F" w:rsidRDefault="008A1D1F" w:rsidP="008A1D1F">
      <w:pPr>
        <w:spacing w:after="0" w:line="360" w:lineRule="auto"/>
        <w:jc w:val="both"/>
      </w:pPr>
    </w:p>
    <w:p w:rsidR="008A1D1F" w:rsidRDefault="008A1D1F" w:rsidP="008A1D1F">
      <w:pPr>
        <w:spacing w:after="0" w:line="360" w:lineRule="auto"/>
        <w:jc w:val="both"/>
      </w:pPr>
      <w:r w:rsidRPr="00287BB4">
        <w:t xml:space="preserve">The CBA’s results indicate that, with the Program, the EBS expansion plan would produce US$497 million of net benefits (present value estimated at 12% discount rate).  The economic return would be 23.3%.  A sensitivity analysis for the CBA was carried out considering variations in the main assumptions.  </w:t>
      </w:r>
    </w:p>
    <w:p w:rsidR="008A1D1F" w:rsidRDefault="008A1D1F" w:rsidP="008A1D1F">
      <w:pPr>
        <w:spacing w:after="0" w:line="360" w:lineRule="auto"/>
        <w:jc w:val="both"/>
      </w:pPr>
    </w:p>
    <w:p w:rsidR="008A1D1F" w:rsidRDefault="008A1D1F" w:rsidP="008A1D1F">
      <w:pPr>
        <w:spacing w:after="0" w:line="360" w:lineRule="auto"/>
        <w:jc w:val="both"/>
      </w:pPr>
      <w:r>
        <w:lastRenderedPageBreak/>
        <w:t xml:space="preserve">In addition, a sensitivity analysis was carried out for the Cost - Benefit evaluation main aspects as: a) the expansion program geographical coverage, b) the demand forecasts, c) the fuel prices, c) the investment costs, and d) the benefits estimations.  The sensitivity analysis indicates that the high cost of the transmission expansions required </w:t>
      </w:r>
      <w:proofErr w:type="gramStart"/>
      <w:r>
        <w:t>to supply</w:t>
      </w:r>
      <w:proofErr w:type="gramEnd"/>
      <w:r>
        <w:t xml:space="preserve"> the Newmont load and of the </w:t>
      </w:r>
      <w:proofErr w:type="spellStart"/>
      <w:r>
        <w:t>Wageningen</w:t>
      </w:r>
      <w:proofErr w:type="spellEnd"/>
      <w:r>
        <w:t xml:space="preserve"> – </w:t>
      </w:r>
      <w:proofErr w:type="spellStart"/>
      <w:r>
        <w:t>Nickerie</w:t>
      </w:r>
      <w:proofErr w:type="spellEnd"/>
      <w:r>
        <w:t xml:space="preserve"> interconnection may offset the benefits that could be obtained from the supply of the demand of the new gold mines and from low cost bagasse generation.</w:t>
      </w:r>
    </w:p>
    <w:p w:rsidR="008A1D1F" w:rsidRDefault="008A1D1F" w:rsidP="008A1D1F">
      <w:pPr>
        <w:spacing w:after="0" w:line="360" w:lineRule="auto"/>
        <w:jc w:val="both"/>
      </w:pPr>
    </w:p>
    <w:p w:rsidR="008A1D1F" w:rsidRDefault="008A1D1F" w:rsidP="008A1D1F">
      <w:pPr>
        <w:spacing w:after="0" w:line="360" w:lineRule="auto"/>
        <w:jc w:val="both"/>
      </w:pPr>
      <w:r>
        <w:t>The results also illustrates that a lower demand forecasts (with 5% yearly growth), 20% increase in fuel prices,  20% increase in  investment costs or 20% decrease in the benefits estimations will still permit significant net economic benefits from the G-T expansion program required to guarantee the electricity supply in the country. Opposite changes in those parameters will improve significantly its economic indicators.</w:t>
      </w:r>
      <w:r w:rsidRPr="00E22625">
        <w:t xml:space="preserve"> </w:t>
      </w:r>
    </w:p>
    <w:p w:rsidR="0079157D" w:rsidRDefault="008A1D1F" w:rsidP="0079157D">
      <w:pPr>
        <w:pStyle w:val="Heading2"/>
        <w:rPr>
          <w:rStyle w:val="SubtleEmphasis"/>
          <w:color w:val="auto"/>
        </w:rPr>
      </w:pPr>
      <w:bookmarkStart w:id="17" w:name="_Toc323827274"/>
      <w:bookmarkStart w:id="18" w:name="_Toc335830657"/>
      <w:r w:rsidRPr="007C18C4">
        <w:rPr>
          <w:rStyle w:val="SubtleEmphasis"/>
          <w:color w:val="auto"/>
        </w:rPr>
        <w:t>Key Outcome Indicators</w:t>
      </w:r>
      <w:bookmarkEnd w:id="17"/>
      <w:bookmarkEnd w:id="18"/>
      <w:r w:rsidRPr="007C18C4">
        <w:rPr>
          <w:rStyle w:val="SubtleEmphasis"/>
          <w:color w:val="auto"/>
        </w:rPr>
        <w:t xml:space="preserve"> </w:t>
      </w:r>
    </w:p>
    <w:p w:rsidR="0079157D" w:rsidRPr="0079157D" w:rsidRDefault="0079157D" w:rsidP="0079157D"/>
    <w:p w:rsidR="008A1D1F" w:rsidRDefault="008A1D1F" w:rsidP="008A1D1F">
      <w:pPr>
        <w:spacing w:after="0" w:line="360" w:lineRule="auto"/>
        <w:jc w:val="both"/>
      </w:pPr>
      <w:r w:rsidRPr="00A75536">
        <w:t xml:space="preserve">The expected outcomes of the project would be: i) Suriname has a long term policy and regulation to support a sustainable energy framework; ii) the </w:t>
      </w:r>
      <w:proofErr w:type="spellStart"/>
      <w:r w:rsidRPr="00A75536">
        <w:t>GoS</w:t>
      </w:r>
      <w:proofErr w:type="spellEnd"/>
      <w:r w:rsidRPr="00A75536">
        <w:t xml:space="preserve"> has a long term strategy and studies to develop a Sustainable Energy Matrix; and iii) EBS has strengthened its transparency, governance and accountability. </w:t>
      </w:r>
    </w:p>
    <w:p w:rsidR="0079157D" w:rsidRDefault="0079157D" w:rsidP="008A1D1F">
      <w:pPr>
        <w:spacing w:after="0" w:line="360" w:lineRule="auto"/>
        <w:jc w:val="both"/>
      </w:pPr>
    </w:p>
    <w:p w:rsidR="0079157D" w:rsidRDefault="0079157D" w:rsidP="008A1D1F">
      <w:pPr>
        <w:spacing w:after="0" w:line="360" w:lineRule="auto"/>
        <w:jc w:val="both"/>
      </w:pPr>
    </w:p>
    <w:p w:rsidR="008A1D1F" w:rsidRDefault="008A1D1F" w:rsidP="008A1D1F">
      <w:pPr>
        <w:spacing w:after="0" w:line="360" w:lineRule="auto"/>
        <w:jc w:val="both"/>
      </w:pPr>
    </w:p>
    <w:p w:rsidR="008A1D1F" w:rsidRPr="008A1D1F" w:rsidRDefault="008A1D1F" w:rsidP="008A1D1F">
      <w:pPr>
        <w:pStyle w:val="Caption"/>
        <w:keepNext/>
        <w:jc w:val="center"/>
        <w:rPr>
          <w:u w:val="none"/>
        </w:rPr>
      </w:pPr>
      <w:bookmarkStart w:id="19" w:name="_Ref323827233"/>
      <w:r w:rsidRPr="008A1D1F">
        <w:rPr>
          <w:u w:val="none"/>
        </w:rPr>
        <w:t>Table 2: Impact and Outcome Indicators</w:t>
      </w:r>
      <w:bookmarkEnd w:id="19"/>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4"/>
        <w:gridCol w:w="2795"/>
        <w:gridCol w:w="1986"/>
        <w:gridCol w:w="945"/>
        <w:gridCol w:w="1238"/>
      </w:tblGrid>
      <w:tr w:rsidR="008A1D1F" w:rsidRPr="003F5C58" w:rsidTr="0079157D">
        <w:trPr>
          <w:trHeight w:val="324"/>
          <w:tblHeader/>
          <w:jc w:val="center"/>
        </w:trPr>
        <w:tc>
          <w:tcPr>
            <w:tcW w:w="1974" w:type="dxa"/>
            <w:tcBorders>
              <w:bottom w:val="single" w:sz="4" w:space="0" w:color="auto"/>
            </w:tcBorders>
            <w:shd w:val="pct25" w:color="auto" w:fill="auto"/>
            <w:vAlign w:val="center"/>
          </w:tcPr>
          <w:p w:rsidR="008A1D1F" w:rsidRPr="00164F5E" w:rsidRDefault="008A1D1F" w:rsidP="00A735AF">
            <w:pPr>
              <w:jc w:val="center"/>
              <w:rPr>
                <w:b/>
                <w:sz w:val="20"/>
                <w:szCs w:val="20"/>
              </w:rPr>
            </w:pPr>
            <w:r w:rsidRPr="00164F5E">
              <w:rPr>
                <w:b/>
                <w:sz w:val="20"/>
                <w:szCs w:val="20"/>
              </w:rPr>
              <w:t>Impact</w:t>
            </w:r>
          </w:p>
        </w:tc>
        <w:tc>
          <w:tcPr>
            <w:tcW w:w="2795" w:type="dxa"/>
            <w:tcBorders>
              <w:bottom w:val="single" w:sz="4" w:space="0" w:color="auto"/>
            </w:tcBorders>
            <w:shd w:val="pct25" w:color="auto" w:fill="auto"/>
            <w:vAlign w:val="center"/>
          </w:tcPr>
          <w:p w:rsidR="008A1D1F" w:rsidRPr="00164F5E" w:rsidRDefault="008A1D1F" w:rsidP="00A735AF">
            <w:pPr>
              <w:jc w:val="center"/>
              <w:rPr>
                <w:b/>
                <w:sz w:val="20"/>
                <w:szCs w:val="20"/>
              </w:rPr>
            </w:pPr>
            <w:r w:rsidRPr="00164F5E">
              <w:rPr>
                <w:b/>
                <w:sz w:val="20"/>
                <w:szCs w:val="20"/>
              </w:rPr>
              <w:t>Indicator</w:t>
            </w:r>
          </w:p>
        </w:tc>
        <w:tc>
          <w:tcPr>
            <w:tcW w:w="1986" w:type="dxa"/>
            <w:tcBorders>
              <w:bottom w:val="single" w:sz="4" w:space="0" w:color="auto"/>
            </w:tcBorders>
            <w:shd w:val="pct25" w:color="auto" w:fill="auto"/>
            <w:vAlign w:val="center"/>
          </w:tcPr>
          <w:p w:rsidR="008A1D1F" w:rsidRPr="00164F5E" w:rsidRDefault="008A1D1F" w:rsidP="00A735AF">
            <w:pPr>
              <w:jc w:val="center"/>
              <w:rPr>
                <w:b/>
                <w:sz w:val="20"/>
                <w:szCs w:val="20"/>
              </w:rPr>
            </w:pPr>
            <w:r w:rsidRPr="00164F5E">
              <w:rPr>
                <w:b/>
                <w:sz w:val="20"/>
                <w:szCs w:val="20"/>
              </w:rPr>
              <w:t>Baseline</w:t>
            </w:r>
          </w:p>
        </w:tc>
        <w:tc>
          <w:tcPr>
            <w:tcW w:w="945" w:type="dxa"/>
            <w:tcBorders>
              <w:bottom w:val="single" w:sz="4" w:space="0" w:color="auto"/>
            </w:tcBorders>
            <w:shd w:val="pct25" w:color="auto" w:fill="auto"/>
            <w:vAlign w:val="center"/>
          </w:tcPr>
          <w:p w:rsidR="008A1D1F" w:rsidRPr="00164F5E" w:rsidRDefault="008A1D1F" w:rsidP="00A735AF">
            <w:pPr>
              <w:jc w:val="center"/>
              <w:rPr>
                <w:b/>
                <w:sz w:val="20"/>
                <w:szCs w:val="20"/>
              </w:rPr>
            </w:pPr>
            <w:r w:rsidRPr="00164F5E">
              <w:rPr>
                <w:b/>
                <w:sz w:val="20"/>
                <w:szCs w:val="20"/>
              </w:rPr>
              <w:t>Target (2015)</w:t>
            </w:r>
          </w:p>
        </w:tc>
        <w:tc>
          <w:tcPr>
            <w:tcW w:w="1238" w:type="dxa"/>
            <w:tcBorders>
              <w:bottom w:val="single" w:sz="4" w:space="0" w:color="auto"/>
            </w:tcBorders>
            <w:shd w:val="pct25" w:color="auto" w:fill="auto"/>
            <w:vAlign w:val="center"/>
          </w:tcPr>
          <w:p w:rsidR="008A1D1F" w:rsidRPr="00164F5E" w:rsidRDefault="008A1D1F" w:rsidP="00A735AF">
            <w:pPr>
              <w:jc w:val="center"/>
              <w:rPr>
                <w:b/>
                <w:sz w:val="20"/>
                <w:szCs w:val="20"/>
              </w:rPr>
            </w:pPr>
            <w:r w:rsidRPr="00164F5E">
              <w:rPr>
                <w:b/>
                <w:sz w:val="20"/>
                <w:szCs w:val="20"/>
              </w:rPr>
              <w:t>Verification Means</w:t>
            </w:r>
          </w:p>
        </w:tc>
      </w:tr>
      <w:tr w:rsidR="008A1D1F" w:rsidRPr="003F5C58" w:rsidTr="0079157D">
        <w:trPr>
          <w:trHeight w:val="872"/>
          <w:tblHeader/>
          <w:jc w:val="center"/>
        </w:trPr>
        <w:tc>
          <w:tcPr>
            <w:tcW w:w="1974" w:type="dxa"/>
            <w:shd w:val="clear" w:color="auto" w:fill="auto"/>
            <w:vAlign w:val="center"/>
          </w:tcPr>
          <w:p w:rsidR="008A1D1F" w:rsidRPr="00164F5E" w:rsidRDefault="008A1D1F" w:rsidP="00A735AF">
            <w:pPr>
              <w:pStyle w:val="Default"/>
              <w:spacing w:beforeLines="40" w:before="96" w:afterLines="40" w:after="96"/>
              <w:rPr>
                <w:color w:val="auto"/>
                <w:sz w:val="20"/>
                <w:szCs w:val="20"/>
              </w:rPr>
            </w:pPr>
            <w:r w:rsidRPr="00164F5E">
              <w:rPr>
                <w:color w:val="auto"/>
                <w:sz w:val="20"/>
                <w:szCs w:val="20"/>
              </w:rPr>
              <w:t>Increased electricity coverage</w:t>
            </w:r>
          </w:p>
        </w:tc>
        <w:tc>
          <w:tcPr>
            <w:tcW w:w="2795" w:type="dxa"/>
            <w:shd w:val="clear" w:color="auto" w:fill="auto"/>
            <w:vAlign w:val="center"/>
          </w:tcPr>
          <w:p w:rsidR="008A1D1F" w:rsidRPr="00164F5E" w:rsidRDefault="008A1D1F" w:rsidP="00A735AF">
            <w:pPr>
              <w:autoSpaceDE w:val="0"/>
              <w:autoSpaceDN w:val="0"/>
              <w:adjustRightInd w:val="0"/>
              <w:rPr>
                <w:sz w:val="20"/>
                <w:szCs w:val="20"/>
                <w:lang w:eastAsia="es-ES_tradnl"/>
              </w:rPr>
            </w:pPr>
            <w:r w:rsidRPr="00164F5E">
              <w:rPr>
                <w:sz w:val="20"/>
                <w:szCs w:val="20"/>
                <w:lang w:eastAsia="es-ES_tradnl"/>
              </w:rPr>
              <w:t>Percentage of the population with access to electricity (%)</w:t>
            </w:r>
          </w:p>
        </w:tc>
        <w:tc>
          <w:tcPr>
            <w:tcW w:w="1986" w:type="dxa"/>
            <w:shd w:val="clear" w:color="auto" w:fill="auto"/>
            <w:vAlign w:val="center"/>
          </w:tcPr>
          <w:p w:rsidR="008A1D1F" w:rsidRPr="00164F5E" w:rsidRDefault="008A1D1F" w:rsidP="00A735AF">
            <w:pPr>
              <w:pStyle w:val="BodyText"/>
              <w:spacing w:before="60" w:after="60"/>
              <w:rPr>
                <w:i/>
                <w:sz w:val="20"/>
                <w:szCs w:val="20"/>
              </w:rPr>
            </w:pPr>
            <w:r w:rsidRPr="00164F5E">
              <w:rPr>
                <w:i/>
                <w:sz w:val="20"/>
                <w:szCs w:val="20"/>
              </w:rPr>
              <w:t>Baseline (2010): 85</w:t>
            </w:r>
          </w:p>
        </w:tc>
        <w:tc>
          <w:tcPr>
            <w:tcW w:w="945" w:type="dxa"/>
            <w:shd w:val="clear" w:color="auto" w:fill="auto"/>
            <w:vAlign w:val="center"/>
          </w:tcPr>
          <w:p w:rsidR="008A1D1F" w:rsidRPr="00164F5E" w:rsidRDefault="008A1D1F" w:rsidP="00A735AF">
            <w:pPr>
              <w:pStyle w:val="BodyText"/>
              <w:spacing w:before="60" w:after="60"/>
              <w:jc w:val="center"/>
              <w:rPr>
                <w:sz w:val="20"/>
                <w:szCs w:val="20"/>
              </w:rPr>
            </w:pPr>
            <w:r w:rsidRPr="00164F5E">
              <w:rPr>
                <w:sz w:val="20"/>
                <w:szCs w:val="20"/>
              </w:rPr>
              <w:t>90</w:t>
            </w:r>
          </w:p>
        </w:tc>
        <w:tc>
          <w:tcPr>
            <w:tcW w:w="1238" w:type="dxa"/>
            <w:shd w:val="clear" w:color="auto" w:fill="auto"/>
            <w:vAlign w:val="center"/>
          </w:tcPr>
          <w:p w:rsidR="008A1D1F" w:rsidRPr="00164F5E" w:rsidRDefault="008A1D1F" w:rsidP="00A735AF">
            <w:pPr>
              <w:pStyle w:val="BodyText"/>
              <w:spacing w:beforeLines="40" w:before="96" w:afterLines="40" w:after="96"/>
              <w:jc w:val="center"/>
              <w:rPr>
                <w:sz w:val="20"/>
                <w:szCs w:val="20"/>
              </w:rPr>
            </w:pPr>
            <w:r w:rsidRPr="00164F5E">
              <w:rPr>
                <w:sz w:val="20"/>
                <w:szCs w:val="20"/>
              </w:rPr>
              <w:t>Report EBS</w:t>
            </w:r>
          </w:p>
        </w:tc>
      </w:tr>
      <w:tr w:rsidR="008A1D1F" w:rsidRPr="003F5C58" w:rsidTr="0079157D">
        <w:trPr>
          <w:trHeight w:val="1546"/>
          <w:tblHeader/>
          <w:jc w:val="center"/>
        </w:trPr>
        <w:tc>
          <w:tcPr>
            <w:tcW w:w="1974" w:type="dxa"/>
            <w:shd w:val="clear" w:color="auto" w:fill="auto"/>
            <w:vAlign w:val="center"/>
          </w:tcPr>
          <w:p w:rsidR="008A1D1F" w:rsidRPr="00164F5E" w:rsidRDefault="008A1D1F" w:rsidP="00A735AF">
            <w:pPr>
              <w:autoSpaceDE w:val="0"/>
              <w:autoSpaceDN w:val="0"/>
              <w:adjustRightInd w:val="0"/>
              <w:rPr>
                <w:sz w:val="20"/>
                <w:szCs w:val="20"/>
                <w:lang w:eastAsia="es-ES_tradnl"/>
              </w:rPr>
            </w:pPr>
            <w:r w:rsidRPr="00164F5E">
              <w:rPr>
                <w:sz w:val="20"/>
                <w:szCs w:val="20"/>
                <w:lang w:eastAsia="es-ES_tradnl"/>
              </w:rPr>
              <w:t>Increased financial sustainability of power supply in isolated systems in the Hinterland.</w:t>
            </w:r>
          </w:p>
        </w:tc>
        <w:tc>
          <w:tcPr>
            <w:tcW w:w="2795" w:type="dxa"/>
            <w:shd w:val="clear" w:color="auto" w:fill="auto"/>
            <w:vAlign w:val="center"/>
          </w:tcPr>
          <w:p w:rsidR="008A1D1F" w:rsidRPr="00164F5E" w:rsidRDefault="008A1D1F" w:rsidP="00A735AF">
            <w:pPr>
              <w:autoSpaceDE w:val="0"/>
              <w:autoSpaceDN w:val="0"/>
              <w:adjustRightInd w:val="0"/>
              <w:rPr>
                <w:sz w:val="20"/>
                <w:szCs w:val="20"/>
                <w:lang w:eastAsia="es-ES_tradnl"/>
              </w:rPr>
            </w:pPr>
            <w:r w:rsidRPr="00164F5E">
              <w:rPr>
                <w:sz w:val="20"/>
                <w:szCs w:val="20"/>
                <w:lang w:eastAsia="es-ES_tradnl"/>
              </w:rPr>
              <w:t>Percentage of cost recovery for electricity supply to isolated systems in the Hinterland (%)</w:t>
            </w:r>
          </w:p>
        </w:tc>
        <w:tc>
          <w:tcPr>
            <w:tcW w:w="1986" w:type="dxa"/>
            <w:shd w:val="clear" w:color="auto" w:fill="auto"/>
            <w:vAlign w:val="center"/>
          </w:tcPr>
          <w:p w:rsidR="008A1D1F" w:rsidRPr="00164F5E" w:rsidRDefault="008A1D1F" w:rsidP="00A735AF">
            <w:pPr>
              <w:pStyle w:val="BodyText"/>
              <w:spacing w:before="60" w:after="60"/>
              <w:rPr>
                <w:i/>
                <w:sz w:val="20"/>
                <w:szCs w:val="20"/>
              </w:rPr>
            </w:pPr>
            <w:r w:rsidRPr="00164F5E">
              <w:rPr>
                <w:i/>
                <w:sz w:val="20"/>
                <w:szCs w:val="20"/>
              </w:rPr>
              <w:t>Baseline (2011): 0</w:t>
            </w:r>
          </w:p>
        </w:tc>
        <w:tc>
          <w:tcPr>
            <w:tcW w:w="945" w:type="dxa"/>
            <w:shd w:val="clear" w:color="auto" w:fill="auto"/>
            <w:vAlign w:val="center"/>
          </w:tcPr>
          <w:p w:rsidR="008A1D1F" w:rsidRPr="00164F5E" w:rsidRDefault="008A1D1F" w:rsidP="00A735AF">
            <w:pPr>
              <w:pStyle w:val="BodyText"/>
              <w:spacing w:before="60" w:after="60"/>
              <w:jc w:val="center"/>
              <w:rPr>
                <w:i/>
                <w:sz w:val="20"/>
                <w:szCs w:val="20"/>
              </w:rPr>
            </w:pPr>
            <w:r w:rsidRPr="00164F5E">
              <w:rPr>
                <w:i/>
                <w:sz w:val="20"/>
                <w:szCs w:val="20"/>
              </w:rPr>
              <w:t>40</w:t>
            </w:r>
          </w:p>
        </w:tc>
        <w:tc>
          <w:tcPr>
            <w:tcW w:w="1238" w:type="dxa"/>
            <w:shd w:val="clear" w:color="auto" w:fill="auto"/>
            <w:vAlign w:val="center"/>
          </w:tcPr>
          <w:p w:rsidR="008A1D1F" w:rsidRPr="00164F5E" w:rsidRDefault="008A1D1F" w:rsidP="00A735AF">
            <w:pPr>
              <w:jc w:val="center"/>
              <w:rPr>
                <w:sz w:val="20"/>
                <w:szCs w:val="20"/>
              </w:rPr>
            </w:pPr>
            <w:r w:rsidRPr="00164F5E">
              <w:rPr>
                <w:sz w:val="20"/>
                <w:szCs w:val="20"/>
              </w:rPr>
              <w:t>MNH</w:t>
            </w:r>
          </w:p>
        </w:tc>
      </w:tr>
    </w:tbl>
    <w:p w:rsidR="008A1D1F" w:rsidRDefault="008A1D1F" w:rsidP="008A1D1F">
      <w:pPr>
        <w:spacing w:after="0" w:line="360" w:lineRule="auto"/>
        <w:jc w:val="both"/>
      </w:pPr>
    </w:p>
    <w:tbl>
      <w:tblPr>
        <w:tblW w:w="4735"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2123"/>
        <w:gridCol w:w="1587"/>
        <w:gridCol w:w="1104"/>
        <w:gridCol w:w="1522"/>
        <w:gridCol w:w="7"/>
        <w:gridCol w:w="1459"/>
        <w:gridCol w:w="24"/>
        <w:gridCol w:w="1228"/>
        <w:gridCol w:w="14"/>
      </w:tblGrid>
      <w:tr w:rsidR="0079157D" w:rsidRPr="00164F5E" w:rsidTr="0079157D">
        <w:trPr>
          <w:cantSplit/>
          <w:trHeight w:val="122"/>
          <w:tblHeader/>
          <w:jc w:val="center"/>
        </w:trPr>
        <w:tc>
          <w:tcPr>
            <w:tcW w:w="2464" w:type="dxa"/>
            <w:shd w:val="clear" w:color="auto" w:fill="BFBFBF" w:themeFill="background1" w:themeFillShade="BF"/>
            <w:vAlign w:val="center"/>
          </w:tcPr>
          <w:p w:rsidR="008A1D1F" w:rsidRPr="00164F5E" w:rsidRDefault="008A1D1F" w:rsidP="0079157D">
            <w:pPr>
              <w:spacing w:before="40" w:after="40"/>
              <w:rPr>
                <w:b/>
                <w:bCs/>
                <w:sz w:val="20"/>
                <w:szCs w:val="20"/>
              </w:rPr>
            </w:pPr>
            <w:r w:rsidRPr="00164F5E">
              <w:rPr>
                <w:b/>
                <w:bCs/>
                <w:sz w:val="20"/>
                <w:szCs w:val="20"/>
              </w:rPr>
              <w:lastRenderedPageBreak/>
              <w:t>Objectives</w:t>
            </w:r>
          </w:p>
        </w:tc>
        <w:tc>
          <w:tcPr>
            <w:tcW w:w="1234" w:type="dxa"/>
            <w:shd w:val="clear" w:color="auto" w:fill="BFBFBF" w:themeFill="background1" w:themeFillShade="BF"/>
          </w:tcPr>
          <w:p w:rsidR="008A1D1F" w:rsidRPr="00164F5E" w:rsidRDefault="008A1D1F" w:rsidP="0079157D">
            <w:pPr>
              <w:spacing w:before="40" w:after="40"/>
              <w:rPr>
                <w:b/>
                <w:bCs/>
                <w:sz w:val="20"/>
                <w:szCs w:val="20"/>
              </w:rPr>
            </w:pPr>
            <w:r w:rsidRPr="00164F5E">
              <w:rPr>
                <w:b/>
                <w:bCs/>
                <w:sz w:val="20"/>
                <w:szCs w:val="20"/>
              </w:rPr>
              <w:t>Results</w:t>
            </w:r>
          </w:p>
        </w:tc>
        <w:tc>
          <w:tcPr>
            <w:tcW w:w="1109" w:type="dxa"/>
            <w:shd w:val="clear" w:color="auto" w:fill="BFBFBF" w:themeFill="background1" w:themeFillShade="BF"/>
            <w:vAlign w:val="center"/>
          </w:tcPr>
          <w:p w:rsidR="008A1D1F" w:rsidRPr="00164F5E" w:rsidRDefault="008A1D1F" w:rsidP="0079157D">
            <w:pPr>
              <w:spacing w:before="40" w:after="40"/>
              <w:rPr>
                <w:b/>
                <w:bCs/>
                <w:sz w:val="20"/>
                <w:szCs w:val="20"/>
              </w:rPr>
            </w:pPr>
            <w:r w:rsidRPr="00164F5E">
              <w:rPr>
                <w:b/>
                <w:bCs/>
                <w:sz w:val="20"/>
                <w:szCs w:val="20"/>
              </w:rPr>
              <w:t>Indicators</w:t>
            </w:r>
          </w:p>
        </w:tc>
        <w:tc>
          <w:tcPr>
            <w:tcW w:w="1534" w:type="dxa"/>
            <w:gridSpan w:val="2"/>
            <w:shd w:val="clear" w:color="auto" w:fill="BFBFBF" w:themeFill="background1" w:themeFillShade="BF"/>
            <w:vAlign w:val="center"/>
          </w:tcPr>
          <w:p w:rsidR="008A1D1F" w:rsidRPr="00164F5E" w:rsidRDefault="008A1D1F" w:rsidP="0079157D">
            <w:pPr>
              <w:spacing w:before="40" w:after="40"/>
              <w:rPr>
                <w:b/>
                <w:bCs/>
                <w:sz w:val="20"/>
                <w:szCs w:val="20"/>
              </w:rPr>
            </w:pPr>
            <w:r w:rsidRPr="00164F5E">
              <w:rPr>
                <w:b/>
                <w:bCs/>
                <w:sz w:val="20"/>
                <w:szCs w:val="20"/>
              </w:rPr>
              <w:t>Baseline</w:t>
            </w:r>
          </w:p>
        </w:tc>
        <w:tc>
          <w:tcPr>
            <w:tcW w:w="1483" w:type="dxa"/>
            <w:gridSpan w:val="2"/>
            <w:shd w:val="clear" w:color="auto" w:fill="BFBFBF" w:themeFill="background1" w:themeFillShade="BF"/>
          </w:tcPr>
          <w:p w:rsidR="008A1D1F" w:rsidRPr="00164F5E" w:rsidRDefault="008A1D1F" w:rsidP="0079157D">
            <w:pPr>
              <w:spacing w:before="40" w:after="40"/>
              <w:rPr>
                <w:b/>
                <w:bCs/>
                <w:sz w:val="20"/>
                <w:szCs w:val="20"/>
              </w:rPr>
            </w:pPr>
            <w:r w:rsidRPr="00164F5E">
              <w:rPr>
                <w:b/>
                <w:bCs/>
                <w:sz w:val="20"/>
                <w:szCs w:val="20"/>
              </w:rPr>
              <w:t>Target (2015)</w:t>
            </w:r>
          </w:p>
        </w:tc>
        <w:tc>
          <w:tcPr>
            <w:tcW w:w="1244" w:type="dxa"/>
            <w:gridSpan w:val="2"/>
            <w:shd w:val="clear" w:color="auto" w:fill="BFBFBF" w:themeFill="background1" w:themeFillShade="BF"/>
          </w:tcPr>
          <w:p w:rsidR="008A1D1F" w:rsidRPr="00164F5E" w:rsidRDefault="008A1D1F" w:rsidP="0079157D">
            <w:pPr>
              <w:spacing w:before="40" w:after="40"/>
              <w:rPr>
                <w:b/>
                <w:bCs/>
                <w:sz w:val="20"/>
                <w:szCs w:val="20"/>
              </w:rPr>
            </w:pPr>
            <w:r w:rsidRPr="00164F5E">
              <w:rPr>
                <w:b/>
                <w:bCs/>
                <w:sz w:val="20"/>
                <w:szCs w:val="20"/>
              </w:rPr>
              <w:t>Verification Means</w:t>
            </w:r>
          </w:p>
        </w:tc>
      </w:tr>
      <w:tr w:rsidR="008A1D1F" w:rsidRPr="00164F5E" w:rsidTr="0079157D">
        <w:trPr>
          <w:cantSplit/>
          <w:trHeight w:val="29"/>
          <w:jc w:val="center"/>
        </w:trPr>
        <w:tc>
          <w:tcPr>
            <w:tcW w:w="6341" w:type="dxa"/>
            <w:gridSpan w:val="5"/>
          </w:tcPr>
          <w:p w:rsidR="008A1D1F" w:rsidRPr="00164F5E" w:rsidRDefault="008A1D1F" w:rsidP="0079157D">
            <w:pPr>
              <w:pStyle w:val="Default"/>
              <w:tabs>
                <w:tab w:val="center" w:pos="4320"/>
                <w:tab w:val="right" w:pos="8640"/>
              </w:tabs>
              <w:spacing w:before="96" w:after="96"/>
              <w:rPr>
                <w:color w:val="auto"/>
                <w:sz w:val="20"/>
                <w:szCs w:val="20"/>
                <w:highlight w:val="yellow"/>
              </w:rPr>
            </w:pPr>
            <w:r w:rsidRPr="00164F5E">
              <w:rPr>
                <w:b/>
                <w:sz w:val="20"/>
                <w:szCs w:val="20"/>
              </w:rPr>
              <w:t>I. Macroeconomic Stability</w:t>
            </w:r>
          </w:p>
        </w:tc>
        <w:tc>
          <w:tcPr>
            <w:tcW w:w="1483" w:type="dxa"/>
            <w:gridSpan w:val="2"/>
          </w:tcPr>
          <w:p w:rsidR="008A1D1F" w:rsidRPr="00164F5E" w:rsidRDefault="008A1D1F" w:rsidP="0079157D">
            <w:pPr>
              <w:pStyle w:val="Default"/>
              <w:tabs>
                <w:tab w:val="center" w:pos="4320"/>
                <w:tab w:val="right" w:pos="8640"/>
              </w:tabs>
              <w:spacing w:before="96" w:after="96"/>
              <w:rPr>
                <w:b/>
                <w:sz w:val="20"/>
                <w:szCs w:val="20"/>
              </w:rPr>
            </w:pPr>
          </w:p>
        </w:tc>
        <w:tc>
          <w:tcPr>
            <w:tcW w:w="1244" w:type="dxa"/>
            <w:gridSpan w:val="2"/>
          </w:tcPr>
          <w:p w:rsidR="008A1D1F" w:rsidRPr="00164F5E" w:rsidRDefault="008A1D1F" w:rsidP="0079157D">
            <w:pPr>
              <w:pStyle w:val="Default"/>
              <w:tabs>
                <w:tab w:val="center" w:pos="4320"/>
                <w:tab w:val="right" w:pos="8640"/>
              </w:tabs>
              <w:spacing w:before="96" w:after="96"/>
              <w:rPr>
                <w:b/>
                <w:sz w:val="20"/>
                <w:szCs w:val="20"/>
              </w:rPr>
            </w:pPr>
          </w:p>
        </w:tc>
      </w:tr>
      <w:tr w:rsidR="0079157D" w:rsidRPr="0079157D" w:rsidTr="0079157D">
        <w:trPr>
          <w:cantSplit/>
          <w:trHeight w:val="898"/>
          <w:jc w:val="center"/>
        </w:trPr>
        <w:tc>
          <w:tcPr>
            <w:tcW w:w="2464" w:type="dxa"/>
            <w:vAlign w:val="center"/>
          </w:tcPr>
          <w:p w:rsidR="008A1D1F" w:rsidRPr="00164F5E" w:rsidRDefault="008A1D1F" w:rsidP="0079157D">
            <w:pPr>
              <w:pStyle w:val="Header"/>
              <w:spacing w:beforeLines="40" w:before="96" w:afterLines="40" w:after="96"/>
              <w:rPr>
                <w:lang w:val="en-US"/>
              </w:rPr>
            </w:pPr>
            <w:r w:rsidRPr="00164F5E">
              <w:rPr>
                <w:lang w:val="en-US"/>
              </w:rPr>
              <w:t>I.1. Maintain a stable general Macroeconomic Framework</w:t>
            </w:r>
          </w:p>
        </w:tc>
        <w:tc>
          <w:tcPr>
            <w:tcW w:w="1234" w:type="dxa"/>
            <w:vAlign w:val="center"/>
          </w:tcPr>
          <w:p w:rsidR="008A1D1F" w:rsidRPr="00164F5E" w:rsidRDefault="008A1D1F" w:rsidP="0079157D">
            <w:pPr>
              <w:pStyle w:val="Default"/>
              <w:numPr>
                <w:ilvl w:val="0"/>
                <w:numId w:val="16"/>
              </w:numPr>
              <w:tabs>
                <w:tab w:val="left" w:pos="-41"/>
                <w:tab w:val="left" w:pos="0"/>
                <w:tab w:val="left" w:pos="62"/>
                <w:tab w:val="left" w:pos="152"/>
              </w:tabs>
              <w:spacing w:before="60" w:after="60"/>
              <w:ind w:left="0" w:hanging="81"/>
              <w:rPr>
                <w:sz w:val="20"/>
                <w:szCs w:val="20"/>
              </w:rPr>
            </w:pPr>
            <w:r w:rsidRPr="00164F5E">
              <w:rPr>
                <w:sz w:val="20"/>
                <w:szCs w:val="20"/>
              </w:rPr>
              <w:t>Macroeconomic framework is consistent with the objectives of the program and with policy letter.</w:t>
            </w:r>
          </w:p>
        </w:tc>
        <w:tc>
          <w:tcPr>
            <w:tcW w:w="1109" w:type="dxa"/>
            <w:vAlign w:val="center"/>
          </w:tcPr>
          <w:p w:rsidR="008A1D1F" w:rsidRPr="00164F5E" w:rsidRDefault="008A1D1F" w:rsidP="0079157D">
            <w:pPr>
              <w:pStyle w:val="Default"/>
              <w:tabs>
                <w:tab w:val="center" w:pos="4320"/>
                <w:tab w:val="right" w:pos="8640"/>
              </w:tabs>
              <w:spacing w:beforeLines="40" w:before="96" w:afterLines="40" w:after="96"/>
              <w:ind w:left="-9"/>
              <w:rPr>
                <w:color w:val="auto"/>
                <w:sz w:val="20"/>
                <w:szCs w:val="20"/>
              </w:rPr>
            </w:pPr>
            <w:r w:rsidRPr="00164F5E">
              <w:rPr>
                <w:color w:val="auto"/>
                <w:sz w:val="20"/>
                <w:szCs w:val="20"/>
              </w:rPr>
              <w:t xml:space="preserve">Technical opinion IMF </w:t>
            </w:r>
          </w:p>
        </w:tc>
        <w:tc>
          <w:tcPr>
            <w:tcW w:w="1534" w:type="dxa"/>
            <w:gridSpan w:val="2"/>
            <w:vAlign w:val="center"/>
          </w:tcPr>
          <w:p w:rsidR="008A1D1F" w:rsidRPr="00164F5E" w:rsidRDefault="008A1D1F" w:rsidP="0079157D">
            <w:pPr>
              <w:keepNext/>
              <w:spacing w:before="60" w:after="60"/>
              <w:ind w:left="-9"/>
              <w:rPr>
                <w:sz w:val="20"/>
                <w:szCs w:val="20"/>
              </w:rPr>
            </w:pPr>
            <w:r w:rsidRPr="00164F5E">
              <w:rPr>
                <w:sz w:val="20"/>
                <w:szCs w:val="20"/>
              </w:rPr>
              <w:t>Stable macroeconomic framework (2011)</w:t>
            </w:r>
          </w:p>
        </w:tc>
        <w:tc>
          <w:tcPr>
            <w:tcW w:w="1483" w:type="dxa"/>
            <w:gridSpan w:val="2"/>
          </w:tcPr>
          <w:p w:rsidR="008A1D1F" w:rsidRPr="00164F5E" w:rsidRDefault="008A1D1F" w:rsidP="0079157D">
            <w:pPr>
              <w:keepNext/>
              <w:spacing w:before="60" w:after="60"/>
              <w:ind w:left="-9"/>
              <w:rPr>
                <w:sz w:val="20"/>
                <w:szCs w:val="20"/>
              </w:rPr>
            </w:pPr>
            <w:r w:rsidRPr="00164F5E">
              <w:rPr>
                <w:sz w:val="20"/>
                <w:szCs w:val="20"/>
              </w:rPr>
              <w:t>Stable macroeconomic framework</w:t>
            </w:r>
          </w:p>
        </w:tc>
        <w:tc>
          <w:tcPr>
            <w:tcW w:w="1244" w:type="dxa"/>
            <w:gridSpan w:val="2"/>
          </w:tcPr>
          <w:p w:rsidR="008A1D1F" w:rsidRPr="00164F5E" w:rsidRDefault="008A1D1F" w:rsidP="0079157D">
            <w:pPr>
              <w:keepNext/>
              <w:spacing w:before="60" w:after="60"/>
              <w:ind w:left="106" w:hanging="160"/>
              <w:rPr>
                <w:sz w:val="20"/>
                <w:szCs w:val="20"/>
                <w:lang w:val="fr-FR"/>
              </w:rPr>
            </w:pPr>
            <w:r w:rsidRPr="00164F5E">
              <w:rPr>
                <w:sz w:val="20"/>
                <w:szCs w:val="20"/>
                <w:lang w:val="fr-FR"/>
              </w:rPr>
              <w:t xml:space="preserve"> IMF Article IV Consultation report</w:t>
            </w:r>
          </w:p>
        </w:tc>
      </w:tr>
      <w:tr w:rsidR="008A1D1F" w:rsidRPr="00164F5E" w:rsidTr="0079157D">
        <w:trPr>
          <w:cantSplit/>
          <w:trHeight w:val="76"/>
          <w:jc w:val="center"/>
        </w:trPr>
        <w:tc>
          <w:tcPr>
            <w:tcW w:w="6341" w:type="dxa"/>
            <w:gridSpan w:val="5"/>
          </w:tcPr>
          <w:p w:rsidR="008A1D1F" w:rsidRPr="00164F5E" w:rsidRDefault="008A1D1F" w:rsidP="0079157D">
            <w:pPr>
              <w:pStyle w:val="Default"/>
              <w:tabs>
                <w:tab w:val="left" w:pos="-41"/>
                <w:tab w:val="left" w:pos="0"/>
                <w:tab w:val="center" w:pos="4320"/>
                <w:tab w:val="right" w:pos="8640"/>
              </w:tabs>
              <w:spacing w:before="96" w:after="96"/>
              <w:ind w:hanging="81"/>
              <w:rPr>
                <w:b/>
                <w:color w:val="auto"/>
                <w:sz w:val="20"/>
                <w:szCs w:val="20"/>
              </w:rPr>
            </w:pPr>
            <w:r w:rsidRPr="00164F5E">
              <w:rPr>
                <w:b/>
                <w:color w:val="auto"/>
                <w:sz w:val="20"/>
                <w:szCs w:val="20"/>
              </w:rPr>
              <w:t>II. Development of a Sustainable Energy Framework</w:t>
            </w:r>
          </w:p>
        </w:tc>
        <w:tc>
          <w:tcPr>
            <w:tcW w:w="1483" w:type="dxa"/>
            <w:gridSpan w:val="2"/>
          </w:tcPr>
          <w:p w:rsidR="008A1D1F" w:rsidRPr="00164F5E" w:rsidRDefault="008A1D1F" w:rsidP="0079157D">
            <w:pPr>
              <w:pStyle w:val="Default"/>
              <w:tabs>
                <w:tab w:val="center" w:pos="4320"/>
                <w:tab w:val="right" w:pos="8640"/>
              </w:tabs>
              <w:spacing w:before="96" w:after="96"/>
              <w:ind w:left="-9"/>
              <w:rPr>
                <w:b/>
                <w:color w:val="auto"/>
                <w:sz w:val="20"/>
                <w:szCs w:val="20"/>
              </w:rPr>
            </w:pPr>
          </w:p>
        </w:tc>
        <w:tc>
          <w:tcPr>
            <w:tcW w:w="1244" w:type="dxa"/>
            <w:gridSpan w:val="2"/>
          </w:tcPr>
          <w:p w:rsidR="008A1D1F" w:rsidRPr="00164F5E" w:rsidRDefault="008A1D1F" w:rsidP="0079157D">
            <w:pPr>
              <w:pStyle w:val="Default"/>
              <w:tabs>
                <w:tab w:val="center" w:pos="4320"/>
                <w:tab w:val="right" w:pos="8640"/>
              </w:tabs>
              <w:spacing w:before="96" w:after="96"/>
              <w:ind w:left="106" w:hanging="160"/>
              <w:rPr>
                <w:b/>
                <w:color w:val="auto"/>
                <w:sz w:val="20"/>
                <w:szCs w:val="20"/>
              </w:rPr>
            </w:pPr>
          </w:p>
        </w:tc>
      </w:tr>
      <w:tr w:rsidR="0079157D" w:rsidRPr="00164F5E" w:rsidTr="0079157D">
        <w:trPr>
          <w:cantSplit/>
          <w:trHeight w:val="1130"/>
          <w:jc w:val="center"/>
        </w:trPr>
        <w:tc>
          <w:tcPr>
            <w:tcW w:w="2464" w:type="dxa"/>
          </w:tcPr>
          <w:p w:rsidR="008A1D1F" w:rsidRPr="00164F5E" w:rsidRDefault="008A1D1F" w:rsidP="0079157D">
            <w:pPr>
              <w:pStyle w:val="Header"/>
              <w:spacing w:beforeLines="40" w:before="96" w:afterLines="40" w:after="96"/>
              <w:rPr>
                <w:lang w:val="en-US"/>
              </w:rPr>
            </w:pPr>
            <w:r w:rsidRPr="00164F5E">
              <w:rPr>
                <w:lang w:val="en-US"/>
              </w:rPr>
              <w:t xml:space="preserve">II.1. </w:t>
            </w:r>
            <w:r w:rsidRPr="00164F5E">
              <w:rPr>
                <w:bCs/>
                <w:color w:val="000000"/>
                <w:lang w:val="en-US"/>
              </w:rPr>
              <w:t>Define the regulatory and legal framework to contribute to a more effective power sector with increased efficiency, transparency and accountability.</w:t>
            </w:r>
          </w:p>
        </w:tc>
        <w:tc>
          <w:tcPr>
            <w:tcW w:w="1234" w:type="dxa"/>
          </w:tcPr>
          <w:p w:rsidR="008A1D1F" w:rsidRPr="0079157D" w:rsidRDefault="008A1D1F" w:rsidP="0079157D">
            <w:pPr>
              <w:pStyle w:val="Default"/>
              <w:numPr>
                <w:ilvl w:val="0"/>
                <w:numId w:val="16"/>
              </w:numPr>
              <w:tabs>
                <w:tab w:val="left" w:pos="-41"/>
                <w:tab w:val="left" w:pos="0"/>
                <w:tab w:val="left" w:pos="62"/>
                <w:tab w:val="left" w:pos="152"/>
              </w:tabs>
              <w:spacing w:before="60" w:after="60"/>
              <w:ind w:left="0" w:hanging="81"/>
              <w:rPr>
                <w:sz w:val="20"/>
                <w:szCs w:val="20"/>
              </w:rPr>
            </w:pPr>
            <w:r w:rsidRPr="0079157D">
              <w:rPr>
                <w:sz w:val="20"/>
                <w:szCs w:val="20"/>
              </w:rPr>
              <w:t>Suriname has policy and legal framework in place to implement Sustainable Energy Framework</w:t>
            </w:r>
          </w:p>
          <w:p w:rsidR="008A1D1F" w:rsidRPr="00164F5E" w:rsidRDefault="008A1D1F" w:rsidP="0079157D">
            <w:pPr>
              <w:pStyle w:val="Default"/>
              <w:tabs>
                <w:tab w:val="left" w:pos="-41"/>
                <w:tab w:val="left" w:pos="0"/>
              </w:tabs>
              <w:spacing w:before="60" w:after="60"/>
              <w:ind w:hanging="81"/>
              <w:rPr>
                <w:sz w:val="20"/>
                <w:szCs w:val="20"/>
              </w:rPr>
            </w:pPr>
          </w:p>
        </w:tc>
        <w:tc>
          <w:tcPr>
            <w:tcW w:w="1109" w:type="dxa"/>
          </w:tcPr>
          <w:p w:rsidR="008A1D1F" w:rsidRPr="00164F5E" w:rsidRDefault="008A1D1F" w:rsidP="0079157D">
            <w:pPr>
              <w:pStyle w:val="Default"/>
              <w:spacing w:before="60" w:after="60"/>
              <w:ind w:left="-9"/>
              <w:rPr>
                <w:sz w:val="20"/>
                <w:szCs w:val="20"/>
              </w:rPr>
            </w:pPr>
            <w:r w:rsidRPr="00164F5E">
              <w:rPr>
                <w:sz w:val="20"/>
                <w:szCs w:val="20"/>
              </w:rPr>
              <w:t>Electricity Law or equivalent instrument approved by Parliament</w:t>
            </w:r>
            <w:r w:rsidRPr="00164F5E" w:rsidDel="00833A61">
              <w:rPr>
                <w:sz w:val="20"/>
                <w:szCs w:val="20"/>
              </w:rPr>
              <w:t xml:space="preserve"> </w:t>
            </w:r>
          </w:p>
        </w:tc>
        <w:tc>
          <w:tcPr>
            <w:tcW w:w="1534" w:type="dxa"/>
            <w:gridSpan w:val="2"/>
          </w:tcPr>
          <w:p w:rsidR="008A1D1F" w:rsidRPr="00164F5E" w:rsidRDefault="008A1D1F" w:rsidP="0079157D">
            <w:pPr>
              <w:pStyle w:val="BodyText"/>
              <w:spacing w:before="60" w:after="60"/>
              <w:ind w:left="-9"/>
              <w:rPr>
                <w:b/>
                <w:sz w:val="20"/>
                <w:szCs w:val="20"/>
              </w:rPr>
            </w:pPr>
          </w:p>
          <w:p w:rsidR="008A1D1F" w:rsidRPr="00164F5E" w:rsidRDefault="008A1D1F" w:rsidP="0079157D">
            <w:pPr>
              <w:pStyle w:val="Default"/>
              <w:spacing w:before="60" w:after="60"/>
              <w:ind w:left="-9"/>
              <w:rPr>
                <w:sz w:val="20"/>
                <w:szCs w:val="20"/>
              </w:rPr>
            </w:pPr>
            <w:r w:rsidRPr="00164F5E">
              <w:rPr>
                <w:color w:val="auto"/>
                <w:sz w:val="20"/>
                <w:szCs w:val="20"/>
              </w:rPr>
              <w:t>Baseline (2011): 0</w:t>
            </w:r>
          </w:p>
        </w:tc>
        <w:tc>
          <w:tcPr>
            <w:tcW w:w="1483" w:type="dxa"/>
            <w:gridSpan w:val="2"/>
          </w:tcPr>
          <w:p w:rsidR="008A1D1F" w:rsidRPr="00164F5E" w:rsidRDefault="008A1D1F" w:rsidP="0079157D">
            <w:pPr>
              <w:pStyle w:val="Default"/>
              <w:spacing w:before="60" w:after="60"/>
              <w:ind w:left="-9"/>
              <w:rPr>
                <w:color w:val="auto"/>
                <w:sz w:val="20"/>
                <w:szCs w:val="20"/>
              </w:rPr>
            </w:pPr>
          </w:p>
          <w:p w:rsidR="008A1D1F" w:rsidRPr="00164F5E" w:rsidRDefault="008A1D1F" w:rsidP="0079157D">
            <w:pPr>
              <w:pStyle w:val="Default"/>
              <w:spacing w:before="60" w:after="60"/>
              <w:ind w:left="-9"/>
              <w:rPr>
                <w:color w:val="auto"/>
                <w:sz w:val="20"/>
                <w:szCs w:val="20"/>
              </w:rPr>
            </w:pPr>
            <w:r w:rsidRPr="00164F5E">
              <w:rPr>
                <w:color w:val="auto"/>
                <w:sz w:val="20"/>
                <w:szCs w:val="20"/>
              </w:rPr>
              <w:t>1</w:t>
            </w:r>
          </w:p>
        </w:tc>
        <w:tc>
          <w:tcPr>
            <w:tcW w:w="1244" w:type="dxa"/>
            <w:gridSpan w:val="2"/>
          </w:tcPr>
          <w:p w:rsidR="008A1D1F" w:rsidRPr="00164F5E" w:rsidRDefault="008A1D1F" w:rsidP="0079157D">
            <w:pPr>
              <w:pStyle w:val="Default"/>
              <w:spacing w:before="60" w:after="60"/>
              <w:ind w:left="106" w:hanging="160"/>
              <w:rPr>
                <w:color w:val="auto"/>
                <w:sz w:val="20"/>
                <w:szCs w:val="20"/>
              </w:rPr>
            </w:pPr>
          </w:p>
          <w:p w:rsidR="008A1D1F" w:rsidRPr="00164F5E" w:rsidRDefault="008A1D1F" w:rsidP="0079157D">
            <w:pPr>
              <w:pStyle w:val="Default"/>
              <w:spacing w:before="60" w:after="60"/>
              <w:ind w:left="106" w:hanging="160"/>
              <w:rPr>
                <w:color w:val="auto"/>
                <w:sz w:val="20"/>
                <w:szCs w:val="20"/>
              </w:rPr>
            </w:pPr>
            <w:r w:rsidRPr="00164F5E">
              <w:rPr>
                <w:color w:val="auto"/>
                <w:sz w:val="20"/>
                <w:szCs w:val="20"/>
              </w:rPr>
              <w:t>Report MNH</w:t>
            </w:r>
          </w:p>
        </w:tc>
      </w:tr>
      <w:tr w:rsidR="0079157D" w:rsidRPr="00164F5E" w:rsidTr="0079157D">
        <w:trPr>
          <w:cantSplit/>
          <w:trHeight w:val="1130"/>
          <w:jc w:val="center"/>
        </w:trPr>
        <w:tc>
          <w:tcPr>
            <w:tcW w:w="2464" w:type="dxa"/>
            <w:vMerge w:val="restart"/>
          </w:tcPr>
          <w:p w:rsidR="0079157D" w:rsidRPr="00164F5E" w:rsidRDefault="0079157D" w:rsidP="0079157D">
            <w:pPr>
              <w:pStyle w:val="Header"/>
              <w:spacing w:beforeLines="40" w:before="96" w:afterLines="40" w:after="96"/>
              <w:rPr>
                <w:lang w:val="en-US"/>
              </w:rPr>
            </w:pPr>
            <w:r w:rsidRPr="00164F5E">
              <w:rPr>
                <w:lang w:val="en-US"/>
              </w:rPr>
              <w:t xml:space="preserve">II.2. </w:t>
            </w:r>
            <w:r w:rsidRPr="00164F5E">
              <w:rPr>
                <w:bCs/>
                <w:color w:val="000000"/>
                <w:lang w:val="en-US"/>
              </w:rPr>
              <w:t>Implementation of institutions with a view to having a commercially-based operation and clear social, economic and financial incentives to achieve efficiency.</w:t>
            </w:r>
          </w:p>
        </w:tc>
        <w:tc>
          <w:tcPr>
            <w:tcW w:w="1234" w:type="dxa"/>
          </w:tcPr>
          <w:p w:rsidR="0079157D" w:rsidRPr="00164F5E" w:rsidRDefault="0079157D" w:rsidP="0079157D">
            <w:pPr>
              <w:pStyle w:val="Default"/>
              <w:numPr>
                <w:ilvl w:val="0"/>
                <w:numId w:val="16"/>
              </w:numPr>
              <w:tabs>
                <w:tab w:val="left" w:pos="-41"/>
                <w:tab w:val="left" w:pos="0"/>
                <w:tab w:val="left" w:pos="62"/>
                <w:tab w:val="left" w:pos="152"/>
              </w:tabs>
              <w:spacing w:before="60" w:after="60"/>
              <w:ind w:left="0" w:hanging="81"/>
              <w:rPr>
                <w:color w:val="auto"/>
                <w:sz w:val="20"/>
                <w:szCs w:val="20"/>
              </w:rPr>
            </w:pPr>
            <w:r w:rsidRPr="00164F5E">
              <w:rPr>
                <w:sz w:val="20"/>
                <w:szCs w:val="20"/>
              </w:rPr>
              <w:t>Tariff structure is based on price setting principles for electricity implemented by EBS improves cost recovery allowing positive operating results</w:t>
            </w:r>
          </w:p>
        </w:tc>
        <w:tc>
          <w:tcPr>
            <w:tcW w:w="1109" w:type="dxa"/>
          </w:tcPr>
          <w:p w:rsidR="0079157D" w:rsidRPr="00164F5E" w:rsidRDefault="0079157D" w:rsidP="0079157D">
            <w:pPr>
              <w:pStyle w:val="Default"/>
              <w:spacing w:before="60" w:after="60"/>
              <w:ind w:left="-9"/>
              <w:rPr>
                <w:sz w:val="20"/>
                <w:szCs w:val="20"/>
              </w:rPr>
            </w:pPr>
          </w:p>
          <w:p w:rsidR="0079157D" w:rsidRPr="00164F5E" w:rsidRDefault="0079157D" w:rsidP="0079157D">
            <w:pPr>
              <w:pStyle w:val="Default"/>
              <w:spacing w:before="60" w:after="60"/>
              <w:ind w:left="-9"/>
              <w:rPr>
                <w:sz w:val="20"/>
                <w:szCs w:val="20"/>
              </w:rPr>
            </w:pPr>
            <w:r w:rsidRPr="00164F5E">
              <w:rPr>
                <w:i/>
                <w:color w:val="auto"/>
                <w:sz w:val="20"/>
                <w:szCs w:val="20"/>
              </w:rPr>
              <w:t>EBS Net operating results</w:t>
            </w:r>
          </w:p>
        </w:tc>
        <w:tc>
          <w:tcPr>
            <w:tcW w:w="1534" w:type="dxa"/>
            <w:gridSpan w:val="2"/>
          </w:tcPr>
          <w:p w:rsidR="0079157D" w:rsidRPr="00164F5E" w:rsidRDefault="0079157D" w:rsidP="0079157D">
            <w:pPr>
              <w:pStyle w:val="Default"/>
              <w:spacing w:before="60" w:after="60"/>
              <w:ind w:left="-9"/>
              <w:rPr>
                <w:sz w:val="20"/>
                <w:szCs w:val="20"/>
              </w:rPr>
            </w:pPr>
            <w:r w:rsidRPr="00164F5E">
              <w:rPr>
                <w:i/>
                <w:color w:val="auto"/>
                <w:sz w:val="20"/>
                <w:szCs w:val="20"/>
              </w:rPr>
              <w:t xml:space="preserve">Baseline (2010):Negative </w:t>
            </w:r>
            <w:r w:rsidRPr="00164F5E">
              <w:rPr>
                <w:sz w:val="20"/>
                <w:szCs w:val="20"/>
              </w:rPr>
              <w:t xml:space="preserve"> </w:t>
            </w:r>
            <w:r w:rsidRPr="00164F5E">
              <w:rPr>
                <w:i/>
                <w:color w:val="auto"/>
                <w:sz w:val="20"/>
                <w:szCs w:val="20"/>
              </w:rPr>
              <w:t>SRD 118 million</w:t>
            </w:r>
          </w:p>
          <w:p w:rsidR="0079157D" w:rsidRPr="00164F5E" w:rsidRDefault="0079157D" w:rsidP="0079157D">
            <w:pPr>
              <w:pStyle w:val="Default"/>
              <w:ind w:left="-9"/>
              <w:rPr>
                <w:sz w:val="20"/>
                <w:szCs w:val="20"/>
              </w:rPr>
            </w:pPr>
          </w:p>
          <w:p w:rsidR="0079157D" w:rsidRPr="00164F5E" w:rsidRDefault="0079157D" w:rsidP="0079157D">
            <w:pPr>
              <w:pStyle w:val="BodyText"/>
              <w:spacing w:before="60" w:after="60"/>
              <w:ind w:left="-9"/>
              <w:rPr>
                <w:b/>
                <w:sz w:val="20"/>
                <w:szCs w:val="20"/>
              </w:rPr>
            </w:pPr>
          </w:p>
        </w:tc>
        <w:tc>
          <w:tcPr>
            <w:tcW w:w="1483" w:type="dxa"/>
            <w:gridSpan w:val="2"/>
          </w:tcPr>
          <w:p w:rsidR="0079157D" w:rsidRPr="00164F5E" w:rsidRDefault="0079157D" w:rsidP="0079157D">
            <w:pPr>
              <w:pStyle w:val="Default"/>
              <w:spacing w:before="60" w:after="60"/>
              <w:ind w:left="-9"/>
              <w:rPr>
                <w:color w:val="auto"/>
                <w:sz w:val="20"/>
                <w:szCs w:val="20"/>
              </w:rPr>
            </w:pPr>
            <w:r w:rsidRPr="00164F5E">
              <w:rPr>
                <w:i/>
                <w:sz w:val="20"/>
                <w:szCs w:val="20"/>
              </w:rPr>
              <w:t>EBS Net operating results positive</w:t>
            </w:r>
          </w:p>
        </w:tc>
        <w:tc>
          <w:tcPr>
            <w:tcW w:w="1244" w:type="dxa"/>
            <w:gridSpan w:val="2"/>
          </w:tcPr>
          <w:p w:rsidR="0079157D" w:rsidRPr="00164F5E" w:rsidRDefault="0079157D" w:rsidP="0079157D">
            <w:pPr>
              <w:pStyle w:val="Default"/>
              <w:spacing w:before="60" w:after="60"/>
              <w:ind w:left="106" w:hanging="160"/>
              <w:rPr>
                <w:color w:val="auto"/>
                <w:sz w:val="20"/>
                <w:szCs w:val="20"/>
              </w:rPr>
            </w:pPr>
            <w:r w:rsidRPr="00164F5E">
              <w:rPr>
                <w:sz w:val="20"/>
                <w:szCs w:val="20"/>
              </w:rPr>
              <w:t>Report EBS</w:t>
            </w:r>
          </w:p>
        </w:tc>
      </w:tr>
      <w:tr w:rsidR="0079157D" w:rsidRPr="00164F5E" w:rsidTr="0079157D">
        <w:trPr>
          <w:cantSplit/>
          <w:trHeight w:val="2637"/>
          <w:jc w:val="center"/>
        </w:trPr>
        <w:tc>
          <w:tcPr>
            <w:tcW w:w="2464" w:type="dxa"/>
            <w:vMerge/>
          </w:tcPr>
          <w:p w:rsidR="0079157D" w:rsidRPr="00164F5E" w:rsidRDefault="0079157D" w:rsidP="0079157D">
            <w:pPr>
              <w:pStyle w:val="Header"/>
              <w:spacing w:beforeLines="40" w:before="96" w:afterLines="40" w:after="96"/>
              <w:rPr>
                <w:lang w:val="en-US"/>
              </w:rPr>
            </w:pPr>
          </w:p>
        </w:tc>
        <w:tc>
          <w:tcPr>
            <w:tcW w:w="1234" w:type="dxa"/>
          </w:tcPr>
          <w:p w:rsidR="0079157D" w:rsidRPr="00164F5E" w:rsidRDefault="0079157D" w:rsidP="0079157D">
            <w:pPr>
              <w:pStyle w:val="Default"/>
              <w:numPr>
                <w:ilvl w:val="0"/>
                <w:numId w:val="16"/>
              </w:numPr>
              <w:tabs>
                <w:tab w:val="left" w:pos="-41"/>
                <w:tab w:val="left" w:pos="0"/>
                <w:tab w:val="left" w:pos="62"/>
                <w:tab w:val="left" w:pos="152"/>
              </w:tabs>
              <w:spacing w:before="60" w:after="60"/>
              <w:ind w:left="0" w:hanging="81"/>
              <w:rPr>
                <w:sz w:val="20"/>
                <w:szCs w:val="20"/>
              </w:rPr>
            </w:pPr>
            <w:r w:rsidRPr="00164F5E">
              <w:rPr>
                <w:sz w:val="20"/>
                <w:szCs w:val="20"/>
              </w:rPr>
              <w:t>The Energy Sector has  planning and supervision capacities</w:t>
            </w:r>
          </w:p>
        </w:tc>
        <w:tc>
          <w:tcPr>
            <w:tcW w:w="1109" w:type="dxa"/>
          </w:tcPr>
          <w:p w:rsidR="0079157D" w:rsidRPr="00164F5E" w:rsidRDefault="0079157D" w:rsidP="0079157D">
            <w:pPr>
              <w:pStyle w:val="Default"/>
              <w:spacing w:before="60" w:after="60"/>
              <w:ind w:left="-9"/>
              <w:rPr>
                <w:sz w:val="20"/>
                <w:szCs w:val="20"/>
              </w:rPr>
            </w:pPr>
            <w:r w:rsidRPr="00164F5E">
              <w:rPr>
                <w:sz w:val="20"/>
                <w:szCs w:val="20"/>
              </w:rPr>
              <w:t xml:space="preserve">An Energy Sector agency is in place </w:t>
            </w:r>
          </w:p>
          <w:p w:rsidR="0079157D" w:rsidRPr="00164F5E" w:rsidRDefault="0079157D" w:rsidP="0079157D">
            <w:pPr>
              <w:pStyle w:val="Default"/>
              <w:spacing w:before="60" w:after="60"/>
              <w:ind w:left="-9"/>
              <w:rPr>
                <w:sz w:val="20"/>
                <w:szCs w:val="20"/>
              </w:rPr>
            </w:pPr>
          </w:p>
        </w:tc>
        <w:tc>
          <w:tcPr>
            <w:tcW w:w="1534" w:type="dxa"/>
            <w:gridSpan w:val="2"/>
          </w:tcPr>
          <w:p w:rsidR="0079157D" w:rsidRPr="00164F5E" w:rsidRDefault="0079157D" w:rsidP="0079157D">
            <w:pPr>
              <w:pStyle w:val="Default"/>
              <w:spacing w:before="60" w:after="60"/>
              <w:ind w:left="-9"/>
              <w:rPr>
                <w:i/>
                <w:color w:val="auto"/>
                <w:sz w:val="20"/>
                <w:szCs w:val="20"/>
              </w:rPr>
            </w:pPr>
            <w:r w:rsidRPr="00164F5E">
              <w:rPr>
                <w:i/>
                <w:sz w:val="20"/>
                <w:szCs w:val="20"/>
              </w:rPr>
              <w:t xml:space="preserve">Baseline (2012): </w:t>
            </w:r>
            <w:r w:rsidRPr="00164F5E">
              <w:rPr>
                <w:sz w:val="20"/>
                <w:szCs w:val="20"/>
              </w:rPr>
              <w:t>No energy sector agency that plans, supervises and oversees energy regulatory issues</w:t>
            </w:r>
          </w:p>
        </w:tc>
        <w:tc>
          <w:tcPr>
            <w:tcW w:w="1483" w:type="dxa"/>
            <w:gridSpan w:val="2"/>
          </w:tcPr>
          <w:p w:rsidR="0079157D" w:rsidRPr="00164F5E" w:rsidRDefault="0079157D" w:rsidP="0079157D">
            <w:pPr>
              <w:pStyle w:val="BodyText"/>
              <w:spacing w:before="60" w:after="60"/>
              <w:ind w:left="-9"/>
              <w:rPr>
                <w:sz w:val="20"/>
                <w:szCs w:val="20"/>
              </w:rPr>
            </w:pPr>
            <w:r w:rsidRPr="00164F5E">
              <w:rPr>
                <w:sz w:val="20"/>
                <w:szCs w:val="20"/>
              </w:rPr>
              <w:t>An energy sector agency that plans supervises and oversees regulatory issues of the sector in place.</w:t>
            </w:r>
          </w:p>
          <w:p w:rsidR="0079157D" w:rsidRPr="00164F5E" w:rsidRDefault="0079157D" w:rsidP="0079157D">
            <w:pPr>
              <w:pStyle w:val="Default"/>
              <w:spacing w:before="60" w:after="60"/>
              <w:ind w:left="-9"/>
              <w:rPr>
                <w:i/>
                <w:sz w:val="20"/>
                <w:szCs w:val="20"/>
              </w:rPr>
            </w:pPr>
          </w:p>
        </w:tc>
        <w:tc>
          <w:tcPr>
            <w:tcW w:w="1244" w:type="dxa"/>
            <w:gridSpan w:val="2"/>
          </w:tcPr>
          <w:p w:rsidR="0079157D" w:rsidRPr="00164F5E" w:rsidRDefault="0079157D" w:rsidP="0079157D">
            <w:pPr>
              <w:pStyle w:val="Default"/>
              <w:spacing w:before="60" w:after="60"/>
              <w:ind w:left="106" w:hanging="160"/>
              <w:rPr>
                <w:sz w:val="20"/>
                <w:szCs w:val="20"/>
              </w:rPr>
            </w:pPr>
            <w:r w:rsidRPr="00164F5E">
              <w:rPr>
                <w:sz w:val="20"/>
                <w:szCs w:val="20"/>
              </w:rPr>
              <w:t>MNH report presents public records stating the existence and operation of the energy agency</w:t>
            </w:r>
          </w:p>
        </w:tc>
      </w:tr>
      <w:tr w:rsidR="0079157D" w:rsidRPr="00164F5E" w:rsidTr="0079157D">
        <w:trPr>
          <w:cantSplit/>
          <w:trHeight w:val="2725"/>
          <w:jc w:val="center"/>
        </w:trPr>
        <w:tc>
          <w:tcPr>
            <w:tcW w:w="2464" w:type="dxa"/>
          </w:tcPr>
          <w:p w:rsidR="008A1D1F" w:rsidRPr="00164F5E" w:rsidRDefault="008A1D1F" w:rsidP="0079157D">
            <w:pPr>
              <w:pStyle w:val="Header"/>
              <w:spacing w:beforeLines="40" w:before="96" w:afterLines="40" w:after="96"/>
              <w:rPr>
                <w:lang w:val="en-US"/>
              </w:rPr>
            </w:pPr>
            <w:r w:rsidRPr="00164F5E">
              <w:rPr>
                <w:lang w:val="en-US"/>
              </w:rPr>
              <w:lastRenderedPageBreak/>
              <w:t xml:space="preserve">II.3. </w:t>
            </w:r>
            <w:r w:rsidRPr="00164F5E">
              <w:rPr>
                <w:bCs/>
                <w:color w:val="000000"/>
                <w:lang w:val="en-US"/>
              </w:rPr>
              <w:t>Update the expansion strategy of the sector to improve supply efficiency.</w:t>
            </w:r>
          </w:p>
        </w:tc>
        <w:tc>
          <w:tcPr>
            <w:tcW w:w="1234" w:type="dxa"/>
          </w:tcPr>
          <w:p w:rsidR="008A1D1F" w:rsidRPr="00164F5E" w:rsidRDefault="008A1D1F" w:rsidP="0079157D">
            <w:pPr>
              <w:pStyle w:val="Default"/>
              <w:numPr>
                <w:ilvl w:val="0"/>
                <w:numId w:val="16"/>
              </w:numPr>
              <w:tabs>
                <w:tab w:val="left" w:pos="-41"/>
                <w:tab w:val="left" w:pos="0"/>
                <w:tab w:val="left" w:pos="62"/>
                <w:tab w:val="left" w:pos="152"/>
              </w:tabs>
              <w:spacing w:before="60" w:after="60"/>
              <w:ind w:left="0" w:hanging="81"/>
              <w:rPr>
                <w:color w:val="auto"/>
                <w:sz w:val="20"/>
                <w:szCs w:val="20"/>
              </w:rPr>
            </w:pPr>
            <w:r w:rsidRPr="0079157D">
              <w:rPr>
                <w:sz w:val="20"/>
                <w:szCs w:val="20"/>
              </w:rPr>
              <w:t>Suriname has technical capacity to implement the Sustainable Energy Framework, including alternative power sources.</w:t>
            </w:r>
          </w:p>
        </w:tc>
        <w:tc>
          <w:tcPr>
            <w:tcW w:w="1109" w:type="dxa"/>
          </w:tcPr>
          <w:p w:rsidR="008A1D1F" w:rsidRPr="00164F5E" w:rsidRDefault="008A1D1F" w:rsidP="0079157D">
            <w:pPr>
              <w:pStyle w:val="Default"/>
              <w:spacing w:before="60" w:after="60"/>
              <w:ind w:left="-9"/>
              <w:rPr>
                <w:color w:val="auto"/>
                <w:sz w:val="20"/>
                <w:szCs w:val="20"/>
              </w:rPr>
            </w:pPr>
            <w:r w:rsidRPr="00164F5E">
              <w:rPr>
                <w:color w:val="auto"/>
                <w:sz w:val="20"/>
                <w:szCs w:val="20"/>
              </w:rPr>
              <w:t xml:space="preserve">New model of contract used for the purchase of additional power. </w:t>
            </w:r>
          </w:p>
        </w:tc>
        <w:tc>
          <w:tcPr>
            <w:tcW w:w="1534" w:type="dxa"/>
            <w:gridSpan w:val="2"/>
          </w:tcPr>
          <w:p w:rsidR="008A1D1F" w:rsidRPr="00164F5E" w:rsidRDefault="008A1D1F" w:rsidP="0079157D">
            <w:pPr>
              <w:pStyle w:val="Default"/>
              <w:spacing w:before="60" w:after="60"/>
              <w:ind w:left="-9"/>
              <w:rPr>
                <w:i/>
                <w:sz w:val="20"/>
                <w:szCs w:val="20"/>
              </w:rPr>
            </w:pPr>
            <w:r w:rsidRPr="00164F5E">
              <w:rPr>
                <w:i/>
                <w:sz w:val="20"/>
                <w:szCs w:val="20"/>
              </w:rPr>
              <w:t xml:space="preserve">Baseline (2012): </w:t>
            </w:r>
            <w:r w:rsidRPr="00164F5E">
              <w:rPr>
                <w:sz w:val="20"/>
                <w:szCs w:val="20"/>
              </w:rPr>
              <w:t>No model of contract used for the purchase of additional power</w:t>
            </w:r>
          </w:p>
        </w:tc>
        <w:tc>
          <w:tcPr>
            <w:tcW w:w="1483" w:type="dxa"/>
            <w:gridSpan w:val="2"/>
          </w:tcPr>
          <w:p w:rsidR="008A1D1F" w:rsidRPr="00164F5E" w:rsidRDefault="008A1D1F" w:rsidP="0079157D">
            <w:pPr>
              <w:pStyle w:val="BodyText"/>
              <w:spacing w:before="60" w:after="60"/>
              <w:ind w:left="-9"/>
              <w:rPr>
                <w:sz w:val="20"/>
                <w:szCs w:val="20"/>
              </w:rPr>
            </w:pPr>
            <w:r w:rsidRPr="00164F5E">
              <w:rPr>
                <w:sz w:val="20"/>
                <w:szCs w:val="20"/>
              </w:rPr>
              <w:t>One power purchased contract is based on reviewed PPA model</w:t>
            </w:r>
          </w:p>
        </w:tc>
        <w:tc>
          <w:tcPr>
            <w:tcW w:w="1244" w:type="dxa"/>
            <w:gridSpan w:val="2"/>
          </w:tcPr>
          <w:p w:rsidR="008A1D1F" w:rsidRPr="00164F5E" w:rsidRDefault="008A1D1F" w:rsidP="0079157D">
            <w:pPr>
              <w:pStyle w:val="BodyText"/>
              <w:spacing w:beforeLines="40" w:before="96" w:afterLines="40" w:after="96"/>
              <w:ind w:left="106" w:hanging="160"/>
              <w:rPr>
                <w:sz w:val="20"/>
                <w:szCs w:val="20"/>
              </w:rPr>
            </w:pPr>
            <w:r w:rsidRPr="00164F5E">
              <w:rPr>
                <w:sz w:val="20"/>
                <w:szCs w:val="20"/>
              </w:rPr>
              <w:t>Report EBS</w:t>
            </w:r>
          </w:p>
        </w:tc>
      </w:tr>
      <w:tr w:rsidR="008A1D1F" w:rsidRPr="00164F5E" w:rsidTr="0079157D">
        <w:trPr>
          <w:cantSplit/>
          <w:trHeight w:val="122"/>
          <w:jc w:val="center"/>
        </w:trPr>
        <w:tc>
          <w:tcPr>
            <w:tcW w:w="9068" w:type="dxa"/>
            <w:gridSpan w:val="9"/>
          </w:tcPr>
          <w:p w:rsidR="008A1D1F" w:rsidRPr="00164F5E" w:rsidRDefault="008A1D1F" w:rsidP="0079157D">
            <w:pPr>
              <w:pStyle w:val="Default"/>
              <w:tabs>
                <w:tab w:val="center" w:pos="4320"/>
                <w:tab w:val="right" w:pos="8640"/>
              </w:tabs>
              <w:spacing w:before="96" w:after="96"/>
              <w:rPr>
                <w:b/>
                <w:color w:val="auto"/>
                <w:sz w:val="20"/>
                <w:szCs w:val="20"/>
              </w:rPr>
            </w:pPr>
            <w:r w:rsidRPr="00164F5E">
              <w:rPr>
                <w:b/>
                <w:bCs/>
                <w:sz w:val="20"/>
                <w:szCs w:val="20"/>
              </w:rPr>
              <w:t>III. Strengthen sector corporate capabilities</w:t>
            </w:r>
          </w:p>
        </w:tc>
      </w:tr>
      <w:tr w:rsidR="0079157D" w:rsidRPr="00164F5E" w:rsidTr="0079157D">
        <w:trPr>
          <w:gridAfter w:val="1"/>
          <w:wAfter w:w="16" w:type="dxa"/>
          <w:cantSplit/>
          <w:trHeight w:val="857"/>
          <w:jc w:val="center"/>
        </w:trPr>
        <w:tc>
          <w:tcPr>
            <w:tcW w:w="2464" w:type="dxa"/>
            <w:vMerge w:val="restart"/>
          </w:tcPr>
          <w:p w:rsidR="008A1D1F" w:rsidRPr="00164F5E" w:rsidRDefault="008A1D1F" w:rsidP="0079157D">
            <w:pPr>
              <w:pStyle w:val="Header"/>
              <w:spacing w:beforeLines="40" w:before="96" w:afterLines="40" w:after="96"/>
              <w:rPr>
                <w:lang w:val="en-US"/>
              </w:rPr>
            </w:pPr>
            <w:r w:rsidRPr="00164F5E">
              <w:rPr>
                <w:color w:val="000000"/>
                <w:lang w:val="en-US"/>
              </w:rPr>
              <w:t>III.1 Strengthen utility’s capabilities to operate by contributing to improvements in technical tools and corporate governance, transparency and accountability.</w:t>
            </w:r>
          </w:p>
          <w:p w:rsidR="008A1D1F" w:rsidRPr="00164F5E" w:rsidRDefault="008A1D1F" w:rsidP="0079157D">
            <w:pPr>
              <w:pStyle w:val="Header"/>
              <w:spacing w:beforeLines="40" w:before="96" w:afterLines="40" w:after="96"/>
              <w:rPr>
                <w:color w:val="000000"/>
                <w:lang w:val="en-US"/>
              </w:rPr>
            </w:pPr>
          </w:p>
          <w:p w:rsidR="008A1D1F" w:rsidRPr="00164F5E" w:rsidRDefault="008A1D1F" w:rsidP="0079157D">
            <w:pPr>
              <w:pStyle w:val="Header"/>
              <w:spacing w:beforeLines="40" w:before="96" w:afterLines="40" w:after="96"/>
              <w:rPr>
                <w:lang w:val="en-US"/>
              </w:rPr>
            </w:pPr>
          </w:p>
        </w:tc>
        <w:tc>
          <w:tcPr>
            <w:tcW w:w="1234" w:type="dxa"/>
          </w:tcPr>
          <w:p w:rsidR="008A1D1F" w:rsidRPr="00164F5E" w:rsidRDefault="008A1D1F" w:rsidP="0079157D">
            <w:pPr>
              <w:pStyle w:val="Default"/>
              <w:numPr>
                <w:ilvl w:val="0"/>
                <w:numId w:val="16"/>
              </w:numPr>
              <w:tabs>
                <w:tab w:val="left" w:pos="-41"/>
                <w:tab w:val="left" w:pos="0"/>
                <w:tab w:val="left" w:pos="62"/>
                <w:tab w:val="left" w:pos="152"/>
              </w:tabs>
              <w:spacing w:before="60" w:after="60"/>
              <w:ind w:left="0" w:hanging="81"/>
              <w:rPr>
                <w:sz w:val="20"/>
                <w:szCs w:val="20"/>
              </w:rPr>
            </w:pPr>
            <w:r w:rsidRPr="00164F5E">
              <w:rPr>
                <w:sz w:val="20"/>
                <w:szCs w:val="20"/>
              </w:rPr>
              <w:t>EBS has strengthened its transparency, governance and accountability improving productivity</w:t>
            </w:r>
          </w:p>
          <w:p w:rsidR="008A1D1F" w:rsidRPr="00164F5E" w:rsidRDefault="008A1D1F" w:rsidP="0079157D">
            <w:pPr>
              <w:pStyle w:val="Default"/>
              <w:numPr>
                <w:ilvl w:val="0"/>
                <w:numId w:val="16"/>
              </w:numPr>
              <w:tabs>
                <w:tab w:val="left" w:pos="-41"/>
                <w:tab w:val="left" w:pos="0"/>
                <w:tab w:val="left" w:pos="62"/>
                <w:tab w:val="left" w:pos="152"/>
              </w:tabs>
              <w:spacing w:before="60" w:after="60"/>
              <w:ind w:left="0" w:hanging="81"/>
              <w:rPr>
                <w:sz w:val="20"/>
                <w:szCs w:val="20"/>
              </w:rPr>
            </w:pPr>
          </w:p>
        </w:tc>
        <w:tc>
          <w:tcPr>
            <w:tcW w:w="1109" w:type="dxa"/>
            <w:vAlign w:val="center"/>
          </w:tcPr>
          <w:p w:rsidR="008A1D1F" w:rsidRPr="00164F5E" w:rsidRDefault="008A1D1F" w:rsidP="0079157D">
            <w:pPr>
              <w:pStyle w:val="Default"/>
              <w:ind w:left="-9"/>
              <w:rPr>
                <w:b/>
                <w:sz w:val="20"/>
                <w:szCs w:val="20"/>
              </w:rPr>
            </w:pPr>
            <w:r w:rsidRPr="00164F5E">
              <w:rPr>
                <w:sz w:val="20"/>
                <w:szCs w:val="20"/>
              </w:rPr>
              <w:t>Energy sold per employee</w:t>
            </w:r>
          </w:p>
        </w:tc>
        <w:tc>
          <w:tcPr>
            <w:tcW w:w="1527" w:type="dxa"/>
            <w:vAlign w:val="center"/>
          </w:tcPr>
          <w:p w:rsidR="008A1D1F" w:rsidRPr="00164F5E" w:rsidRDefault="008A1D1F" w:rsidP="0079157D">
            <w:pPr>
              <w:pStyle w:val="BodyText"/>
              <w:spacing w:beforeLines="40" w:before="96" w:afterLines="40" w:after="96"/>
              <w:ind w:left="-9"/>
              <w:rPr>
                <w:i/>
                <w:sz w:val="20"/>
                <w:szCs w:val="20"/>
              </w:rPr>
            </w:pPr>
            <w:r w:rsidRPr="00164F5E">
              <w:rPr>
                <w:i/>
                <w:sz w:val="20"/>
                <w:szCs w:val="20"/>
              </w:rPr>
              <w:t>Baseline (2011): 1-GWh/employee</w:t>
            </w:r>
          </w:p>
        </w:tc>
        <w:tc>
          <w:tcPr>
            <w:tcW w:w="1466" w:type="dxa"/>
            <w:gridSpan w:val="2"/>
            <w:vAlign w:val="center"/>
          </w:tcPr>
          <w:p w:rsidR="008A1D1F" w:rsidRPr="00164F5E" w:rsidRDefault="008A1D1F" w:rsidP="0079157D">
            <w:pPr>
              <w:pStyle w:val="BodyText"/>
              <w:spacing w:beforeLines="40" w:before="96" w:afterLines="40" w:after="96"/>
              <w:ind w:left="-9"/>
              <w:rPr>
                <w:i/>
                <w:sz w:val="20"/>
                <w:szCs w:val="20"/>
              </w:rPr>
            </w:pPr>
            <w:r w:rsidRPr="00164F5E">
              <w:rPr>
                <w:i/>
                <w:sz w:val="20"/>
                <w:szCs w:val="20"/>
              </w:rPr>
              <w:t>1.27-GWh/employee</w:t>
            </w:r>
          </w:p>
        </w:tc>
        <w:tc>
          <w:tcPr>
            <w:tcW w:w="1252" w:type="dxa"/>
            <w:gridSpan w:val="2"/>
            <w:vAlign w:val="center"/>
          </w:tcPr>
          <w:p w:rsidR="008A1D1F" w:rsidRPr="00164F5E" w:rsidRDefault="008A1D1F" w:rsidP="0079157D">
            <w:pPr>
              <w:pStyle w:val="BodyText"/>
              <w:spacing w:beforeLines="40" w:before="96" w:afterLines="40" w:after="96"/>
              <w:ind w:left="106" w:hanging="160"/>
              <w:rPr>
                <w:sz w:val="20"/>
                <w:szCs w:val="20"/>
              </w:rPr>
            </w:pPr>
            <w:r w:rsidRPr="00164F5E">
              <w:rPr>
                <w:sz w:val="20"/>
                <w:szCs w:val="20"/>
              </w:rPr>
              <w:t>Report Annual Report EBS</w:t>
            </w:r>
          </w:p>
        </w:tc>
      </w:tr>
      <w:tr w:rsidR="0079157D" w:rsidRPr="00164F5E" w:rsidTr="0079157D">
        <w:trPr>
          <w:gridAfter w:val="1"/>
          <w:wAfter w:w="16" w:type="dxa"/>
          <w:cantSplit/>
          <w:trHeight w:val="171"/>
          <w:jc w:val="center"/>
        </w:trPr>
        <w:tc>
          <w:tcPr>
            <w:tcW w:w="2464" w:type="dxa"/>
            <w:vMerge/>
          </w:tcPr>
          <w:p w:rsidR="008A1D1F" w:rsidRPr="00164F5E" w:rsidRDefault="008A1D1F" w:rsidP="0079157D">
            <w:pPr>
              <w:pStyle w:val="Header"/>
              <w:spacing w:beforeLines="40" w:before="96" w:afterLines="40" w:after="96"/>
              <w:rPr>
                <w:color w:val="000000"/>
                <w:lang w:val="en-US"/>
              </w:rPr>
            </w:pPr>
          </w:p>
        </w:tc>
        <w:tc>
          <w:tcPr>
            <w:tcW w:w="1234" w:type="dxa"/>
          </w:tcPr>
          <w:p w:rsidR="008A1D1F" w:rsidRPr="00164F5E" w:rsidRDefault="008A1D1F" w:rsidP="0079157D">
            <w:pPr>
              <w:pStyle w:val="Default"/>
              <w:numPr>
                <w:ilvl w:val="0"/>
                <w:numId w:val="16"/>
              </w:numPr>
              <w:tabs>
                <w:tab w:val="left" w:pos="-41"/>
                <w:tab w:val="left" w:pos="0"/>
                <w:tab w:val="left" w:pos="62"/>
                <w:tab w:val="left" w:pos="152"/>
              </w:tabs>
              <w:spacing w:before="60" w:after="60"/>
              <w:ind w:left="0" w:hanging="81"/>
              <w:rPr>
                <w:sz w:val="20"/>
                <w:szCs w:val="20"/>
              </w:rPr>
            </w:pPr>
            <w:r w:rsidRPr="00164F5E">
              <w:rPr>
                <w:sz w:val="20"/>
                <w:szCs w:val="20"/>
              </w:rPr>
              <w:t>Suriname has increased its  generation capacity</w:t>
            </w:r>
          </w:p>
        </w:tc>
        <w:tc>
          <w:tcPr>
            <w:tcW w:w="1109" w:type="dxa"/>
          </w:tcPr>
          <w:p w:rsidR="008A1D1F" w:rsidRPr="00164F5E" w:rsidRDefault="008A1D1F" w:rsidP="0079157D">
            <w:pPr>
              <w:pStyle w:val="Default"/>
              <w:spacing w:before="60" w:after="60"/>
              <w:ind w:left="-9"/>
              <w:rPr>
                <w:b/>
                <w:color w:val="auto"/>
                <w:sz w:val="20"/>
                <w:szCs w:val="20"/>
              </w:rPr>
            </w:pPr>
            <w:r w:rsidRPr="00164F5E">
              <w:rPr>
                <w:color w:val="auto"/>
                <w:sz w:val="20"/>
                <w:szCs w:val="20"/>
              </w:rPr>
              <w:t>Generation Capacity (MW)</w:t>
            </w:r>
          </w:p>
          <w:p w:rsidR="008A1D1F" w:rsidRPr="00164F5E" w:rsidRDefault="008A1D1F" w:rsidP="0079157D">
            <w:pPr>
              <w:pStyle w:val="Default"/>
              <w:ind w:left="-9"/>
              <w:rPr>
                <w:sz w:val="20"/>
                <w:szCs w:val="20"/>
              </w:rPr>
            </w:pPr>
          </w:p>
        </w:tc>
        <w:tc>
          <w:tcPr>
            <w:tcW w:w="1527" w:type="dxa"/>
          </w:tcPr>
          <w:p w:rsidR="008A1D1F" w:rsidRPr="00164F5E" w:rsidRDefault="008A1D1F" w:rsidP="0079157D">
            <w:pPr>
              <w:pStyle w:val="BodyText"/>
              <w:spacing w:beforeLines="40" w:before="96" w:afterLines="40" w:after="96"/>
              <w:ind w:left="-9"/>
              <w:rPr>
                <w:sz w:val="20"/>
                <w:szCs w:val="20"/>
              </w:rPr>
            </w:pPr>
            <w:r w:rsidRPr="00164F5E">
              <w:rPr>
                <w:i/>
                <w:sz w:val="20"/>
                <w:szCs w:val="20"/>
              </w:rPr>
              <w:t>Baseline (2012): 274</w:t>
            </w:r>
          </w:p>
        </w:tc>
        <w:tc>
          <w:tcPr>
            <w:tcW w:w="1466" w:type="dxa"/>
            <w:gridSpan w:val="2"/>
          </w:tcPr>
          <w:p w:rsidR="008A1D1F" w:rsidRPr="00164F5E" w:rsidRDefault="008A1D1F" w:rsidP="0079157D">
            <w:pPr>
              <w:pStyle w:val="BodyText"/>
              <w:spacing w:beforeLines="40" w:before="96" w:afterLines="40" w:after="96"/>
              <w:ind w:left="-9"/>
              <w:rPr>
                <w:sz w:val="20"/>
                <w:szCs w:val="20"/>
              </w:rPr>
            </w:pPr>
            <w:r w:rsidRPr="00164F5E">
              <w:rPr>
                <w:sz w:val="20"/>
                <w:szCs w:val="20"/>
              </w:rPr>
              <w:t>440</w:t>
            </w:r>
          </w:p>
        </w:tc>
        <w:tc>
          <w:tcPr>
            <w:tcW w:w="1252" w:type="dxa"/>
            <w:gridSpan w:val="2"/>
          </w:tcPr>
          <w:p w:rsidR="008A1D1F" w:rsidRPr="00164F5E" w:rsidRDefault="008A1D1F" w:rsidP="0079157D">
            <w:pPr>
              <w:pStyle w:val="BodyText"/>
              <w:spacing w:beforeLines="40" w:before="96" w:afterLines="40" w:after="96"/>
              <w:ind w:left="106" w:hanging="160"/>
              <w:rPr>
                <w:sz w:val="20"/>
                <w:szCs w:val="20"/>
              </w:rPr>
            </w:pPr>
            <w:r w:rsidRPr="00164F5E">
              <w:rPr>
                <w:sz w:val="20"/>
                <w:szCs w:val="20"/>
              </w:rPr>
              <w:t>Report MNH</w:t>
            </w:r>
          </w:p>
        </w:tc>
      </w:tr>
    </w:tbl>
    <w:p w:rsidR="008A1D1F" w:rsidRDefault="008A1D1F" w:rsidP="008A1D1F">
      <w:pPr>
        <w:spacing w:after="0" w:line="360" w:lineRule="auto"/>
        <w:jc w:val="both"/>
      </w:pPr>
    </w:p>
    <w:p w:rsidR="008A1D1F" w:rsidRDefault="008A1D1F" w:rsidP="008A1D1F">
      <w:pPr>
        <w:pStyle w:val="Heading2"/>
        <w:rPr>
          <w:rStyle w:val="SubtleEmphasis"/>
          <w:color w:val="auto"/>
        </w:rPr>
      </w:pPr>
      <w:bookmarkStart w:id="20" w:name="_Toc323827275"/>
      <w:bookmarkStart w:id="21" w:name="_Toc335830658"/>
      <w:r w:rsidRPr="007C18C4">
        <w:rPr>
          <w:rStyle w:val="SubtleEmphasis"/>
          <w:color w:val="auto"/>
        </w:rPr>
        <w:t>Evaluation Methodology</w:t>
      </w:r>
      <w:bookmarkEnd w:id="20"/>
      <w:bookmarkEnd w:id="21"/>
      <w:r w:rsidRPr="007C18C4">
        <w:rPr>
          <w:rStyle w:val="SubtleEmphasis"/>
          <w:color w:val="auto"/>
        </w:rPr>
        <w:t xml:space="preserve"> </w:t>
      </w:r>
    </w:p>
    <w:p w:rsidR="008A1D1F" w:rsidRPr="00287BB4" w:rsidRDefault="008A1D1F" w:rsidP="008A1D1F"/>
    <w:p w:rsidR="008A1D1F" w:rsidRDefault="008A1D1F" w:rsidP="008A1D1F">
      <w:pPr>
        <w:spacing w:after="0" w:line="360" w:lineRule="auto"/>
        <w:jc w:val="both"/>
      </w:pPr>
      <w:r w:rsidRPr="009C6F9D">
        <w:t xml:space="preserve">Once each operation has been completed and disbursed, the IDB Project Team and the MF will prepare a progress report, showing the evolution of results, with the objective of identifying progress and required additional support to fulfill the conditions. </w:t>
      </w:r>
      <w:r w:rsidRPr="008D15B5">
        <w:t xml:space="preserve">   </w:t>
      </w:r>
    </w:p>
    <w:p w:rsidR="008A1D1F" w:rsidRDefault="008A1D1F" w:rsidP="008A1D1F">
      <w:pPr>
        <w:spacing w:after="0" w:line="360" w:lineRule="auto"/>
        <w:jc w:val="both"/>
      </w:pPr>
    </w:p>
    <w:p w:rsidR="008A1D1F" w:rsidRDefault="008A1D1F" w:rsidP="008A1D1F">
      <w:pPr>
        <w:spacing w:after="0" w:line="360" w:lineRule="auto"/>
        <w:jc w:val="both"/>
      </w:pPr>
      <w:r>
        <w:t>A</w:t>
      </w:r>
      <w:r w:rsidRPr="00A75536">
        <w:t xml:space="preserve"> Project Completion Report (PCR) funded by the IDB, will be prepared six months after the last phase of the Program has been fully disbursed</w:t>
      </w:r>
      <w:r>
        <w:t xml:space="preserve"> and </w:t>
      </w:r>
      <w:r w:rsidRPr="00C144D7">
        <w:t>will be done through a before and after methodology.</w:t>
      </w:r>
      <w:r w:rsidRPr="00A75536">
        <w:t xml:space="preserve"> The PCR will evaluate </w:t>
      </w:r>
      <w:r>
        <w:t xml:space="preserve">results obtained by the Program and will include </w:t>
      </w:r>
      <w:r w:rsidRPr="00DB44FA">
        <w:rPr>
          <w:rFonts w:eastAsia="Times New Roman"/>
          <w:szCs w:val="20"/>
        </w:rPr>
        <w:t xml:space="preserve">an ex-post cost benefit analysis (CBA) of the </w:t>
      </w:r>
      <w:r>
        <w:rPr>
          <w:rFonts w:eastAsia="Times New Roman"/>
          <w:szCs w:val="20"/>
        </w:rPr>
        <w:t xml:space="preserve">three PBP </w:t>
      </w:r>
      <w:r w:rsidRPr="00DB44FA">
        <w:rPr>
          <w:rFonts w:eastAsia="Times New Roman"/>
          <w:szCs w:val="20"/>
        </w:rPr>
        <w:t>Program</w:t>
      </w:r>
      <w:r>
        <w:rPr>
          <w:rFonts w:eastAsia="Times New Roman"/>
          <w:szCs w:val="20"/>
        </w:rPr>
        <w:t>s</w:t>
      </w:r>
      <w:r w:rsidRPr="00DB44FA">
        <w:rPr>
          <w:rFonts w:eastAsia="Times New Roman"/>
          <w:szCs w:val="20"/>
        </w:rPr>
        <w:t xml:space="preserve">. </w:t>
      </w:r>
      <w:r>
        <w:t xml:space="preserve">It is important to note that the economic evaluation will be based on the costs and benefits of the programs supported by the PBP, and not on the amount of the grant, contrary to investment operation given that PBPs are a fungible resource which is not related directly to the </w:t>
      </w:r>
      <w:r w:rsidRPr="00850DA4">
        <w:rPr>
          <w:rFonts w:eastAsia="Times New Roman"/>
          <w:szCs w:val="20"/>
        </w:rPr>
        <w:t>programs</w:t>
      </w:r>
      <w:r>
        <w:t xml:space="preserve"> it supports. However, in many cases, the </w:t>
      </w:r>
      <w:r>
        <w:lastRenderedPageBreak/>
        <w:t xml:space="preserve">implementation of policy plays a crucial role in facilitating the execution of specific programs and projects and therefore has an economic value in its own right. </w:t>
      </w:r>
    </w:p>
    <w:p w:rsidR="008A1D1F" w:rsidRDefault="008A1D1F" w:rsidP="008A1D1F">
      <w:pPr>
        <w:spacing w:after="0" w:line="360" w:lineRule="auto"/>
        <w:jc w:val="both"/>
      </w:pPr>
    </w:p>
    <w:p w:rsidR="008A1D1F" w:rsidRDefault="008A1D1F" w:rsidP="008A1D1F">
      <w:pPr>
        <w:spacing w:after="0" w:line="360" w:lineRule="auto"/>
        <w:jc w:val="both"/>
      </w:pPr>
      <w:r w:rsidRPr="00737347">
        <w:t xml:space="preserve">The objective of </w:t>
      </w:r>
      <w:r>
        <w:t xml:space="preserve">the ex-post CBA will be to develop an </w:t>
      </w:r>
      <w:r w:rsidRPr="00737347">
        <w:t xml:space="preserve">economic evaluation </w:t>
      </w:r>
      <w:r>
        <w:t xml:space="preserve">of the Generation / Transmission </w:t>
      </w:r>
      <w:r w:rsidRPr="00737347">
        <w:t xml:space="preserve">expansion program of Surinam. </w:t>
      </w:r>
      <w:r>
        <w:t>The evaluation will</w:t>
      </w:r>
      <w:r w:rsidRPr="00737347">
        <w:t xml:space="preserve"> compare total investment, operation, maintenance and fuel costs of this Program with total associated benefits related to the increase of electricity consumption in the country</w:t>
      </w:r>
      <w:r>
        <w:t>.</w:t>
      </w:r>
    </w:p>
    <w:p w:rsidR="008A1D1F" w:rsidRDefault="008A1D1F" w:rsidP="008A1D1F">
      <w:pPr>
        <w:spacing w:after="0" w:line="360" w:lineRule="auto"/>
        <w:jc w:val="both"/>
      </w:pPr>
    </w:p>
    <w:p w:rsidR="008A1D1F" w:rsidRDefault="008A1D1F" w:rsidP="008A1D1F">
      <w:pPr>
        <w:spacing w:after="0" w:line="360" w:lineRule="auto"/>
        <w:jc w:val="both"/>
      </w:pPr>
      <w:r w:rsidRPr="008D15B5">
        <w:t xml:space="preserve">The ex-post CBA will follow the same methodology </w:t>
      </w:r>
      <w:r>
        <w:t xml:space="preserve">and model (SDDP) used for the ex-ante CBA. The base scenario, </w:t>
      </w:r>
      <w:r w:rsidRPr="008D15B5">
        <w:t>sensitivities and variables associated</w:t>
      </w:r>
      <w:r>
        <w:t xml:space="preserve"> </w:t>
      </w:r>
      <w:r w:rsidRPr="00C03712">
        <w:t xml:space="preserve">will be updated based on the information provided in </w:t>
      </w:r>
      <w:r>
        <w:t xml:space="preserve">the </w:t>
      </w:r>
      <w:r w:rsidRPr="00C03712">
        <w:t>progress reports.</w:t>
      </w:r>
      <w:r>
        <w:rPr>
          <w:rStyle w:val="FootnoteReference"/>
        </w:rPr>
        <w:footnoteReference w:id="2"/>
      </w:r>
      <w:r w:rsidRPr="008D15B5">
        <w:t xml:space="preserve"> </w:t>
      </w:r>
    </w:p>
    <w:p w:rsidR="008A1D1F" w:rsidRDefault="008A1D1F" w:rsidP="008A1D1F">
      <w:pPr>
        <w:spacing w:after="0" w:line="360" w:lineRule="auto"/>
        <w:jc w:val="both"/>
      </w:pPr>
    </w:p>
    <w:p w:rsidR="008A1D1F" w:rsidRDefault="008A1D1F" w:rsidP="008A1D1F">
      <w:pPr>
        <w:spacing w:after="0" w:line="360" w:lineRule="auto"/>
        <w:jc w:val="both"/>
      </w:pPr>
      <w:r>
        <w:t xml:space="preserve">The SDDP model will be used to simulate future Generation -Transmission system operation and expansion, to verify both the expansion requirements as well as the reliability of power supply (on monthly basis and in each of the buses attending local demands).  To determine the investment, operation, maintenance and fuel costs related to a reliable supply of the increment of electricity consumption in Suriname, the planning procedure of the expansion program will mainly focused to: a) identify the most efficient generation and transmission projects required to supply demand, and  its execution itinerary in order to estimate the flow of investment costs, and b) estimate the  future power dispatch in the power systems from to support the fuel and O&amp;M costs estimations.  SDDP simulations also will allow obtaining future dispatch of power plants and load flows in the transmission links from which transmission </w:t>
      </w:r>
      <w:proofErr w:type="gramStart"/>
      <w:r>
        <w:t>losses,</w:t>
      </w:r>
      <w:proofErr w:type="gramEnd"/>
      <w:r>
        <w:t xml:space="preserve"> fuel and O&amp;M costs are obtained. </w:t>
      </w:r>
    </w:p>
    <w:p w:rsidR="008A1D1F" w:rsidRDefault="008A1D1F" w:rsidP="008A1D1F">
      <w:pPr>
        <w:spacing w:after="0" w:line="360" w:lineRule="auto"/>
        <w:jc w:val="both"/>
      </w:pPr>
    </w:p>
    <w:p w:rsidR="008A1D1F" w:rsidRDefault="008A1D1F" w:rsidP="008A1D1F">
      <w:pPr>
        <w:spacing w:after="0" w:line="360" w:lineRule="auto"/>
        <w:jc w:val="both"/>
      </w:pPr>
      <w:r>
        <w:t xml:space="preserve">The SDDP model will be applied in a sequential manner to identify the required expansion itinerary of new power plants an lines and a final run will verify the adequacy of the future demand/supply balance on monthly basis and considering optimal power dispatch with transmission losses and constraints imposed by the transmission links (represented by maximum transmission capacities in each link and load flow </w:t>
      </w:r>
      <w:proofErr w:type="spellStart"/>
      <w:r>
        <w:t>Kirchhoffs</w:t>
      </w:r>
      <w:proofErr w:type="spellEnd"/>
      <w:r>
        <w:t xml:space="preserve"> Laws through DC simplified load.  </w:t>
      </w:r>
    </w:p>
    <w:p w:rsidR="008A1D1F" w:rsidRDefault="008A1D1F" w:rsidP="008A1D1F">
      <w:pPr>
        <w:spacing w:after="0" w:line="360" w:lineRule="auto"/>
        <w:jc w:val="both"/>
      </w:pPr>
    </w:p>
    <w:p w:rsidR="008A1D1F" w:rsidRPr="00873FDC" w:rsidRDefault="008A1D1F" w:rsidP="008A1D1F">
      <w:pPr>
        <w:pStyle w:val="Heading2"/>
      </w:pPr>
      <w:r w:rsidRPr="00873FDC">
        <w:rPr>
          <w:rStyle w:val="SubtleEmphasis"/>
          <w:color w:val="auto"/>
        </w:rPr>
        <w:t>Data Collection and Instruments</w:t>
      </w:r>
    </w:p>
    <w:p w:rsidR="008A1D1F" w:rsidRDefault="008A1D1F" w:rsidP="008A1D1F">
      <w:pPr>
        <w:spacing w:after="0" w:line="360" w:lineRule="auto"/>
        <w:jc w:val="both"/>
      </w:pPr>
      <w:bookmarkStart w:id="22" w:name="_Toc296958012"/>
      <w:r w:rsidRPr="000841B5">
        <w:t>The analysis proposed in this section will replicate the ex-ante cost benefit analy</w:t>
      </w:r>
      <w:r>
        <w:t xml:space="preserve">sis presented in Economic Analysis prepared for the Program. The information to be used for the CBA will be updated from the progress reports prepared by the </w:t>
      </w:r>
      <w:r w:rsidRPr="00E45834">
        <w:t xml:space="preserve">IDB Project Team and the MF </w:t>
      </w:r>
      <w:r>
        <w:t>at the end of each operation as well as from the EBS and MNH reports, that according to the Results Matrix. IDB will prepare Terms of Reference (</w:t>
      </w:r>
      <w:proofErr w:type="spellStart"/>
      <w:r>
        <w:t>ToRS</w:t>
      </w:r>
      <w:proofErr w:type="spellEnd"/>
      <w:r>
        <w:t>) for the development of the ex-</w:t>
      </w:r>
      <w:proofErr w:type="gramStart"/>
      <w:r>
        <w:t>post  CBA</w:t>
      </w:r>
      <w:proofErr w:type="gramEnd"/>
      <w:r>
        <w:t xml:space="preserve"> and a check list with the basic information needed for the ex-post CBA to be included in the EBS and MNH reports. </w:t>
      </w:r>
    </w:p>
    <w:bookmarkEnd w:id="22"/>
    <w:p w:rsidR="008A1D1F" w:rsidRDefault="008A1D1F" w:rsidP="008A1D1F">
      <w:pPr>
        <w:pStyle w:val="ListParagraph"/>
        <w:spacing w:after="0" w:line="360" w:lineRule="auto"/>
        <w:ind w:left="1080"/>
        <w:jc w:val="both"/>
        <w:rPr>
          <w:lang w:eastAsia="ja-JP"/>
        </w:rPr>
      </w:pPr>
    </w:p>
    <w:p w:rsidR="008A1D1F" w:rsidRDefault="008A1D1F" w:rsidP="008A1D1F">
      <w:pPr>
        <w:spacing w:after="0" w:line="360" w:lineRule="auto"/>
        <w:jc w:val="both"/>
        <w:rPr>
          <w:lang w:eastAsia="ja-JP"/>
        </w:rPr>
      </w:pPr>
      <w:r>
        <w:rPr>
          <w:lang w:eastAsia="ja-JP"/>
        </w:rPr>
        <w:t>And independent consultant will be hired by the IDB for the period from January 2016 to March 2016, who will prepare the ex-post CBA.</w:t>
      </w:r>
      <w:r w:rsidRPr="00355D05">
        <w:t xml:space="preserve"> </w:t>
      </w:r>
      <w:r>
        <w:t xml:space="preserve"> </w:t>
      </w:r>
      <w:proofErr w:type="spellStart"/>
      <w:r>
        <w:t>ToRs</w:t>
      </w:r>
      <w:proofErr w:type="spellEnd"/>
      <w:r>
        <w:t xml:space="preserve"> for the ex-post CBA will be prepared at the end of the last operation of the Program, and the Check list by the end of 2012.</w:t>
      </w:r>
    </w:p>
    <w:p w:rsidR="008A1D1F" w:rsidRPr="007C18C4" w:rsidRDefault="008A1D1F" w:rsidP="008A1D1F">
      <w:pPr>
        <w:pStyle w:val="Heading2"/>
        <w:rPr>
          <w:rStyle w:val="SubtleEmphasis"/>
          <w:color w:val="auto"/>
        </w:rPr>
      </w:pPr>
      <w:bookmarkStart w:id="23" w:name="_Toc335830660"/>
      <w:r w:rsidRPr="007C18C4">
        <w:rPr>
          <w:rStyle w:val="SubtleEmphasis"/>
          <w:color w:val="auto"/>
        </w:rPr>
        <w:t>Reporting Evaluation Results</w:t>
      </w:r>
      <w:bookmarkEnd w:id="23"/>
    </w:p>
    <w:p w:rsidR="008A1D1F" w:rsidRPr="00244E7B" w:rsidRDefault="008A1D1F" w:rsidP="008A1D1F">
      <w:pPr>
        <w:spacing w:after="0" w:line="360" w:lineRule="auto"/>
        <w:jc w:val="both"/>
        <w:rPr>
          <w:szCs w:val="20"/>
        </w:rPr>
      </w:pPr>
      <w:r w:rsidRPr="00244E7B">
        <w:rPr>
          <w:szCs w:val="20"/>
        </w:rPr>
        <w:t>The Project Completion Report (PCR) and the CBA will be post on the IDB website by June 2016, while progress reports will be post confidentially in IDBDOCSs.</w:t>
      </w:r>
    </w:p>
    <w:p w:rsidR="008A1D1F" w:rsidRDefault="008A1D1F" w:rsidP="008A1D1F"/>
    <w:p w:rsidR="008A1D1F" w:rsidRDefault="008A1D1F" w:rsidP="008A1D1F">
      <w:pPr>
        <w:sectPr w:rsidR="008A1D1F" w:rsidSect="001F7EB2">
          <w:pgSz w:w="12240" w:h="15840"/>
          <w:pgMar w:top="1440" w:right="1440" w:bottom="1440" w:left="1440" w:header="720" w:footer="720" w:gutter="0"/>
          <w:cols w:space="720"/>
          <w:docGrid w:linePitch="360"/>
        </w:sectPr>
      </w:pPr>
    </w:p>
    <w:p w:rsidR="008A1D1F" w:rsidRPr="007C18C4" w:rsidRDefault="008A1D1F" w:rsidP="008A1D1F">
      <w:pPr>
        <w:pStyle w:val="Heading2"/>
        <w:spacing w:before="0" w:after="0" w:line="360" w:lineRule="auto"/>
        <w:rPr>
          <w:rStyle w:val="SubtleEmphasis"/>
          <w:color w:val="auto"/>
        </w:rPr>
      </w:pPr>
      <w:bookmarkStart w:id="24" w:name="_Ref322096577"/>
      <w:bookmarkStart w:id="25" w:name="_Toc323827278"/>
      <w:bookmarkStart w:id="26" w:name="_Toc335830661"/>
      <w:r w:rsidRPr="007C18C4">
        <w:rPr>
          <w:rStyle w:val="SubtleEmphasis"/>
          <w:color w:val="auto"/>
        </w:rPr>
        <w:lastRenderedPageBreak/>
        <w:t>Evaluation Coordination, Work Plan and Budget</w:t>
      </w:r>
      <w:bookmarkEnd w:id="24"/>
      <w:bookmarkEnd w:id="25"/>
      <w:bookmarkEnd w:id="26"/>
      <w:r w:rsidRPr="007C18C4">
        <w:rPr>
          <w:rStyle w:val="SubtleEmphasis"/>
          <w:color w:val="auto"/>
        </w:rPr>
        <w:t xml:space="preserve"> </w:t>
      </w:r>
    </w:p>
    <w:p w:rsidR="008A1D1F" w:rsidRDefault="008A1D1F" w:rsidP="008A1D1F">
      <w:pPr>
        <w:spacing w:after="0" w:line="360" w:lineRule="auto"/>
        <w:jc w:val="both"/>
        <w:rPr>
          <w:rFonts w:eastAsia="Times New Roman"/>
          <w:szCs w:val="20"/>
        </w:rPr>
      </w:pPr>
      <w:r>
        <w:rPr>
          <w:rFonts w:eastAsia="Times New Roman"/>
          <w:szCs w:val="20"/>
        </w:rPr>
        <w:t>The total cost of the evaluation plan is US$140.000. The IDB will hire</w:t>
      </w:r>
      <w:r w:rsidRPr="00256B20">
        <w:rPr>
          <w:rFonts w:eastAsia="Times New Roman"/>
          <w:szCs w:val="20"/>
        </w:rPr>
        <w:t xml:space="preserve"> an independent consultant </w:t>
      </w:r>
      <w:r>
        <w:rPr>
          <w:rFonts w:eastAsia="Times New Roman"/>
          <w:szCs w:val="20"/>
        </w:rPr>
        <w:t xml:space="preserve">(economist) </w:t>
      </w:r>
      <w:r w:rsidRPr="00256B20">
        <w:rPr>
          <w:rFonts w:eastAsia="Times New Roman"/>
          <w:szCs w:val="20"/>
        </w:rPr>
        <w:t xml:space="preserve">for preparing the </w:t>
      </w:r>
      <w:r w:rsidRPr="00FB3035">
        <w:rPr>
          <w:rFonts w:eastAsia="Times New Roman"/>
          <w:szCs w:val="20"/>
        </w:rPr>
        <w:t xml:space="preserve">Project Completion Report (PCR) </w:t>
      </w:r>
      <w:r>
        <w:rPr>
          <w:rFonts w:eastAsia="Times New Roman"/>
          <w:szCs w:val="20"/>
        </w:rPr>
        <w:t xml:space="preserve">(ex-post cost benefit analysis), </w:t>
      </w:r>
      <w:r w:rsidRPr="00256B20">
        <w:rPr>
          <w:rFonts w:eastAsia="Times New Roman"/>
          <w:szCs w:val="20"/>
        </w:rPr>
        <w:t xml:space="preserve">which will be validated by </w:t>
      </w:r>
      <w:r w:rsidRPr="00F97DF7">
        <w:rPr>
          <w:szCs w:val="20"/>
        </w:rPr>
        <w:t>the</w:t>
      </w:r>
      <w:r w:rsidRPr="00256B20">
        <w:rPr>
          <w:rFonts w:eastAsia="Times New Roman"/>
          <w:szCs w:val="20"/>
        </w:rPr>
        <w:t xml:space="preserve"> Executing Agency (EA</w:t>
      </w:r>
      <w:r>
        <w:rPr>
          <w:rFonts w:eastAsia="Times New Roman"/>
          <w:szCs w:val="20"/>
        </w:rPr>
        <w:t>) MF.</w:t>
      </w:r>
    </w:p>
    <w:p w:rsidR="008A1D1F" w:rsidRDefault="008A1D1F" w:rsidP="008A1D1F">
      <w:pPr>
        <w:spacing w:after="0" w:line="360" w:lineRule="auto"/>
        <w:jc w:val="both"/>
        <w:rPr>
          <w:rFonts w:eastAsia="Times New Roman"/>
          <w:szCs w:val="20"/>
        </w:rPr>
      </w:pPr>
    </w:p>
    <w:tbl>
      <w:tblPr>
        <w:tblW w:w="12891" w:type="dxa"/>
        <w:tblInd w:w="-252" w:type="dxa"/>
        <w:tblLook w:val="04A0" w:firstRow="1" w:lastRow="0" w:firstColumn="1" w:lastColumn="0" w:noHBand="0" w:noVBand="1"/>
      </w:tblPr>
      <w:tblGrid>
        <w:gridCol w:w="3945"/>
        <w:gridCol w:w="738"/>
        <w:gridCol w:w="811"/>
        <w:gridCol w:w="738"/>
        <w:gridCol w:w="811"/>
        <w:gridCol w:w="738"/>
        <w:gridCol w:w="811"/>
        <w:gridCol w:w="1613"/>
        <w:gridCol w:w="1571"/>
        <w:gridCol w:w="1115"/>
      </w:tblGrid>
      <w:tr w:rsidR="008A1D1F" w:rsidRPr="00BB2438" w:rsidTr="00A735AF">
        <w:trPr>
          <w:trHeight w:val="310"/>
        </w:trPr>
        <w:tc>
          <w:tcPr>
            <w:tcW w:w="3945"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8A1D1F" w:rsidRPr="00BB2438" w:rsidRDefault="008A1D1F" w:rsidP="00A735AF">
            <w:pPr>
              <w:spacing w:after="0" w:line="240" w:lineRule="auto"/>
              <w:jc w:val="center"/>
              <w:rPr>
                <w:rFonts w:ascii="Calibri" w:eastAsia="Times New Roman" w:hAnsi="Calibri" w:cs="Calibri"/>
                <w:b/>
                <w:bCs/>
                <w:color w:val="000000"/>
                <w:sz w:val="22"/>
              </w:rPr>
            </w:pPr>
            <w:proofErr w:type="spellStart"/>
            <w:r w:rsidRPr="00BB2438">
              <w:rPr>
                <w:rFonts w:ascii="Calibri" w:eastAsia="Times New Roman" w:hAnsi="Calibri" w:cs="Calibri"/>
                <w:b/>
                <w:bCs/>
                <w:color w:val="000000"/>
                <w:sz w:val="22"/>
                <w:lang w:val="es-AR"/>
              </w:rPr>
              <w:t>Activity</w:t>
            </w:r>
            <w:proofErr w:type="spellEnd"/>
          </w:p>
        </w:tc>
        <w:tc>
          <w:tcPr>
            <w:tcW w:w="1549" w:type="dxa"/>
            <w:gridSpan w:val="2"/>
            <w:tcBorders>
              <w:top w:val="single" w:sz="8" w:space="0" w:color="auto"/>
              <w:left w:val="nil"/>
              <w:bottom w:val="single" w:sz="8" w:space="0" w:color="auto"/>
              <w:right w:val="single" w:sz="8" w:space="0" w:color="000000"/>
            </w:tcBorders>
            <w:shd w:val="clear" w:color="000000" w:fill="D9D9D9"/>
            <w:noWrap/>
            <w:vAlign w:val="center"/>
            <w:hideMark/>
          </w:tcPr>
          <w:p w:rsidR="008A1D1F" w:rsidRPr="00BB2438" w:rsidRDefault="008A1D1F" w:rsidP="00A735AF">
            <w:pPr>
              <w:spacing w:after="0" w:line="240" w:lineRule="auto"/>
              <w:jc w:val="center"/>
              <w:rPr>
                <w:rFonts w:ascii="Calibri" w:eastAsia="Times New Roman" w:hAnsi="Calibri" w:cs="Calibri"/>
                <w:b/>
                <w:bCs/>
                <w:color w:val="000000"/>
                <w:sz w:val="22"/>
              </w:rPr>
            </w:pPr>
            <w:r w:rsidRPr="00BB2438">
              <w:rPr>
                <w:rFonts w:ascii="Calibri" w:eastAsia="Times New Roman" w:hAnsi="Calibri" w:cs="Calibri"/>
                <w:b/>
                <w:bCs/>
                <w:color w:val="000000"/>
                <w:sz w:val="22"/>
              </w:rPr>
              <w:t>2014</w:t>
            </w:r>
          </w:p>
        </w:tc>
        <w:tc>
          <w:tcPr>
            <w:tcW w:w="1549" w:type="dxa"/>
            <w:gridSpan w:val="2"/>
            <w:tcBorders>
              <w:top w:val="single" w:sz="8" w:space="0" w:color="auto"/>
              <w:left w:val="nil"/>
              <w:bottom w:val="single" w:sz="8" w:space="0" w:color="auto"/>
              <w:right w:val="single" w:sz="8" w:space="0" w:color="000000"/>
            </w:tcBorders>
            <w:shd w:val="clear" w:color="000000" w:fill="D9D9D9"/>
            <w:noWrap/>
            <w:vAlign w:val="center"/>
            <w:hideMark/>
          </w:tcPr>
          <w:p w:rsidR="008A1D1F" w:rsidRPr="00BB2438" w:rsidRDefault="008A1D1F" w:rsidP="00A735AF">
            <w:pPr>
              <w:spacing w:after="0" w:line="240" w:lineRule="auto"/>
              <w:jc w:val="center"/>
              <w:rPr>
                <w:rFonts w:ascii="Calibri" w:eastAsia="Times New Roman" w:hAnsi="Calibri" w:cs="Calibri"/>
                <w:b/>
                <w:bCs/>
                <w:color w:val="000000"/>
                <w:sz w:val="22"/>
              </w:rPr>
            </w:pPr>
            <w:r w:rsidRPr="00BB2438">
              <w:rPr>
                <w:rFonts w:ascii="Calibri" w:eastAsia="Times New Roman" w:hAnsi="Calibri" w:cs="Calibri"/>
                <w:b/>
                <w:bCs/>
                <w:color w:val="000000"/>
                <w:sz w:val="22"/>
              </w:rPr>
              <w:t>2015</w:t>
            </w:r>
          </w:p>
        </w:tc>
        <w:tc>
          <w:tcPr>
            <w:tcW w:w="1549" w:type="dxa"/>
            <w:gridSpan w:val="2"/>
            <w:tcBorders>
              <w:top w:val="single" w:sz="8" w:space="0" w:color="auto"/>
              <w:left w:val="nil"/>
              <w:bottom w:val="single" w:sz="8" w:space="0" w:color="auto"/>
              <w:right w:val="single" w:sz="8" w:space="0" w:color="000000"/>
            </w:tcBorders>
            <w:shd w:val="clear" w:color="000000" w:fill="D9D9D9"/>
            <w:noWrap/>
            <w:vAlign w:val="center"/>
            <w:hideMark/>
          </w:tcPr>
          <w:p w:rsidR="008A1D1F" w:rsidRPr="00BB2438" w:rsidRDefault="008A1D1F" w:rsidP="00A735AF">
            <w:pPr>
              <w:spacing w:after="0" w:line="240" w:lineRule="auto"/>
              <w:jc w:val="center"/>
              <w:rPr>
                <w:rFonts w:ascii="Calibri" w:eastAsia="Times New Roman" w:hAnsi="Calibri" w:cs="Calibri"/>
                <w:b/>
                <w:bCs/>
                <w:color w:val="000000"/>
                <w:sz w:val="22"/>
              </w:rPr>
            </w:pPr>
            <w:r w:rsidRPr="00BB2438">
              <w:rPr>
                <w:rFonts w:ascii="Calibri" w:eastAsia="Times New Roman" w:hAnsi="Calibri" w:cs="Calibri"/>
                <w:b/>
                <w:bCs/>
                <w:color w:val="000000"/>
                <w:sz w:val="22"/>
              </w:rPr>
              <w:t>2016</w:t>
            </w:r>
          </w:p>
        </w:tc>
        <w:tc>
          <w:tcPr>
            <w:tcW w:w="1613"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8A1D1F" w:rsidRPr="00BB2438" w:rsidRDefault="008A1D1F" w:rsidP="00A735AF">
            <w:pPr>
              <w:spacing w:after="0" w:line="240" w:lineRule="auto"/>
              <w:jc w:val="center"/>
              <w:rPr>
                <w:rFonts w:ascii="Calibri" w:eastAsia="Times New Roman" w:hAnsi="Calibri" w:cs="Calibri"/>
                <w:b/>
                <w:bCs/>
                <w:color w:val="000000"/>
                <w:sz w:val="22"/>
              </w:rPr>
            </w:pPr>
            <w:r w:rsidRPr="00BB2438">
              <w:rPr>
                <w:rFonts w:ascii="Calibri" w:eastAsia="Times New Roman" w:hAnsi="Calibri" w:cs="Calibri"/>
                <w:b/>
                <w:bCs/>
                <w:color w:val="000000"/>
                <w:sz w:val="22"/>
                <w:lang w:val="es-ES"/>
              </w:rPr>
              <w:t>Responsable</w:t>
            </w:r>
          </w:p>
        </w:tc>
        <w:tc>
          <w:tcPr>
            <w:tcW w:w="1571"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8A1D1F" w:rsidRPr="00BB2438" w:rsidRDefault="008A1D1F" w:rsidP="00A735AF">
            <w:pPr>
              <w:spacing w:after="0" w:line="240" w:lineRule="auto"/>
              <w:jc w:val="center"/>
              <w:rPr>
                <w:rFonts w:ascii="Calibri" w:eastAsia="Times New Roman" w:hAnsi="Calibri" w:cs="Calibri"/>
                <w:b/>
                <w:bCs/>
                <w:color w:val="000000"/>
                <w:sz w:val="22"/>
              </w:rPr>
            </w:pPr>
            <w:proofErr w:type="spellStart"/>
            <w:r w:rsidRPr="00BB2438">
              <w:rPr>
                <w:rFonts w:ascii="Calibri" w:eastAsia="Times New Roman" w:hAnsi="Calibri" w:cs="Calibri"/>
                <w:b/>
                <w:bCs/>
                <w:color w:val="000000"/>
                <w:sz w:val="22"/>
                <w:lang w:val="es-AR"/>
              </w:rPr>
              <w:t>Costs</w:t>
            </w:r>
            <w:proofErr w:type="spellEnd"/>
          </w:p>
        </w:tc>
        <w:tc>
          <w:tcPr>
            <w:tcW w:w="1115"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8A1D1F" w:rsidRPr="00BB2438" w:rsidRDefault="008A1D1F" w:rsidP="00A735AF">
            <w:pPr>
              <w:spacing w:after="0" w:line="240" w:lineRule="auto"/>
              <w:jc w:val="center"/>
              <w:rPr>
                <w:rFonts w:ascii="Calibri" w:eastAsia="Times New Roman" w:hAnsi="Calibri" w:cs="Calibri"/>
                <w:b/>
                <w:bCs/>
                <w:color w:val="000000"/>
                <w:sz w:val="22"/>
              </w:rPr>
            </w:pPr>
            <w:proofErr w:type="spellStart"/>
            <w:r w:rsidRPr="00BB2438">
              <w:rPr>
                <w:rFonts w:ascii="Calibri" w:eastAsia="Times New Roman" w:hAnsi="Calibri" w:cs="Calibri"/>
                <w:b/>
                <w:bCs/>
                <w:color w:val="000000"/>
                <w:sz w:val="22"/>
                <w:lang w:val="es-AR"/>
              </w:rPr>
              <w:t>Funding</w:t>
            </w:r>
            <w:proofErr w:type="spellEnd"/>
          </w:p>
        </w:tc>
      </w:tr>
      <w:tr w:rsidR="008A1D1F" w:rsidRPr="00BB2438" w:rsidTr="00A735AF">
        <w:trPr>
          <w:trHeight w:val="310"/>
        </w:trPr>
        <w:tc>
          <w:tcPr>
            <w:tcW w:w="3945" w:type="dxa"/>
            <w:vMerge/>
            <w:tcBorders>
              <w:top w:val="single" w:sz="8" w:space="0" w:color="auto"/>
              <w:left w:val="single" w:sz="8" w:space="0" w:color="auto"/>
              <w:bottom w:val="single" w:sz="8" w:space="0" w:color="000000"/>
              <w:right w:val="single" w:sz="8" w:space="0" w:color="auto"/>
            </w:tcBorders>
            <w:vAlign w:val="center"/>
            <w:hideMark/>
          </w:tcPr>
          <w:p w:rsidR="008A1D1F" w:rsidRPr="00BB2438" w:rsidRDefault="008A1D1F" w:rsidP="00A735AF">
            <w:pPr>
              <w:spacing w:after="0" w:line="240" w:lineRule="auto"/>
              <w:rPr>
                <w:rFonts w:ascii="Calibri" w:eastAsia="Times New Roman" w:hAnsi="Calibri" w:cs="Calibri"/>
                <w:b/>
                <w:bCs/>
                <w:color w:val="000000"/>
                <w:sz w:val="22"/>
              </w:rPr>
            </w:pPr>
          </w:p>
        </w:tc>
        <w:tc>
          <w:tcPr>
            <w:tcW w:w="738" w:type="dxa"/>
            <w:tcBorders>
              <w:top w:val="nil"/>
              <w:left w:val="nil"/>
              <w:bottom w:val="single" w:sz="8" w:space="0" w:color="auto"/>
              <w:right w:val="single" w:sz="8" w:space="0" w:color="auto"/>
            </w:tcBorders>
            <w:shd w:val="clear" w:color="000000" w:fill="D9D9D9"/>
            <w:noWrap/>
            <w:vAlign w:val="center"/>
            <w:hideMark/>
          </w:tcPr>
          <w:p w:rsidR="008A1D1F" w:rsidRPr="00BB2438" w:rsidRDefault="008A1D1F" w:rsidP="00A735AF">
            <w:pPr>
              <w:spacing w:after="0" w:line="240" w:lineRule="auto"/>
              <w:jc w:val="center"/>
              <w:rPr>
                <w:rFonts w:ascii="Calibri" w:eastAsia="Times New Roman" w:hAnsi="Calibri" w:cs="Calibri"/>
                <w:b/>
                <w:bCs/>
                <w:color w:val="000000"/>
                <w:sz w:val="22"/>
              </w:rPr>
            </w:pPr>
            <w:r w:rsidRPr="00BB2438">
              <w:rPr>
                <w:rFonts w:ascii="Calibri" w:eastAsia="Times New Roman" w:hAnsi="Calibri" w:cs="Calibri"/>
                <w:b/>
                <w:bCs/>
                <w:color w:val="000000"/>
                <w:sz w:val="22"/>
              </w:rPr>
              <w:t>Jun</w:t>
            </w:r>
          </w:p>
        </w:tc>
        <w:tc>
          <w:tcPr>
            <w:tcW w:w="811" w:type="dxa"/>
            <w:tcBorders>
              <w:top w:val="nil"/>
              <w:left w:val="nil"/>
              <w:bottom w:val="single" w:sz="8" w:space="0" w:color="auto"/>
              <w:right w:val="single" w:sz="8" w:space="0" w:color="auto"/>
            </w:tcBorders>
            <w:shd w:val="clear" w:color="000000" w:fill="D9D9D9"/>
            <w:noWrap/>
            <w:vAlign w:val="center"/>
            <w:hideMark/>
          </w:tcPr>
          <w:p w:rsidR="008A1D1F" w:rsidRPr="00BB2438" w:rsidRDefault="008A1D1F" w:rsidP="00A735AF">
            <w:pPr>
              <w:spacing w:after="0" w:line="240" w:lineRule="auto"/>
              <w:jc w:val="center"/>
              <w:rPr>
                <w:rFonts w:ascii="Calibri" w:eastAsia="Times New Roman" w:hAnsi="Calibri" w:cs="Calibri"/>
                <w:b/>
                <w:bCs/>
                <w:color w:val="000000"/>
                <w:sz w:val="22"/>
              </w:rPr>
            </w:pPr>
            <w:r w:rsidRPr="00BB2438">
              <w:rPr>
                <w:rFonts w:ascii="Calibri" w:eastAsia="Times New Roman" w:hAnsi="Calibri" w:cs="Calibri"/>
                <w:b/>
                <w:bCs/>
                <w:color w:val="000000"/>
                <w:sz w:val="22"/>
              </w:rPr>
              <w:t>Dec</w:t>
            </w:r>
          </w:p>
        </w:tc>
        <w:tc>
          <w:tcPr>
            <w:tcW w:w="738" w:type="dxa"/>
            <w:tcBorders>
              <w:top w:val="nil"/>
              <w:left w:val="nil"/>
              <w:bottom w:val="single" w:sz="8" w:space="0" w:color="auto"/>
              <w:right w:val="single" w:sz="8" w:space="0" w:color="auto"/>
            </w:tcBorders>
            <w:shd w:val="clear" w:color="000000" w:fill="D9D9D9"/>
            <w:noWrap/>
            <w:vAlign w:val="center"/>
            <w:hideMark/>
          </w:tcPr>
          <w:p w:rsidR="008A1D1F" w:rsidRPr="00BB2438" w:rsidRDefault="008A1D1F" w:rsidP="00A735AF">
            <w:pPr>
              <w:spacing w:after="0" w:line="240" w:lineRule="auto"/>
              <w:jc w:val="center"/>
              <w:rPr>
                <w:rFonts w:ascii="Calibri" w:eastAsia="Times New Roman" w:hAnsi="Calibri" w:cs="Calibri"/>
                <w:b/>
                <w:bCs/>
                <w:color w:val="000000"/>
                <w:sz w:val="22"/>
              </w:rPr>
            </w:pPr>
            <w:r w:rsidRPr="00BB2438">
              <w:rPr>
                <w:rFonts w:ascii="Calibri" w:eastAsia="Times New Roman" w:hAnsi="Calibri" w:cs="Calibri"/>
                <w:b/>
                <w:bCs/>
                <w:color w:val="000000"/>
                <w:sz w:val="22"/>
              </w:rPr>
              <w:t>Jun</w:t>
            </w:r>
          </w:p>
        </w:tc>
        <w:tc>
          <w:tcPr>
            <w:tcW w:w="811" w:type="dxa"/>
            <w:tcBorders>
              <w:top w:val="nil"/>
              <w:left w:val="nil"/>
              <w:bottom w:val="single" w:sz="8" w:space="0" w:color="auto"/>
              <w:right w:val="single" w:sz="8" w:space="0" w:color="auto"/>
            </w:tcBorders>
            <w:shd w:val="clear" w:color="000000" w:fill="D9D9D9"/>
            <w:noWrap/>
            <w:vAlign w:val="center"/>
            <w:hideMark/>
          </w:tcPr>
          <w:p w:rsidR="008A1D1F" w:rsidRPr="00BB2438" w:rsidRDefault="008A1D1F" w:rsidP="00A735AF">
            <w:pPr>
              <w:spacing w:after="0" w:line="240" w:lineRule="auto"/>
              <w:jc w:val="center"/>
              <w:rPr>
                <w:rFonts w:ascii="Calibri" w:eastAsia="Times New Roman" w:hAnsi="Calibri" w:cs="Calibri"/>
                <w:b/>
                <w:bCs/>
                <w:color w:val="000000"/>
                <w:sz w:val="22"/>
              </w:rPr>
            </w:pPr>
            <w:r w:rsidRPr="00BB2438">
              <w:rPr>
                <w:rFonts w:ascii="Calibri" w:eastAsia="Times New Roman" w:hAnsi="Calibri" w:cs="Calibri"/>
                <w:b/>
                <w:bCs/>
                <w:color w:val="000000"/>
                <w:sz w:val="22"/>
              </w:rPr>
              <w:t>Dec</w:t>
            </w:r>
          </w:p>
        </w:tc>
        <w:tc>
          <w:tcPr>
            <w:tcW w:w="738" w:type="dxa"/>
            <w:tcBorders>
              <w:top w:val="nil"/>
              <w:left w:val="nil"/>
              <w:bottom w:val="single" w:sz="8" w:space="0" w:color="auto"/>
              <w:right w:val="single" w:sz="8" w:space="0" w:color="auto"/>
            </w:tcBorders>
            <w:shd w:val="clear" w:color="000000" w:fill="D9D9D9"/>
            <w:noWrap/>
            <w:vAlign w:val="center"/>
            <w:hideMark/>
          </w:tcPr>
          <w:p w:rsidR="008A1D1F" w:rsidRPr="00BB2438" w:rsidRDefault="008A1D1F" w:rsidP="00A735AF">
            <w:pPr>
              <w:spacing w:after="0" w:line="240" w:lineRule="auto"/>
              <w:jc w:val="center"/>
              <w:rPr>
                <w:rFonts w:ascii="Calibri" w:eastAsia="Times New Roman" w:hAnsi="Calibri" w:cs="Calibri"/>
                <w:b/>
                <w:bCs/>
                <w:color w:val="000000"/>
                <w:sz w:val="22"/>
              </w:rPr>
            </w:pPr>
            <w:r w:rsidRPr="00BB2438">
              <w:rPr>
                <w:rFonts w:ascii="Calibri" w:eastAsia="Times New Roman" w:hAnsi="Calibri" w:cs="Calibri"/>
                <w:b/>
                <w:bCs/>
                <w:color w:val="000000"/>
                <w:sz w:val="22"/>
              </w:rPr>
              <w:t>Jun</w:t>
            </w:r>
          </w:p>
        </w:tc>
        <w:tc>
          <w:tcPr>
            <w:tcW w:w="811" w:type="dxa"/>
            <w:tcBorders>
              <w:top w:val="nil"/>
              <w:left w:val="nil"/>
              <w:bottom w:val="single" w:sz="8" w:space="0" w:color="auto"/>
              <w:right w:val="single" w:sz="8" w:space="0" w:color="auto"/>
            </w:tcBorders>
            <w:shd w:val="clear" w:color="000000" w:fill="D9D9D9"/>
            <w:noWrap/>
            <w:vAlign w:val="center"/>
            <w:hideMark/>
          </w:tcPr>
          <w:p w:rsidR="008A1D1F" w:rsidRPr="00BB2438" w:rsidRDefault="008A1D1F" w:rsidP="00A735AF">
            <w:pPr>
              <w:spacing w:after="0" w:line="240" w:lineRule="auto"/>
              <w:jc w:val="center"/>
              <w:rPr>
                <w:rFonts w:ascii="Calibri" w:eastAsia="Times New Roman" w:hAnsi="Calibri" w:cs="Calibri"/>
                <w:b/>
                <w:bCs/>
                <w:color w:val="000000"/>
                <w:sz w:val="22"/>
              </w:rPr>
            </w:pPr>
            <w:r w:rsidRPr="00BB2438">
              <w:rPr>
                <w:rFonts w:ascii="Calibri" w:eastAsia="Times New Roman" w:hAnsi="Calibri" w:cs="Calibri"/>
                <w:b/>
                <w:bCs/>
                <w:color w:val="000000"/>
                <w:sz w:val="22"/>
              </w:rPr>
              <w:t>Dec</w:t>
            </w:r>
          </w:p>
        </w:tc>
        <w:tc>
          <w:tcPr>
            <w:tcW w:w="1613" w:type="dxa"/>
            <w:vMerge/>
            <w:tcBorders>
              <w:top w:val="single" w:sz="8" w:space="0" w:color="auto"/>
              <w:left w:val="single" w:sz="8" w:space="0" w:color="auto"/>
              <w:bottom w:val="single" w:sz="8" w:space="0" w:color="000000"/>
              <w:right w:val="single" w:sz="8" w:space="0" w:color="auto"/>
            </w:tcBorders>
            <w:vAlign w:val="center"/>
            <w:hideMark/>
          </w:tcPr>
          <w:p w:rsidR="008A1D1F" w:rsidRPr="00BB2438" w:rsidRDefault="008A1D1F" w:rsidP="00A735AF">
            <w:pPr>
              <w:spacing w:after="0" w:line="240" w:lineRule="auto"/>
              <w:rPr>
                <w:rFonts w:ascii="Calibri" w:eastAsia="Times New Roman" w:hAnsi="Calibri" w:cs="Calibri"/>
                <w:b/>
                <w:bCs/>
                <w:color w:val="000000"/>
                <w:sz w:val="22"/>
              </w:rPr>
            </w:pPr>
          </w:p>
        </w:tc>
        <w:tc>
          <w:tcPr>
            <w:tcW w:w="1571" w:type="dxa"/>
            <w:vMerge/>
            <w:tcBorders>
              <w:top w:val="single" w:sz="8" w:space="0" w:color="auto"/>
              <w:left w:val="single" w:sz="8" w:space="0" w:color="auto"/>
              <w:bottom w:val="single" w:sz="8" w:space="0" w:color="000000"/>
              <w:right w:val="single" w:sz="8" w:space="0" w:color="auto"/>
            </w:tcBorders>
            <w:vAlign w:val="center"/>
            <w:hideMark/>
          </w:tcPr>
          <w:p w:rsidR="008A1D1F" w:rsidRPr="00BB2438" w:rsidRDefault="008A1D1F" w:rsidP="00A735AF">
            <w:pPr>
              <w:spacing w:after="0" w:line="240" w:lineRule="auto"/>
              <w:rPr>
                <w:rFonts w:ascii="Calibri" w:eastAsia="Times New Roman" w:hAnsi="Calibri" w:cs="Calibri"/>
                <w:b/>
                <w:bCs/>
                <w:color w:val="000000"/>
                <w:sz w:val="22"/>
              </w:rPr>
            </w:pPr>
          </w:p>
        </w:tc>
        <w:tc>
          <w:tcPr>
            <w:tcW w:w="1115" w:type="dxa"/>
            <w:vMerge/>
            <w:tcBorders>
              <w:top w:val="single" w:sz="8" w:space="0" w:color="auto"/>
              <w:left w:val="single" w:sz="8" w:space="0" w:color="auto"/>
              <w:bottom w:val="single" w:sz="8" w:space="0" w:color="000000"/>
              <w:right w:val="single" w:sz="8" w:space="0" w:color="auto"/>
            </w:tcBorders>
            <w:vAlign w:val="center"/>
            <w:hideMark/>
          </w:tcPr>
          <w:p w:rsidR="008A1D1F" w:rsidRPr="00BB2438" w:rsidRDefault="008A1D1F" w:rsidP="00A735AF">
            <w:pPr>
              <w:spacing w:after="0" w:line="240" w:lineRule="auto"/>
              <w:rPr>
                <w:rFonts w:ascii="Calibri" w:eastAsia="Times New Roman" w:hAnsi="Calibri" w:cs="Calibri"/>
                <w:b/>
                <w:bCs/>
                <w:color w:val="000000"/>
                <w:sz w:val="22"/>
              </w:rPr>
            </w:pPr>
          </w:p>
        </w:tc>
      </w:tr>
      <w:tr w:rsidR="008A1D1F" w:rsidRPr="00BB2438" w:rsidTr="00A735AF">
        <w:trPr>
          <w:trHeight w:val="310"/>
        </w:trPr>
        <w:tc>
          <w:tcPr>
            <w:tcW w:w="3945" w:type="dxa"/>
            <w:tcBorders>
              <w:top w:val="nil"/>
              <w:left w:val="single" w:sz="8" w:space="0" w:color="auto"/>
              <w:bottom w:val="single" w:sz="8" w:space="0" w:color="auto"/>
              <w:right w:val="single" w:sz="8" w:space="0" w:color="auto"/>
            </w:tcBorders>
            <w:shd w:val="clear" w:color="auto" w:fill="auto"/>
            <w:noWrap/>
            <w:vAlign w:val="center"/>
            <w:hideMark/>
          </w:tcPr>
          <w:p w:rsidR="008A1D1F" w:rsidRPr="00BB2438" w:rsidRDefault="008A1D1F" w:rsidP="00A735AF">
            <w:pPr>
              <w:spacing w:after="0" w:line="240" w:lineRule="auto"/>
              <w:rPr>
                <w:rFonts w:ascii="Calibri" w:eastAsia="Times New Roman" w:hAnsi="Calibri" w:cs="Calibri"/>
                <w:color w:val="000000"/>
                <w:sz w:val="22"/>
              </w:rPr>
            </w:pPr>
            <w:r w:rsidRPr="006B3F1C">
              <w:rPr>
                <w:rFonts w:ascii="Calibri" w:eastAsia="Times New Roman" w:hAnsi="Calibri" w:cs="Calibri"/>
                <w:color w:val="000000"/>
                <w:sz w:val="22"/>
              </w:rPr>
              <w:t>Progress</w:t>
            </w:r>
            <w:r w:rsidRPr="00BB2438">
              <w:rPr>
                <w:rFonts w:ascii="Calibri" w:eastAsia="Times New Roman" w:hAnsi="Calibri" w:cs="Calibri"/>
                <w:color w:val="000000"/>
                <w:sz w:val="22"/>
                <w:lang w:val="es-ES_tradnl"/>
              </w:rPr>
              <w:t xml:space="preserve"> </w:t>
            </w:r>
            <w:proofErr w:type="spellStart"/>
            <w:r w:rsidRPr="00BB2438">
              <w:rPr>
                <w:rFonts w:ascii="Calibri" w:eastAsia="Times New Roman" w:hAnsi="Calibri" w:cs="Calibri"/>
                <w:color w:val="000000"/>
                <w:sz w:val="22"/>
                <w:lang w:val="es-ES_tradnl"/>
              </w:rPr>
              <w:t>Reports</w:t>
            </w:r>
            <w:proofErr w:type="spellEnd"/>
          </w:p>
        </w:tc>
        <w:tc>
          <w:tcPr>
            <w:tcW w:w="738" w:type="dxa"/>
            <w:tcBorders>
              <w:top w:val="nil"/>
              <w:left w:val="nil"/>
              <w:bottom w:val="single" w:sz="8" w:space="0" w:color="auto"/>
              <w:right w:val="single" w:sz="8" w:space="0" w:color="auto"/>
            </w:tcBorders>
            <w:shd w:val="clear" w:color="auto" w:fill="auto"/>
            <w:noWrap/>
            <w:vAlign w:val="center"/>
            <w:hideMark/>
          </w:tcPr>
          <w:p w:rsidR="008A1D1F" w:rsidRPr="00BB2438" w:rsidRDefault="008A1D1F" w:rsidP="00A735AF">
            <w:pPr>
              <w:spacing w:after="0" w:line="240" w:lineRule="auto"/>
              <w:rPr>
                <w:rFonts w:ascii="Calibri" w:eastAsia="Times New Roman" w:hAnsi="Calibri" w:cs="Calibri"/>
                <w:color w:val="000000"/>
                <w:sz w:val="22"/>
              </w:rPr>
            </w:pPr>
            <w:r w:rsidRPr="00BB2438">
              <w:rPr>
                <w:rFonts w:ascii="Calibri" w:eastAsia="Times New Roman" w:hAnsi="Calibri" w:cs="Calibri"/>
                <w:color w:val="000000"/>
                <w:sz w:val="22"/>
                <w:lang w:val="es-ES_tradnl"/>
              </w:rPr>
              <w:t> </w:t>
            </w:r>
          </w:p>
        </w:tc>
        <w:tc>
          <w:tcPr>
            <w:tcW w:w="811" w:type="dxa"/>
            <w:tcBorders>
              <w:top w:val="nil"/>
              <w:left w:val="nil"/>
              <w:bottom w:val="single" w:sz="8" w:space="0" w:color="auto"/>
              <w:right w:val="single" w:sz="8" w:space="0" w:color="auto"/>
            </w:tcBorders>
            <w:shd w:val="clear" w:color="000000" w:fill="92D050"/>
            <w:noWrap/>
            <w:vAlign w:val="center"/>
            <w:hideMark/>
          </w:tcPr>
          <w:p w:rsidR="008A1D1F" w:rsidRPr="00BB2438" w:rsidRDefault="008A1D1F" w:rsidP="00A735AF">
            <w:pPr>
              <w:spacing w:after="0" w:line="240" w:lineRule="auto"/>
              <w:rPr>
                <w:rFonts w:ascii="Calibri" w:eastAsia="Times New Roman" w:hAnsi="Calibri" w:cs="Calibri"/>
                <w:color w:val="000000"/>
                <w:sz w:val="22"/>
              </w:rPr>
            </w:pPr>
            <w:r w:rsidRPr="00BB2438">
              <w:rPr>
                <w:rFonts w:ascii="Calibri" w:eastAsia="Times New Roman" w:hAnsi="Calibri" w:cs="Calibri"/>
                <w:color w:val="000000"/>
                <w:sz w:val="22"/>
                <w:lang w:val="es-ES_tradnl"/>
              </w:rPr>
              <w:t> </w:t>
            </w:r>
          </w:p>
        </w:tc>
        <w:tc>
          <w:tcPr>
            <w:tcW w:w="738" w:type="dxa"/>
            <w:tcBorders>
              <w:top w:val="nil"/>
              <w:left w:val="nil"/>
              <w:bottom w:val="single" w:sz="8" w:space="0" w:color="auto"/>
              <w:right w:val="single" w:sz="8" w:space="0" w:color="auto"/>
            </w:tcBorders>
            <w:shd w:val="clear" w:color="auto" w:fill="auto"/>
            <w:noWrap/>
            <w:vAlign w:val="center"/>
            <w:hideMark/>
          </w:tcPr>
          <w:p w:rsidR="008A1D1F" w:rsidRPr="00BB2438" w:rsidRDefault="008A1D1F" w:rsidP="00A735AF">
            <w:pPr>
              <w:spacing w:after="0" w:line="240" w:lineRule="auto"/>
              <w:rPr>
                <w:rFonts w:ascii="Calibri" w:eastAsia="Times New Roman" w:hAnsi="Calibri" w:cs="Calibri"/>
                <w:color w:val="000000"/>
                <w:sz w:val="22"/>
              </w:rPr>
            </w:pPr>
            <w:r w:rsidRPr="00BB2438">
              <w:rPr>
                <w:rFonts w:ascii="Calibri" w:eastAsia="Times New Roman" w:hAnsi="Calibri" w:cs="Calibri"/>
                <w:color w:val="000000"/>
                <w:sz w:val="22"/>
                <w:lang w:val="es-ES_tradnl"/>
              </w:rPr>
              <w:t> </w:t>
            </w:r>
          </w:p>
        </w:tc>
        <w:tc>
          <w:tcPr>
            <w:tcW w:w="811" w:type="dxa"/>
            <w:tcBorders>
              <w:top w:val="nil"/>
              <w:left w:val="nil"/>
              <w:bottom w:val="single" w:sz="8" w:space="0" w:color="auto"/>
              <w:right w:val="single" w:sz="8" w:space="0" w:color="auto"/>
            </w:tcBorders>
            <w:shd w:val="clear" w:color="auto" w:fill="92D050"/>
            <w:noWrap/>
            <w:vAlign w:val="center"/>
            <w:hideMark/>
          </w:tcPr>
          <w:p w:rsidR="008A1D1F" w:rsidRPr="00BB2438" w:rsidRDefault="008A1D1F" w:rsidP="00A735AF">
            <w:pPr>
              <w:spacing w:after="0" w:line="240" w:lineRule="auto"/>
              <w:rPr>
                <w:rFonts w:ascii="Calibri" w:eastAsia="Times New Roman" w:hAnsi="Calibri" w:cs="Calibri"/>
                <w:color w:val="000000"/>
                <w:sz w:val="22"/>
              </w:rPr>
            </w:pPr>
            <w:r w:rsidRPr="00BB2438">
              <w:rPr>
                <w:rFonts w:ascii="Calibri" w:eastAsia="Times New Roman" w:hAnsi="Calibri" w:cs="Calibri"/>
                <w:color w:val="000000"/>
                <w:sz w:val="22"/>
                <w:lang w:val="es-ES_tradnl"/>
              </w:rPr>
              <w:t> </w:t>
            </w:r>
          </w:p>
        </w:tc>
        <w:tc>
          <w:tcPr>
            <w:tcW w:w="738" w:type="dxa"/>
            <w:tcBorders>
              <w:top w:val="nil"/>
              <w:left w:val="nil"/>
              <w:bottom w:val="single" w:sz="8" w:space="0" w:color="auto"/>
              <w:right w:val="single" w:sz="8" w:space="0" w:color="auto"/>
            </w:tcBorders>
            <w:shd w:val="clear" w:color="auto" w:fill="auto"/>
            <w:noWrap/>
            <w:vAlign w:val="center"/>
            <w:hideMark/>
          </w:tcPr>
          <w:p w:rsidR="008A1D1F" w:rsidRPr="00BB2438" w:rsidRDefault="008A1D1F" w:rsidP="00A735AF">
            <w:pPr>
              <w:spacing w:after="0" w:line="240" w:lineRule="auto"/>
              <w:rPr>
                <w:rFonts w:ascii="Calibri" w:eastAsia="Times New Roman" w:hAnsi="Calibri" w:cs="Calibri"/>
                <w:color w:val="000000"/>
                <w:sz w:val="22"/>
              </w:rPr>
            </w:pPr>
            <w:r w:rsidRPr="00BB2438">
              <w:rPr>
                <w:rFonts w:ascii="Calibri" w:eastAsia="Times New Roman" w:hAnsi="Calibri" w:cs="Calibri"/>
                <w:color w:val="000000"/>
                <w:sz w:val="22"/>
                <w:lang w:val="es-ES_tradnl"/>
              </w:rPr>
              <w:t> </w:t>
            </w:r>
          </w:p>
        </w:tc>
        <w:tc>
          <w:tcPr>
            <w:tcW w:w="811" w:type="dxa"/>
            <w:tcBorders>
              <w:top w:val="nil"/>
              <w:left w:val="nil"/>
              <w:bottom w:val="single" w:sz="8" w:space="0" w:color="auto"/>
              <w:right w:val="single" w:sz="8" w:space="0" w:color="auto"/>
            </w:tcBorders>
            <w:shd w:val="clear" w:color="auto" w:fill="auto"/>
            <w:noWrap/>
            <w:vAlign w:val="center"/>
            <w:hideMark/>
          </w:tcPr>
          <w:p w:rsidR="008A1D1F" w:rsidRPr="00BB2438" w:rsidRDefault="008A1D1F" w:rsidP="00A735AF">
            <w:pPr>
              <w:spacing w:after="0" w:line="240" w:lineRule="auto"/>
              <w:rPr>
                <w:rFonts w:ascii="Calibri" w:eastAsia="Times New Roman" w:hAnsi="Calibri" w:cs="Calibri"/>
                <w:color w:val="000000"/>
                <w:sz w:val="22"/>
              </w:rPr>
            </w:pPr>
            <w:r w:rsidRPr="00BB2438">
              <w:rPr>
                <w:rFonts w:ascii="Calibri" w:eastAsia="Times New Roman" w:hAnsi="Calibri" w:cs="Calibri"/>
                <w:color w:val="000000"/>
                <w:sz w:val="22"/>
                <w:lang w:val="es-ES_tradnl"/>
              </w:rPr>
              <w:t> </w:t>
            </w:r>
          </w:p>
        </w:tc>
        <w:tc>
          <w:tcPr>
            <w:tcW w:w="1613" w:type="dxa"/>
            <w:tcBorders>
              <w:top w:val="nil"/>
              <w:left w:val="nil"/>
              <w:bottom w:val="single" w:sz="8" w:space="0" w:color="auto"/>
              <w:right w:val="single" w:sz="8" w:space="0" w:color="auto"/>
            </w:tcBorders>
            <w:shd w:val="clear" w:color="auto" w:fill="auto"/>
            <w:noWrap/>
            <w:vAlign w:val="center"/>
            <w:hideMark/>
          </w:tcPr>
          <w:p w:rsidR="008A1D1F" w:rsidRPr="00BB2438" w:rsidRDefault="008A1D1F" w:rsidP="00A735AF">
            <w:pPr>
              <w:spacing w:after="0" w:line="240" w:lineRule="auto"/>
              <w:jc w:val="center"/>
              <w:rPr>
                <w:rFonts w:ascii="Calibri" w:eastAsia="Times New Roman" w:hAnsi="Calibri" w:cs="Calibri"/>
                <w:color w:val="000000"/>
                <w:sz w:val="22"/>
              </w:rPr>
            </w:pPr>
            <w:r>
              <w:rPr>
                <w:rFonts w:ascii="Calibri" w:eastAsia="Times New Roman" w:hAnsi="Calibri" w:cs="Calibri"/>
                <w:color w:val="000000"/>
                <w:sz w:val="22"/>
              </w:rPr>
              <w:t>BID/M</w:t>
            </w:r>
            <w:r w:rsidRPr="00BB2438">
              <w:rPr>
                <w:rFonts w:ascii="Calibri" w:eastAsia="Times New Roman" w:hAnsi="Calibri" w:cs="Calibri"/>
                <w:color w:val="000000"/>
                <w:sz w:val="22"/>
              </w:rPr>
              <w:t>F</w:t>
            </w:r>
          </w:p>
        </w:tc>
        <w:tc>
          <w:tcPr>
            <w:tcW w:w="1571" w:type="dxa"/>
            <w:tcBorders>
              <w:top w:val="nil"/>
              <w:left w:val="nil"/>
              <w:bottom w:val="single" w:sz="8" w:space="0" w:color="auto"/>
              <w:right w:val="single" w:sz="8" w:space="0" w:color="auto"/>
            </w:tcBorders>
            <w:shd w:val="clear" w:color="auto" w:fill="auto"/>
            <w:noWrap/>
            <w:vAlign w:val="center"/>
            <w:hideMark/>
          </w:tcPr>
          <w:p w:rsidR="008A1D1F" w:rsidRPr="00BB2438" w:rsidRDefault="008A1D1F" w:rsidP="00A735AF">
            <w:pPr>
              <w:spacing w:after="0" w:line="240" w:lineRule="auto"/>
              <w:jc w:val="right"/>
              <w:rPr>
                <w:rFonts w:ascii="Calibri" w:eastAsia="Times New Roman" w:hAnsi="Calibri" w:cs="Calibri"/>
                <w:color w:val="000000"/>
                <w:sz w:val="22"/>
              </w:rPr>
            </w:pPr>
            <w:r w:rsidRPr="00BB2438">
              <w:rPr>
                <w:rFonts w:ascii="Calibri" w:eastAsia="Times New Roman" w:hAnsi="Calibri" w:cs="Calibri"/>
                <w:color w:val="000000"/>
                <w:sz w:val="22"/>
              </w:rPr>
              <w:t xml:space="preserve">$100,000.00 </w:t>
            </w:r>
          </w:p>
        </w:tc>
        <w:tc>
          <w:tcPr>
            <w:tcW w:w="1115" w:type="dxa"/>
            <w:tcBorders>
              <w:top w:val="nil"/>
              <w:left w:val="nil"/>
              <w:bottom w:val="single" w:sz="8" w:space="0" w:color="auto"/>
              <w:right w:val="single" w:sz="8" w:space="0" w:color="auto"/>
            </w:tcBorders>
            <w:shd w:val="clear" w:color="auto" w:fill="auto"/>
            <w:noWrap/>
            <w:vAlign w:val="center"/>
            <w:hideMark/>
          </w:tcPr>
          <w:p w:rsidR="008A1D1F" w:rsidRPr="00BB2438" w:rsidRDefault="008A1D1F" w:rsidP="00A735AF">
            <w:pPr>
              <w:spacing w:after="0" w:line="240" w:lineRule="auto"/>
              <w:jc w:val="center"/>
              <w:rPr>
                <w:rFonts w:ascii="Calibri" w:eastAsia="Times New Roman" w:hAnsi="Calibri" w:cs="Calibri"/>
                <w:color w:val="000000"/>
                <w:sz w:val="22"/>
              </w:rPr>
            </w:pPr>
            <w:r w:rsidRPr="00BB2438">
              <w:rPr>
                <w:rFonts w:ascii="Calibri" w:eastAsia="Times New Roman" w:hAnsi="Calibri" w:cs="Calibri"/>
                <w:color w:val="000000"/>
                <w:sz w:val="22"/>
              </w:rPr>
              <w:t>MF</w:t>
            </w:r>
          </w:p>
        </w:tc>
      </w:tr>
      <w:tr w:rsidR="008A1D1F" w:rsidRPr="00BB2438" w:rsidTr="00A735AF">
        <w:trPr>
          <w:trHeight w:val="310"/>
        </w:trPr>
        <w:tc>
          <w:tcPr>
            <w:tcW w:w="3945" w:type="dxa"/>
            <w:tcBorders>
              <w:top w:val="nil"/>
              <w:left w:val="single" w:sz="8" w:space="0" w:color="auto"/>
              <w:bottom w:val="single" w:sz="8" w:space="0" w:color="auto"/>
              <w:right w:val="single" w:sz="8" w:space="0" w:color="auto"/>
            </w:tcBorders>
            <w:shd w:val="clear" w:color="auto" w:fill="auto"/>
            <w:noWrap/>
            <w:vAlign w:val="center"/>
            <w:hideMark/>
          </w:tcPr>
          <w:p w:rsidR="008A1D1F" w:rsidRPr="00BB2438" w:rsidRDefault="008A1D1F" w:rsidP="00A735AF">
            <w:pPr>
              <w:spacing w:after="0" w:line="240" w:lineRule="auto"/>
              <w:rPr>
                <w:rFonts w:ascii="Calibri" w:eastAsia="Times New Roman" w:hAnsi="Calibri" w:cs="Calibri"/>
                <w:color w:val="000000"/>
                <w:sz w:val="22"/>
              </w:rPr>
            </w:pPr>
            <w:r w:rsidRPr="00BB2438">
              <w:rPr>
                <w:rFonts w:ascii="Calibri" w:eastAsia="Times New Roman" w:hAnsi="Calibri" w:cs="Calibri"/>
                <w:color w:val="000000"/>
                <w:sz w:val="22"/>
              </w:rPr>
              <w:t>Check list</w:t>
            </w:r>
          </w:p>
        </w:tc>
        <w:tc>
          <w:tcPr>
            <w:tcW w:w="738" w:type="dxa"/>
            <w:tcBorders>
              <w:top w:val="nil"/>
              <w:left w:val="nil"/>
              <w:bottom w:val="single" w:sz="8" w:space="0" w:color="auto"/>
              <w:right w:val="single" w:sz="8" w:space="0" w:color="auto"/>
            </w:tcBorders>
            <w:shd w:val="clear" w:color="auto" w:fill="92D050"/>
            <w:noWrap/>
            <w:vAlign w:val="center"/>
            <w:hideMark/>
          </w:tcPr>
          <w:p w:rsidR="008A1D1F" w:rsidRPr="00BB2438" w:rsidRDefault="008A1D1F" w:rsidP="00A735AF">
            <w:pPr>
              <w:spacing w:after="0" w:line="240" w:lineRule="auto"/>
              <w:rPr>
                <w:rFonts w:ascii="Calibri" w:eastAsia="Times New Roman" w:hAnsi="Calibri" w:cs="Calibri"/>
                <w:color w:val="000000"/>
                <w:sz w:val="22"/>
              </w:rPr>
            </w:pPr>
            <w:r w:rsidRPr="00BB2438">
              <w:rPr>
                <w:rFonts w:ascii="Calibri" w:eastAsia="Times New Roman" w:hAnsi="Calibri" w:cs="Calibri"/>
                <w:color w:val="000000"/>
                <w:sz w:val="22"/>
              </w:rPr>
              <w:t> </w:t>
            </w:r>
          </w:p>
        </w:tc>
        <w:tc>
          <w:tcPr>
            <w:tcW w:w="811" w:type="dxa"/>
            <w:tcBorders>
              <w:top w:val="nil"/>
              <w:left w:val="nil"/>
              <w:bottom w:val="single" w:sz="8" w:space="0" w:color="auto"/>
              <w:right w:val="single" w:sz="8" w:space="0" w:color="auto"/>
            </w:tcBorders>
            <w:shd w:val="clear" w:color="auto" w:fill="auto"/>
            <w:noWrap/>
            <w:vAlign w:val="center"/>
            <w:hideMark/>
          </w:tcPr>
          <w:p w:rsidR="008A1D1F" w:rsidRPr="00BB2438" w:rsidRDefault="008A1D1F" w:rsidP="00A735AF">
            <w:pPr>
              <w:spacing w:after="0" w:line="240" w:lineRule="auto"/>
              <w:rPr>
                <w:rFonts w:ascii="Calibri" w:eastAsia="Times New Roman" w:hAnsi="Calibri" w:cs="Calibri"/>
                <w:color w:val="000000"/>
                <w:sz w:val="22"/>
              </w:rPr>
            </w:pPr>
            <w:r w:rsidRPr="00BB2438">
              <w:rPr>
                <w:rFonts w:ascii="Calibri" w:eastAsia="Times New Roman" w:hAnsi="Calibri" w:cs="Calibri"/>
                <w:color w:val="000000"/>
                <w:sz w:val="22"/>
              </w:rPr>
              <w:t> </w:t>
            </w:r>
          </w:p>
        </w:tc>
        <w:tc>
          <w:tcPr>
            <w:tcW w:w="738" w:type="dxa"/>
            <w:tcBorders>
              <w:top w:val="nil"/>
              <w:left w:val="nil"/>
              <w:bottom w:val="single" w:sz="8" w:space="0" w:color="auto"/>
              <w:right w:val="single" w:sz="8" w:space="0" w:color="auto"/>
            </w:tcBorders>
            <w:shd w:val="clear" w:color="auto" w:fill="auto"/>
            <w:noWrap/>
            <w:vAlign w:val="center"/>
            <w:hideMark/>
          </w:tcPr>
          <w:p w:rsidR="008A1D1F" w:rsidRPr="00BB2438" w:rsidRDefault="008A1D1F" w:rsidP="00A735AF">
            <w:pPr>
              <w:spacing w:after="0" w:line="240" w:lineRule="auto"/>
              <w:rPr>
                <w:rFonts w:ascii="Calibri" w:eastAsia="Times New Roman" w:hAnsi="Calibri" w:cs="Calibri"/>
                <w:color w:val="000000"/>
                <w:sz w:val="22"/>
              </w:rPr>
            </w:pPr>
            <w:r w:rsidRPr="00BB2438">
              <w:rPr>
                <w:rFonts w:ascii="Calibri" w:eastAsia="Times New Roman" w:hAnsi="Calibri" w:cs="Calibri"/>
                <w:color w:val="000000"/>
                <w:sz w:val="22"/>
              </w:rPr>
              <w:t> </w:t>
            </w:r>
          </w:p>
        </w:tc>
        <w:tc>
          <w:tcPr>
            <w:tcW w:w="811" w:type="dxa"/>
            <w:tcBorders>
              <w:top w:val="nil"/>
              <w:left w:val="nil"/>
              <w:bottom w:val="single" w:sz="8" w:space="0" w:color="auto"/>
              <w:right w:val="single" w:sz="8" w:space="0" w:color="auto"/>
            </w:tcBorders>
            <w:shd w:val="clear" w:color="auto" w:fill="auto"/>
            <w:noWrap/>
            <w:vAlign w:val="center"/>
            <w:hideMark/>
          </w:tcPr>
          <w:p w:rsidR="008A1D1F" w:rsidRPr="00BB2438" w:rsidRDefault="008A1D1F" w:rsidP="00A735AF">
            <w:pPr>
              <w:spacing w:after="0" w:line="240" w:lineRule="auto"/>
              <w:rPr>
                <w:rFonts w:ascii="Calibri" w:eastAsia="Times New Roman" w:hAnsi="Calibri" w:cs="Calibri"/>
                <w:color w:val="000000"/>
                <w:sz w:val="22"/>
              </w:rPr>
            </w:pPr>
            <w:r w:rsidRPr="00BB2438">
              <w:rPr>
                <w:rFonts w:ascii="Calibri" w:eastAsia="Times New Roman" w:hAnsi="Calibri" w:cs="Calibri"/>
                <w:color w:val="000000"/>
                <w:sz w:val="22"/>
              </w:rPr>
              <w:t> </w:t>
            </w:r>
          </w:p>
        </w:tc>
        <w:tc>
          <w:tcPr>
            <w:tcW w:w="738" w:type="dxa"/>
            <w:tcBorders>
              <w:top w:val="nil"/>
              <w:left w:val="nil"/>
              <w:bottom w:val="single" w:sz="8" w:space="0" w:color="auto"/>
              <w:right w:val="single" w:sz="8" w:space="0" w:color="auto"/>
            </w:tcBorders>
            <w:shd w:val="clear" w:color="auto" w:fill="auto"/>
            <w:noWrap/>
            <w:vAlign w:val="center"/>
            <w:hideMark/>
          </w:tcPr>
          <w:p w:rsidR="008A1D1F" w:rsidRPr="00BB2438" w:rsidRDefault="008A1D1F" w:rsidP="00A735AF">
            <w:pPr>
              <w:spacing w:after="0" w:line="240" w:lineRule="auto"/>
              <w:rPr>
                <w:rFonts w:ascii="Calibri" w:eastAsia="Times New Roman" w:hAnsi="Calibri" w:cs="Calibri"/>
                <w:color w:val="000000"/>
                <w:sz w:val="22"/>
              </w:rPr>
            </w:pPr>
            <w:r w:rsidRPr="00BB2438">
              <w:rPr>
                <w:rFonts w:ascii="Calibri" w:eastAsia="Times New Roman" w:hAnsi="Calibri" w:cs="Calibri"/>
                <w:color w:val="000000"/>
                <w:sz w:val="22"/>
              </w:rPr>
              <w:t> </w:t>
            </w:r>
          </w:p>
        </w:tc>
        <w:tc>
          <w:tcPr>
            <w:tcW w:w="811" w:type="dxa"/>
            <w:tcBorders>
              <w:top w:val="nil"/>
              <w:left w:val="nil"/>
              <w:bottom w:val="single" w:sz="8" w:space="0" w:color="auto"/>
              <w:right w:val="single" w:sz="8" w:space="0" w:color="auto"/>
            </w:tcBorders>
            <w:shd w:val="clear" w:color="auto" w:fill="auto"/>
            <w:noWrap/>
            <w:vAlign w:val="center"/>
            <w:hideMark/>
          </w:tcPr>
          <w:p w:rsidR="008A1D1F" w:rsidRPr="00BB2438" w:rsidRDefault="008A1D1F" w:rsidP="00A735AF">
            <w:pPr>
              <w:spacing w:after="0" w:line="240" w:lineRule="auto"/>
              <w:rPr>
                <w:rFonts w:ascii="Calibri" w:eastAsia="Times New Roman" w:hAnsi="Calibri" w:cs="Calibri"/>
                <w:color w:val="000000"/>
                <w:sz w:val="22"/>
              </w:rPr>
            </w:pPr>
            <w:r w:rsidRPr="00BB2438">
              <w:rPr>
                <w:rFonts w:ascii="Calibri" w:eastAsia="Times New Roman" w:hAnsi="Calibri" w:cs="Calibri"/>
                <w:color w:val="000000"/>
                <w:sz w:val="22"/>
              </w:rPr>
              <w:t> </w:t>
            </w:r>
          </w:p>
        </w:tc>
        <w:tc>
          <w:tcPr>
            <w:tcW w:w="1613" w:type="dxa"/>
            <w:tcBorders>
              <w:top w:val="nil"/>
              <w:left w:val="nil"/>
              <w:bottom w:val="single" w:sz="8" w:space="0" w:color="auto"/>
              <w:right w:val="single" w:sz="8" w:space="0" w:color="auto"/>
            </w:tcBorders>
            <w:shd w:val="clear" w:color="auto" w:fill="auto"/>
            <w:noWrap/>
            <w:vAlign w:val="center"/>
            <w:hideMark/>
          </w:tcPr>
          <w:p w:rsidR="008A1D1F" w:rsidRPr="00BB2438" w:rsidRDefault="008A1D1F" w:rsidP="00A735AF">
            <w:pPr>
              <w:spacing w:after="0" w:line="240" w:lineRule="auto"/>
              <w:jc w:val="center"/>
              <w:rPr>
                <w:rFonts w:ascii="Calibri" w:eastAsia="Times New Roman" w:hAnsi="Calibri" w:cs="Calibri"/>
                <w:color w:val="000000"/>
                <w:sz w:val="22"/>
              </w:rPr>
            </w:pPr>
            <w:r w:rsidRPr="00BB2438">
              <w:rPr>
                <w:rFonts w:ascii="Calibri" w:eastAsia="Times New Roman" w:hAnsi="Calibri" w:cs="Calibri"/>
                <w:color w:val="000000"/>
                <w:sz w:val="22"/>
              </w:rPr>
              <w:t>BID</w:t>
            </w:r>
          </w:p>
        </w:tc>
        <w:tc>
          <w:tcPr>
            <w:tcW w:w="1571" w:type="dxa"/>
            <w:tcBorders>
              <w:top w:val="nil"/>
              <w:left w:val="nil"/>
              <w:bottom w:val="single" w:sz="8" w:space="0" w:color="auto"/>
              <w:right w:val="single" w:sz="8" w:space="0" w:color="auto"/>
            </w:tcBorders>
            <w:shd w:val="clear" w:color="auto" w:fill="auto"/>
            <w:noWrap/>
            <w:vAlign w:val="center"/>
            <w:hideMark/>
          </w:tcPr>
          <w:p w:rsidR="008A1D1F" w:rsidRPr="00BB2438" w:rsidRDefault="008A1D1F" w:rsidP="00A735AF">
            <w:pPr>
              <w:spacing w:after="0" w:line="240" w:lineRule="auto"/>
              <w:jc w:val="right"/>
              <w:rPr>
                <w:rFonts w:ascii="Calibri" w:eastAsia="Times New Roman" w:hAnsi="Calibri" w:cs="Calibri"/>
                <w:color w:val="000000"/>
                <w:sz w:val="22"/>
              </w:rPr>
            </w:pPr>
            <w:r w:rsidRPr="00BB2438">
              <w:rPr>
                <w:rFonts w:ascii="Calibri" w:eastAsia="Times New Roman" w:hAnsi="Calibri" w:cs="Calibri"/>
                <w:color w:val="000000"/>
                <w:sz w:val="22"/>
              </w:rPr>
              <w:t xml:space="preserve">$10,000.00 </w:t>
            </w:r>
          </w:p>
        </w:tc>
        <w:tc>
          <w:tcPr>
            <w:tcW w:w="1115" w:type="dxa"/>
            <w:tcBorders>
              <w:top w:val="nil"/>
              <w:left w:val="nil"/>
              <w:bottom w:val="single" w:sz="8" w:space="0" w:color="auto"/>
              <w:right w:val="single" w:sz="8" w:space="0" w:color="auto"/>
            </w:tcBorders>
            <w:shd w:val="clear" w:color="auto" w:fill="auto"/>
            <w:noWrap/>
            <w:vAlign w:val="center"/>
            <w:hideMark/>
          </w:tcPr>
          <w:p w:rsidR="008A1D1F" w:rsidRPr="00BB2438" w:rsidRDefault="008A1D1F" w:rsidP="00A735AF">
            <w:pPr>
              <w:spacing w:after="0" w:line="240" w:lineRule="auto"/>
              <w:jc w:val="center"/>
              <w:rPr>
                <w:rFonts w:ascii="Calibri" w:eastAsia="Times New Roman" w:hAnsi="Calibri" w:cs="Calibri"/>
                <w:color w:val="000000"/>
                <w:sz w:val="22"/>
              </w:rPr>
            </w:pPr>
            <w:r w:rsidRPr="00BB2438">
              <w:rPr>
                <w:rFonts w:ascii="Calibri" w:eastAsia="Times New Roman" w:hAnsi="Calibri" w:cs="Calibri"/>
                <w:color w:val="000000"/>
                <w:sz w:val="22"/>
              </w:rPr>
              <w:t>BID</w:t>
            </w:r>
          </w:p>
        </w:tc>
      </w:tr>
      <w:tr w:rsidR="008A1D1F" w:rsidRPr="00BB2438" w:rsidTr="00A735AF">
        <w:trPr>
          <w:trHeight w:val="310"/>
        </w:trPr>
        <w:tc>
          <w:tcPr>
            <w:tcW w:w="3945" w:type="dxa"/>
            <w:tcBorders>
              <w:top w:val="nil"/>
              <w:left w:val="single" w:sz="8" w:space="0" w:color="auto"/>
              <w:bottom w:val="single" w:sz="8" w:space="0" w:color="auto"/>
              <w:right w:val="single" w:sz="8" w:space="0" w:color="auto"/>
            </w:tcBorders>
            <w:shd w:val="clear" w:color="auto" w:fill="auto"/>
            <w:noWrap/>
            <w:vAlign w:val="center"/>
            <w:hideMark/>
          </w:tcPr>
          <w:p w:rsidR="008A1D1F" w:rsidRPr="00BB2438" w:rsidRDefault="008A1D1F" w:rsidP="00A735AF">
            <w:pPr>
              <w:spacing w:after="0" w:line="240" w:lineRule="auto"/>
              <w:rPr>
                <w:rFonts w:ascii="Calibri" w:eastAsia="Times New Roman" w:hAnsi="Calibri" w:cs="Calibri"/>
                <w:color w:val="000000"/>
                <w:sz w:val="22"/>
              </w:rPr>
            </w:pPr>
            <w:r w:rsidRPr="00BB2438">
              <w:rPr>
                <w:rFonts w:ascii="Calibri" w:eastAsia="Times New Roman" w:hAnsi="Calibri" w:cs="Calibri"/>
                <w:color w:val="000000"/>
                <w:sz w:val="22"/>
              </w:rPr>
              <w:t>Ex-post CBA</w:t>
            </w:r>
          </w:p>
        </w:tc>
        <w:tc>
          <w:tcPr>
            <w:tcW w:w="738" w:type="dxa"/>
            <w:tcBorders>
              <w:top w:val="nil"/>
              <w:left w:val="nil"/>
              <w:bottom w:val="single" w:sz="8" w:space="0" w:color="auto"/>
              <w:right w:val="single" w:sz="8" w:space="0" w:color="auto"/>
            </w:tcBorders>
            <w:shd w:val="clear" w:color="auto" w:fill="auto"/>
            <w:noWrap/>
            <w:vAlign w:val="center"/>
            <w:hideMark/>
          </w:tcPr>
          <w:p w:rsidR="008A1D1F" w:rsidRPr="00BB2438" w:rsidRDefault="008A1D1F" w:rsidP="00A735AF">
            <w:pPr>
              <w:spacing w:after="0" w:line="240" w:lineRule="auto"/>
              <w:rPr>
                <w:rFonts w:ascii="Calibri" w:eastAsia="Times New Roman" w:hAnsi="Calibri" w:cs="Calibri"/>
                <w:color w:val="000000"/>
                <w:sz w:val="22"/>
              </w:rPr>
            </w:pPr>
            <w:r w:rsidRPr="00BB2438">
              <w:rPr>
                <w:rFonts w:ascii="Calibri" w:eastAsia="Times New Roman" w:hAnsi="Calibri" w:cs="Calibri"/>
                <w:color w:val="000000"/>
                <w:sz w:val="22"/>
              </w:rPr>
              <w:t> </w:t>
            </w:r>
          </w:p>
        </w:tc>
        <w:tc>
          <w:tcPr>
            <w:tcW w:w="811" w:type="dxa"/>
            <w:tcBorders>
              <w:top w:val="nil"/>
              <w:left w:val="nil"/>
              <w:bottom w:val="single" w:sz="8" w:space="0" w:color="auto"/>
              <w:right w:val="single" w:sz="8" w:space="0" w:color="auto"/>
            </w:tcBorders>
            <w:shd w:val="clear" w:color="auto" w:fill="auto"/>
            <w:noWrap/>
            <w:vAlign w:val="center"/>
            <w:hideMark/>
          </w:tcPr>
          <w:p w:rsidR="008A1D1F" w:rsidRPr="00BB2438" w:rsidRDefault="008A1D1F" w:rsidP="00A735AF">
            <w:pPr>
              <w:spacing w:after="0" w:line="240" w:lineRule="auto"/>
              <w:rPr>
                <w:rFonts w:ascii="Calibri" w:eastAsia="Times New Roman" w:hAnsi="Calibri" w:cs="Calibri"/>
                <w:color w:val="000000"/>
                <w:sz w:val="22"/>
              </w:rPr>
            </w:pPr>
            <w:r w:rsidRPr="00BB2438">
              <w:rPr>
                <w:rFonts w:ascii="Calibri" w:eastAsia="Times New Roman" w:hAnsi="Calibri" w:cs="Calibri"/>
                <w:color w:val="000000"/>
                <w:sz w:val="22"/>
              </w:rPr>
              <w:t> </w:t>
            </w:r>
          </w:p>
        </w:tc>
        <w:tc>
          <w:tcPr>
            <w:tcW w:w="738" w:type="dxa"/>
            <w:tcBorders>
              <w:top w:val="nil"/>
              <w:left w:val="nil"/>
              <w:bottom w:val="single" w:sz="8" w:space="0" w:color="auto"/>
              <w:right w:val="single" w:sz="8" w:space="0" w:color="auto"/>
            </w:tcBorders>
            <w:shd w:val="clear" w:color="auto" w:fill="auto"/>
            <w:noWrap/>
            <w:vAlign w:val="center"/>
            <w:hideMark/>
          </w:tcPr>
          <w:p w:rsidR="008A1D1F" w:rsidRPr="00BB2438" w:rsidRDefault="008A1D1F" w:rsidP="00A735AF">
            <w:pPr>
              <w:spacing w:after="0" w:line="240" w:lineRule="auto"/>
              <w:rPr>
                <w:rFonts w:ascii="Calibri" w:eastAsia="Times New Roman" w:hAnsi="Calibri" w:cs="Calibri"/>
                <w:color w:val="000000"/>
                <w:sz w:val="22"/>
              </w:rPr>
            </w:pPr>
            <w:r w:rsidRPr="00BB2438">
              <w:rPr>
                <w:rFonts w:ascii="Calibri" w:eastAsia="Times New Roman" w:hAnsi="Calibri" w:cs="Calibri"/>
                <w:color w:val="000000"/>
                <w:sz w:val="22"/>
              </w:rPr>
              <w:t> </w:t>
            </w:r>
          </w:p>
        </w:tc>
        <w:tc>
          <w:tcPr>
            <w:tcW w:w="811" w:type="dxa"/>
            <w:tcBorders>
              <w:top w:val="nil"/>
              <w:left w:val="nil"/>
              <w:bottom w:val="single" w:sz="8" w:space="0" w:color="auto"/>
              <w:right w:val="single" w:sz="8" w:space="0" w:color="auto"/>
            </w:tcBorders>
            <w:shd w:val="clear" w:color="auto" w:fill="auto"/>
            <w:noWrap/>
            <w:vAlign w:val="center"/>
            <w:hideMark/>
          </w:tcPr>
          <w:p w:rsidR="008A1D1F" w:rsidRPr="00BB2438" w:rsidRDefault="008A1D1F" w:rsidP="00A735AF">
            <w:pPr>
              <w:spacing w:after="0" w:line="240" w:lineRule="auto"/>
              <w:rPr>
                <w:rFonts w:ascii="Calibri" w:eastAsia="Times New Roman" w:hAnsi="Calibri" w:cs="Calibri"/>
                <w:color w:val="000000"/>
                <w:sz w:val="22"/>
              </w:rPr>
            </w:pPr>
            <w:r w:rsidRPr="00BB2438">
              <w:rPr>
                <w:rFonts w:ascii="Calibri" w:eastAsia="Times New Roman" w:hAnsi="Calibri" w:cs="Calibri"/>
                <w:color w:val="000000"/>
                <w:sz w:val="22"/>
              </w:rPr>
              <w:t> </w:t>
            </w:r>
          </w:p>
        </w:tc>
        <w:tc>
          <w:tcPr>
            <w:tcW w:w="738" w:type="dxa"/>
            <w:tcBorders>
              <w:top w:val="nil"/>
              <w:left w:val="nil"/>
              <w:bottom w:val="single" w:sz="8" w:space="0" w:color="auto"/>
              <w:right w:val="single" w:sz="8" w:space="0" w:color="auto"/>
            </w:tcBorders>
            <w:shd w:val="clear" w:color="000000" w:fill="92D050"/>
            <w:noWrap/>
            <w:vAlign w:val="center"/>
            <w:hideMark/>
          </w:tcPr>
          <w:p w:rsidR="008A1D1F" w:rsidRPr="00BB2438" w:rsidRDefault="008A1D1F" w:rsidP="00A735AF">
            <w:pPr>
              <w:spacing w:after="0" w:line="240" w:lineRule="auto"/>
              <w:rPr>
                <w:rFonts w:ascii="Calibri" w:eastAsia="Times New Roman" w:hAnsi="Calibri" w:cs="Calibri"/>
                <w:color w:val="000000"/>
                <w:sz w:val="22"/>
              </w:rPr>
            </w:pPr>
            <w:r w:rsidRPr="00BB2438">
              <w:rPr>
                <w:rFonts w:ascii="Calibri" w:eastAsia="Times New Roman" w:hAnsi="Calibri" w:cs="Calibri"/>
                <w:color w:val="000000"/>
                <w:sz w:val="22"/>
              </w:rPr>
              <w:t> </w:t>
            </w:r>
          </w:p>
        </w:tc>
        <w:tc>
          <w:tcPr>
            <w:tcW w:w="811" w:type="dxa"/>
            <w:tcBorders>
              <w:top w:val="nil"/>
              <w:left w:val="nil"/>
              <w:bottom w:val="single" w:sz="8" w:space="0" w:color="auto"/>
              <w:right w:val="single" w:sz="8" w:space="0" w:color="auto"/>
            </w:tcBorders>
            <w:shd w:val="clear" w:color="auto" w:fill="auto"/>
            <w:noWrap/>
            <w:vAlign w:val="center"/>
            <w:hideMark/>
          </w:tcPr>
          <w:p w:rsidR="008A1D1F" w:rsidRPr="00BB2438" w:rsidRDefault="008A1D1F" w:rsidP="00A735AF">
            <w:pPr>
              <w:spacing w:after="0" w:line="240" w:lineRule="auto"/>
              <w:rPr>
                <w:rFonts w:ascii="Calibri" w:eastAsia="Times New Roman" w:hAnsi="Calibri" w:cs="Calibri"/>
                <w:color w:val="000000"/>
                <w:sz w:val="22"/>
              </w:rPr>
            </w:pPr>
            <w:r w:rsidRPr="00BB2438">
              <w:rPr>
                <w:rFonts w:ascii="Calibri" w:eastAsia="Times New Roman" w:hAnsi="Calibri" w:cs="Calibri"/>
                <w:color w:val="000000"/>
                <w:sz w:val="22"/>
              </w:rPr>
              <w:t> </w:t>
            </w:r>
          </w:p>
        </w:tc>
        <w:tc>
          <w:tcPr>
            <w:tcW w:w="1613" w:type="dxa"/>
            <w:tcBorders>
              <w:top w:val="nil"/>
              <w:left w:val="nil"/>
              <w:bottom w:val="single" w:sz="8" w:space="0" w:color="auto"/>
              <w:right w:val="single" w:sz="8" w:space="0" w:color="auto"/>
            </w:tcBorders>
            <w:shd w:val="clear" w:color="auto" w:fill="auto"/>
            <w:noWrap/>
            <w:vAlign w:val="center"/>
            <w:hideMark/>
          </w:tcPr>
          <w:p w:rsidR="008A1D1F" w:rsidRPr="00BB2438" w:rsidRDefault="008A1D1F" w:rsidP="00A735AF">
            <w:pPr>
              <w:spacing w:after="0" w:line="240" w:lineRule="auto"/>
              <w:jc w:val="center"/>
              <w:rPr>
                <w:rFonts w:ascii="Calibri" w:eastAsia="Times New Roman" w:hAnsi="Calibri" w:cs="Calibri"/>
                <w:color w:val="000000"/>
                <w:sz w:val="22"/>
              </w:rPr>
            </w:pPr>
            <w:r w:rsidRPr="00BB2438">
              <w:rPr>
                <w:rFonts w:ascii="Calibri" w:eastAsia="Times New Roman" w:hAnsi="Calibri" w:cs="Calibri"/>
                <w:color w:val="000000"/>
                <w:sz w:val="22"/>
              </w:rPr>
              <w:t>BID</w:t>
            </w:r>
          </w:p>
        </w:tc>
        <w:tc>
          <w:tcPr>
            <w:tcW w:w="1571" w:type="dxa"/>
            <w:tcBorders>
              <w:top w:val="nil"/>
              <w:left w:val="nil"/>
              <w:bottom w:val="single" w:sz="8" w:space="0" w:color="auto"/>
              <w:right w:val="single" w:sz="8" w:space="0" w:color="auto"/>
            </w:tcBorders>
            <w:shd w:val="clear" w:color="auto" w:fill="auto"/>
            <w:noWrap/>
            <w:vAlign w:val="center"/>
            <w:hideMark/>
          </w:tcPr>
          <w:p w:rsidR="008A1D1F" w:rsidRPr="00BB2438" w:rsidRDefault="008A1D1F" w:rsidP="00A735AF">
            <w:pPr>
              <w:spacing w:after="0" w:line="240" w:lineRule="auto"/>
              <w:jc w:val="right"/>
              <w:rPr>
                <w:rFonts w:ascii="Calibri" w:eastAsia="Times New Roman" w:hAnsi="Calibri" w:cs="Calibri"/>
                <w:color w:val="000000"/>
                <w:sz w:val="22"/>
              </w:rPr>
            </w:pPr>
            <w:r w:rsidRPr="00BB2438">
              <w:rPr>
                <w:rFonts w:ascii="Calibri" w:eastAsia="Times New Roman" w:hAnsi="Calibri" w:cs="Calibri"/>
                <w:color w:val="000000"/>
                <w:sz w:val="22"/>
              </w:rPr>
              <w:t xml:space="preserve">$20,000.00 </w:t>
            </w:r>
          </w:p>
        </w:tc>
        <w:tc>
          <w:tcPr>
            <w:tcW w:w="1115" w:type="dxa"/>
            <w:tcBorders>
              <w:top w:val="nil"/>
              <w:left w:val="nil"/>
              <w:bottom w:val="single" w:sz="8" w:space="0" w:color="auto"/>
              <w:right w:val="single" w:sz="8" w:space="0" w:color="auto"/>
            </w:tcBorders>
            <w:shd w:val="clear" w:color="auto" w:fill="auto"/>
            <w:noWrap/>
            <w:vAlign w:val="center"/>
            <w:hideMark/>
          </w:tcPr>
          <w:p w:rsidR="008A1D1F" w:rsidRPr="00BB2438" w:rsidRDefault="008A1D1F" w:rsidP="00A735AF">
            <w:pPr>
              <w:spacing w:after="0" w:line="240" w:lineRule="auto"/>
              <w:jc w:val="center"/>
              <w:rPr>
                <w:rFonts w:ascii="Calibri" w:eastAsia="Times New Roman" w:hAnsi="Calibri" w:cs="Calibri"/>
                <w:color w:val="000000"/>
                <w:sz w:val="22"/>
              </w:rPr>
            </w:pPr>
            <w:r w:rsidRPr="00BB2438">
              <w:rPr>
                <w:rFonts w:ascii="Calibri" w:eastAsia="Times New Roman" w:hAnsi="Calibri" w:cs="Calibri"/>
                <w:color w:val="000000"/>
                <w:sz w:val="22"/>
              </w:rPr>
              <w:t>BID</w:t>
            </w:r>
          </w:p>
        </w:tc>
      </w:tr>
      <w:tr w:rsidR="008A1D1F" w:rsidRPr="00BB2438" w:rsidTr="00A735AF">
        <w:trPr>
          <w:trHeight w:val="310"/>
        </w:trPr>
        <w:tc>
          <w:tcPr>
            <w:tcW w:w="3945" w:type="dxa"/>
            <w:tcBorders>
              <w:top w:val="nil"/>
              <w:left w:val="single" w:sz="8" w:space="0" w:color="auto"/>
              <w:bottom w:val="single" w:sz="8" w:space="0" w:color="auto"/>
              <w:right w:val="single" w:sz="8" w:space="0" w:color="auto"/>
            </w:tcBorders>
            <w:shd w:val="clear" w:color="auto" w:fill="auto"/>
            <w:noWrap/>
            <w:vAlign w:val="center"/>
            <w:hideMark/>
          </w:tcPr>
          <w:p w:rsidR="008A1D1F" w:rsidRPr="00BB2438" w:rsidRDefault="008A1D1F" w:rsidP="00A735AF">
            <w:pPr>
              <w:spacing w:after="0" w:line="240" w:lineRule="auto"/>
              <w:rPr>
                <w:rFonts w:ascii="Calibri" w:eastAsia="Times New Roman" w:hAnsi="Calibri" w:cs="Calibri"/>
                <w:color w:val="000000"/>
                <w:sz w:val="22"/>
              </w:rPr>
            </w:pPr>
            <w:r w:rsidRPr="00BB2438">
              <w:rPr>
                <w:rFonts w:ascii="Calibri" w:eastAsia="Times New Roman" w:hAnsi="Calibri" w:cs="Calibri"/>
                <w:color w:val="000000"/>
                <w:sz w:val="22"/>
                <w:lang w:val="es-ES_tradnl"/>
              </w:rPr>
              <w:t xml:space="preserve">Project </w:t>
            </w:r>
            <w:r w:rsidRPr="006B3F1C">
              <w:rPr>
                <w:rFonts w:ascii="Calibri" w:eastAsia="Times New Roman" w:hAnsi="Calibri" w:cs="Calibri"/>
                <w:color w:val="000000"/>
                <w:sz w:val="22"/>
              </w:rPr>
              <w:t>Completion</w:t>
            </w:r>
            <w:r w:rsidRPr="00BB2438">
              <w:rPr>
                <w:rFonts w:ascii="Calibri" w:eastAsia="Times New Roman" w:hAnsi="Calibri" w:cs="Calibri"/>
                <w:color w:val="000000"/>
                <w:sz w:val="22"/>
                <w:lang w:val="es-ES_tradnl"/>
              </w:rPr>
              <w:t xml:space="preserve"> </w:t>
            </w:r>
            <w:r w:rsidRPr="006B3F1C">
              <w:rPr>
                <w:rFonts w:ascii="Calibri" w:eastAsia="Times New Roman" w:hAnsi="Calibri" w:cs="Calibri"/>
                <w:color w:val="000000"/>
                <w:sz w:val="22"/>
              </w:rPr>
              <w:t>Report</w:t>
            </w:r>
            <w:r w:rsidRPr="00BB2438">
              <w:rPr>
                <w:rFonts w:ascii="Calibri" w:eastAsia="Times New Roman" w:hAnsi="Calibri" w:cs="Calibri"/>
                <w:color w:val="000000"/>
                <w:sz w:val="22"/>
                <w:lang w:val="es-ES_tradnl"/>
              </w:rPr>
              <w:t xml:space="preserve"> (PCR) </w:t>
            </w:r>
          </w:p>
        </w:tc>
        <w:tc>
          <w:tcPr>
            <w:tcW w:w="738" w:type="dxa"/>
            <w:tcBorders>
              <w:top w:val="nil"/>
              <w:left w:val="nil"/>
              <w:bottom w:val="single" w:sz="8" w:space="0" w:color="auto"/>
              <w:right w:val="single" w:sz="8" w:space="0" w:color="auto"/>
            </w:tcBorders>
            <w:shd w:val="clear" w:color="auto" w:fill="auto"/>
            <w:noWrap/>
            <w:vAlign w:val="center"/>
            <w:hideMark/>
          </w:tcPr>
          <w:p w:rsidR="008A1D1F" w:rsidRPr="00BB2438" w:rsidRDefault="008A1D1F" w:rsidP="00A735AF">
            <w:pPr>
              <w:spacing w:after="0" w:line="240" w:lineRule="auto"/>
              <w:rPr>
                <w:rFonts w:ascii="Calibri" w:eastAsia="Times New Roman" w:hAnsi="Calibri" w:cs="Calibri"/>
                <w:color w:val="000000"/>
                <w:sz w:val="22"/>
              </w:rPr>
            </w:pPr>
            <w:r w:rsidRPr="00BB2438">
              <w:rPr>
                <w:rFonts w:ascii="Calibri" w:eastAsia="Times New Roman" w:hAnsi="Calibri" w:cs="Calibri"/>
                <w:color w:val="000000"/>
                <w:sz w:val="22"/>
                <w:lang w:val="es-ES_tradnl"/>
              </w:rPr>
              <w:t> </w:t>
            </w:r>
          </w:p>
        </w:tc>
        <w:tc>
          <w:tcPr>
            <w:tcW w:w="811" w:type="dxa"/>
            <w:tcBorders>
              <w:top w:val="nil"/>
              <w:left w:val="nil"/>
              <w:bottom w:val="single" w:sz="8" w:space="0" w:color="auto"/>
              <w:right w:val="single" w:sz="8" w:space="0" w:color="auto"/>
            </w:tcBorders>
            <w:shd w:val="clear" w:color="auto" w:fill="auto"/>
            <w:noWrap/>
            <w:vAlign w:val="center"/>
            <w:hideMark/>
          </w:tcPr>
          <w:p w:rsidR="008A1D1F" w:rsidRPr="00BB2438" w:rsidRDefault="008A1D1F" w:rsidP="00A735AF">
            <w:pPr>
              <w:spacing w:after="0" w:line="240" w:lineRule="auto"/>
              <w:rPr>
                <w:rFonts w:ascii="Calibri" w:eastAsia="Times New Roman" w:hAnsi="Calibri" w:cs="Calibri"/>
                <w:color w:val="000000"/>
                <w:sz w:val="22"/>
              </w:rPr>
            </w:pPr>
            <w:r w:rsidRPr="00BB2438">
              <w:rPr>
                <w:rFonts w:ascii="Calibri" w:eastAsia="Times New Roman" w:hAnsi="Calibri" w:cs="Calibri"/>
                <w:color w:val="000000"/>
                <w:sz w:val="22"/>
                <w:lang w:val="es-ES_tradnl"/>
              </w:rPr>
              <w:t> </w:t>
            </w:r>
          </w:p>
        </w:tc>
        <w:tc>
          <w:tcPr>
            <w:tcW w:w="738" w:type="dxa"/>
            <w:tcBorders>
              <w:top w:val="nil"/>
              <w:left w:val="nil"/>
              <w:bottom w:val="single" w:sz="8" w:space="0" w:color="auto"/>
              <w:right w:val="single" w:sz="8" w:space="0" w:color="auto"/>
            </w:tcBorders>
            <w:shd w:val="clear" w:color="auto" w:fill="auto"/>
            <w:noWrap/>
            <w:vAlign w:val="center"/>
            <w:hideMark/>
          </w:tcPr>
          <w:p w:rsidR="008A1D1F" w:rsidRPr="00BB2438" w:rsidRDefault="008A1D1F" w:rsidP="00A735AF">
            <w:pPr>
              <w:spacing w:after="0" w:line="240" w:lineRule="auto"/>
              <w:rPr>
                <w:rFonts w:ascii="Calibri" w:eastAsia="Times New Roman" w:hAnsi="Calibri" w:cs="Calibri"/>
                <w:color w:val="000000"/>
                <w:sz w:val="22"/>
              </w:rPr>
            </w:pPr>
            <w:r w:rsidRPr="00BB2438">
              <w:rPr>
                <w:rFonts w:ascii="Calibri" w:eastAsia="Times New Roman" w:hAnsi="Calibri" w:cs="Calibri"/>
                <w:color w:val="000000"/>
                <w:sz w:val="22"/>
                <w:lang w:val="es-ES_tradnl"/>
              </w:rPr>
              <w:t> </w:t>
            </w:r>
          </w:p>
        </w:tc>
        <w:tc>
          <w:tcPr>
            <w:tcW w:w="811" w:type="dxa"/>
            <w:tcBorders>
              <w:top w:val="nil"/>
              <w:left w:val="nil"/>
              <w:bottom w:val="single" w:sz="8" w:space="0" w:color="auto"/>
              <w:right w:val="single" w:sz="8" w:space="0" w:color="auto"/>
            </w:tcBorders>
            <w:shd w:val="clear" w:color="auto" w:fill="auto"/>
            <w:noWrap/>
            <w:vAlign w:val="center"/>
            <w:hideMark/>
          </w:tcPr>
          <w:p w:rsidR="008A1D1F" w:rsidRPr="00BB2438" w:rsidRDefault="008A1D1F" w:rsidP="00A735AF">
            <w:pPr>
              <w:spacing w:after="0" w:line="240" w:lineRule="auto"/>
              <w:rPr>
                <w:rFonts w:ascii="Calibri" w:eastAsia="Times New Roman" w:hAnsi="Calibri" w:cs="Calibri"/>
                <w:color w:val="000000"/>
                <w:sz w:val="22"/>
              </w:rPr>
            </w:pPr>
            <w:r w:rsidRPr="00BB2438">
              <w:rPr>
                <w:rFonts w:ascii="Calibri" w:eastAsia="Times New Roman" w:hAnsi="Calibri" w:cs="Calibri"/>
                <w:color w:val="000000"/>
                <w:sz w:val="22"/>
                <w:lang w:val="es-ES_tradnl"/>
              </w:rPr>
              <w:t> </w:t>
            </w:r>
          </w:p>
        </w:tc>
        <w:tc>
          <w:tcPr>
            <w:tcW w:w="738" w:type="dxa"/>
            <w:tcBorders>
              <w:top w:val="nil"/>
              <w:left w:val="nil"/>
              <w:bottom w:val="single" w:sz="8" w:space="0" w:color="auto"/>
              <w:right w:val="single" w:sz="8" w:space="0" w:color="auto"/>
            </w:tcBorders>
            <w:shd w:val="clear" w:color="000000" w:fill="92D050"/>
            <w:noWrap/>
            <w:vAlign w:val="center"/>
            <w:hideMark/>
          </w:tcPr>
          <w:p w:rsidR="008A1D1F" w:rsidRPr="00BB2438" w:rsidRDefault="008A1D1F" w:rsidP="00A735AF">
            <w:pPr>
              <w:spacing w:after="0" w:line="240" w:lineRule="auto"/>
              <w:rPr>
                <w:rFonts w:ascii="Calibri" w:eastAsia="Times New Roman" w:hAnsi="Calibri" w:cs="Calibri"/>
                <w:color w:val="000000"/>
                <w:sz w:val="22"/>
              </w:rPr>
            </w:pPr>
            <w:r w:rsidRPr="00BB2438">
              <w:rPr>
                <w:rFonts w:ascii="Calibri" w:eastAsia="Times New Roman" w:hAnsi="Calibri" w:cs="Calibri"/>
                <w:color w:val="000000"/>
                <w:sz w:val="22"/>
                <w:lang w:val="es-ES_tradnl"/>
              </w:rPr>
              <w:t> </w:t>
            </w:r>
          </w:p>
        </w:tc>
        <w:tc>
          <w:tcPr>
            <w:tcW w:w="811" w:type="dxa"/>
            <w:tcBorders>
              <w:top w:val="nil"/>
              <w:left w:val="nil"/>
              <w:bottom w:val="single" w:sz="8" w:space="0" w:color="auto"/>
              <w:right w:val="single" w:sz="8" w:space="0" w:color="auto"/>
            </w:tcBorders>
            <w:shd w:val="clear" w:color="auto" w:fill="auto"/>
            <w:noWrap/>
            <w:vAlign w:val="center"/>
            <w:hideMark/>
          </w:tcPr>
          <w:p w:rsidR="008A1D1F" w:rsidRPr="00BB2438" w:rsidRDefault="008A1D1F" w:rsidP="00A735AF">
            <w:pPr>
              <w:spacing w:after="0" w:line="240" w:lineRule="auto"/>
              <w:rPr>
                <w:rFonts w:ascii="Calibri" w:eastAsia="Times New Roman" w:hAnsi="Calibri" w:cs="Calibri"/>
                <w:color w:val="000000"/>
                <w:sz w:val="22"/>
              </w:rPr>
            </w:pPr>
            <w:r w:rsidRPr="00BB2438">
              <w:rPr>
                <w:rFonts w:ascii="Calibri" w:eastAsia="Times New Roman" w:hAnsi="Calibri" w:cs="Calibri"/>
                <w:color w:val="000000"/>
                <w:sz w:val="22"/>
                <w:lang w:val="es-ES_tradnl"/>
              </w:rPr>
              <w:t> </w:t>
            </w:r>
          </w:p>
        </w:tc>
        <w:tc>
          <w:tcPr>
            <w:tcW w:w="1613" w:type="dxa"/>
            <w:tcBorders>
              <w:top w:val="nil"/>
              <w:left w:val="nil"/>
              <w:bottom w:val="single" w:sz="8" w:space="0" w:color="auto"/>
              <w:right w:val="single" w:sz="8" w:space="0" w:color="auto"/>
            </w:tcBorders>
            <w:shd w:val="clear" w:color="auto" w:fill="auto"/>
            <w:noWrap/>
            <w:vAlign w:val="center"/>
            <w:hideMark/>
          </w:tcPr>
          <w:p w:rsidR="008A1D1F" w:rsidRPr="00BB2438" w:rsidRDefault="008A1D1F" w:rsidP="00A735AF">
            <w:pPr>
              <w:spacing w:after="0" w:line="240" w:lineRule="auto"/>
              <w:jc w:val="center"/>
              <w:rPr>
                <w:rFonts w:ascii="Calibri" w:eastAsia="Times New Roman" w:hAnsi="Calibri" w:cs="Calibri"/>
                <w:color w:val="000000"/>
                <w:sz w:val="22"/>
              </w:rPr>
            </w:pPr>
            <w:r w:rsidRPr="00BB2438">
              <w:rPr>
                <w:rFonts w:ascii="Calibri" w:eastAsia="Times New Roman" w:hAnsi="Calibri" w:cs="Calibri"/>
                <w:color w:val="000000"/>
                <w:sz w:val="22"/>
              </w:rPr>
              <w:t>BID</w:t>
            </w:r>
          </w:p>
        </w:tc>
        <w:tc>
          <w:tcPr>
            <w:tcW w:w="1571" w:type="dxa"/>
            <w:tcBorders>
              <w:top w:val="nil"/>
              <w:left w:val="nil"/>
              <w:bottom w:val="single" w:sz="8" w:space="0" w:color="auto"/>
              <w:right w:val="single" w:sz="8" w:space="0" w:color="auto"/>
            </w:tcBorders>
            <w:shd w:val="clear" w:color="auto" w:fill="auto"/>
            <w:noWrap/>
            <w:vAlign w:val="center"/>
            <w:hideMark/>
          </w:tcPr>
          <w:p w:rsidR="008A1D1F" w:rsidRPr="00BB2438" w:rsidRDefault="008A1D1F" w:rsidP="00A735AF">
            <w:pPr>
              <w:spacing w:after="0" w:line="240" w:lineRule="auto"/>
              <w:jc w:val="right"/>
              <w:rPr>
                <w:rFonts w:ascii="Calibri" w:eastAsia="Times New Roman" w:hAnsi="Calibri" w:cs="Calibri"/>
                <w:color w:val="000000"/>
                <w:sz w:val="22"/>
              </w:rPr>
            </w:pPr>
            <w:r w:rsidRPr="00BB2438">
              <w:rPr>
                <w:rFonts w:ascii="Calibri" w:eastAsia="Times New Roman" w:hAnsi="Calibri" w:cs="Calibri"/>
                <w:color w:val="000000"/>
                <w:sz w:val="22"/>
              </w:rPr>
              <w:t xml:space="preserve">$20,000.00 </w:t>
            </w:r>
          </w:p>
        </w:tc>
        <w:tc>
          <w:tcPr>
            <w:tcW w:w="1115" w:type="dxa"/>
            <w:tcBorders>
              <w:top w:val="nil"/>
              <w:left w:val="nil"/>
              <w:bottom w:val="single" w:sz="8" w:space="0" w:color="auto"/>
              <w:right w:val="single" w:sz="8" w:space="0" w:color="auto"/>
            </w:tcBorders>
            <w:shd w:val="clear" w:color="auto" w:fill="auto"/>
            <w:noWrap/>
            <w:vAlign w:val="center"/>
            <w:hideMark/>
          </w:tcPr>
          <w:p w:rsidR="008A1D1F" w:rsidRPr="00BB2438" w:rsidRDefault="008A1D1F" w:rsidP="00A735AF">
            <w:pPr>
              <w:spacing w:after="0" w:line="240" w:lineRule="auto"/>
              <w:jc w:val="center"/>
              <w:rPr>
                <w:rFonts w:ascii="Calibri" w:eastAsia="Times New Roman" w:hAnsi="Calibri" w:cs="Calibri"/>
                <w:color w:val="000000"/>
                <w:sz w:val="22"/>
              </w:rPr>
            </w:pPr>
            <w:r w:rsidRPr="00BB2438">
              <w:rPr>
                <w:rFonts w:ascii="Calibri" w:eastAsia="Times New Roman" w:hAnsi="Calibri" w:cs="Calibri"/>
                <w:color w:val="000000"/>
                <w:sz w:val="22"/>
              </w:rPr>
              <w:t>BID</w:t>
            </w:r>
          </w:p>
        </w:tc>
      </w:tr>
      <w:tr w:rsidR="008A1D1F" w:rsidRPr="00BB2438" w:rsidTr="00A735AF">
        <w:trPr>
          <w:trHeight w:val="310"/>
        </w:trPr>
        <w:tc>
          <w:tcPr>
            <w:tcW w:w="3945" w:type="dxa"/>
            <w:tcBorders>
              <w:top w:val="nil"/>
              <w:left w:val="single" w:sz="8" w:space="0" w:color="auto"/>
              <w:bottom w:val="single" w:sz="8" w:space="0" w:color="auto"/>
              <w:right w:val="single" w:sz="8" w:space="0" w:color="auto"/>
            </w:tcBorders>
            <w:shd w:val="clear" w:color="auto" w:fill="auto"/>
            <w:noWrap/>
            <w:vAlign w:val="center"/>
          </w:tcPr>
          <w:p w:rsidR="008A1D1F" w:rsidRPr="00BB2438" w:rsidRDefault="008A1D1F" w:rsidP="00A735AF">
            <w:pPr>
              <w:spacing w:after="0" w:line="240" w:lineRule="auto"/>
              <w:rPr>
                <w:rFonts w:ascii="Calibri" w:eastAsia="Times New Roman" w:hAnsi="Calibri" w:cs="Calibri"/>
                <w:color w:val="000000"/>
                <w:sz w:val="22"/>
                <w:lang w:val="es-ES_tradnl"/>
              </w:rPr>
            </w:pPr>
            <w:r w:rsidRPr="00BB2438">
              <w:rPr>
                <w:rFonts w:ascii="Calibri" w:eastAsia="Times New Roman" w:hAnsi="Calibri" w:cs="Calibri"/>
                <w:b/>
                <w:bCs/>
                <w:color w:val="000000"/>
                <w:sz w:val="22"/>
              </w:rPr>
              <w:t>Total</w:t>
            </w:r>
          </w:p>
        </w:tc>
        <w:tc>
          <w:tcPr>
            <w:tcW w:w="6260" w:type="dxa"/>
            <w:gridSpan w:val="7"/>
            <w:tcBorders>
              <w:top w:val="nil"/>
              <w:left w:val="nil"/>
              <w:bottom w:val="single" w:sz="8" w:space="0" w:color="auto"/>
              <w:right w:val="single" w:sz="8" w:space="0" w:color="auto"/>
            </w:tcBorders>
            <w:shd w:val="clear" w:color="auto" w:fill="auto"/>
            <w:noWrap/>
            <w:vAlign w:val="center"/>
          </w:tcPr>
          <w:p w:rsidR="008A1D1F" w:rsidRPr="00BB2438" w:rsidRDefault="008A1D1F" w:rsidP="00A735AF">
            <w:pPr>
              <w:spacing w:after="0" w:line="240" w:lineRule="auto"/>
              <w:jc w:val="center"/>
              <w:rPr>
                <w:rFonts w:ascii="Calibri" w:eastAsia="Times New Roman" w:hAnsi="Calibri" w:cs="Calibri"/>
                <w:color w:val="000000"/>
                <w:sz w:val="22"/>
              </w:rPr>
            </w:pPr>
          </w:p>
        </w:tc>
        <w:tc>
          <w:tcPr>
            <w:tcW w:w="1571" w:type="dxa"/>
            <w:tcBorders>
              <w:top w:val="nil"/>
              <w:left w:val="nil"/>
              <w:bottom w:val="single" w:sz="8" w:space="0" w:color="auto"/>
              <w:right w:val="single" w:sz="8" w:space="0" w:color="auto"/>
            </w:tcBorders>
            <w:shd w:val="clear" w:color="auto" w:fill="auto"/>
            <w:noWrap/>
            <w:vAlign w:val="center"/>
          </w:tcPr>
          <w:p w:rsidR="008A1D1F" w:rsidRPr="00BB2438" w:rsidRDefault="008A1D1F" w:rsidP="00A735AF">
            <w:pPr>
              <w:spacing w:after="0" w:line="240" w:lineRule="auto"/>
              <w:jc w:val="right"/>
              <w:rPr>
                <w:rFonts w:ascii="Calibri" w:eastAsia="Times New Roman" w:hAnsi="Calibri" w:cs="Calibri"/>
                <w:color w:val="000000"/>
                <w:sz w:val="22"/>
              </w:rPr>
            </w:pPr>
            <w:r w:rsidRPr="00BB2438">
              <w:rPr>
                <w:rFonts w:ascii="Calibri" w:eastAsia="Times New Roman" w:hAnsi="Calibri" w:cs="Calibri"/>
                <w:b/>
                <w:bCs/>
                <w:color w:val="000000"/>
                <w:sz w:val="22"/>
              </w:rPr>
              <w:t>$140,000.00</w:t>
            </w:r>
          </w:p>
        </w:tc>
        <w:tc>
          <w:tcPr>
            <w:tcW w:w="1115" w:type="dxa"/>
            <w:tcBorders>
              <w:top w:val="nil"/>
              <w:left w:val="nil"/>
              <w:bottom w:val="single" w:sz="8" w:space="0" w:color="auto"/>
              <w:right w:val="single" w:sz="8" w:space="0" w:color="auto"/>
            </w:tcBorders>
            <w:shd w:val="clear" w:color="auto" w:fill="auto"/>
            <w:noWrap/>
            <w:vAlign w:val="center"/>
          </w:tcPr>
          <w:p w:rsidR="008A1D1F" w:rsidRPr="00BB2438" w:rsidRDefault="008A1D1F" w:rsidP="00A735AF">
            <w:pPr>
              <w:spacing w:after="0" w:line="240" w:lineRule="auto"/>
              <w:jc w:val="center"/>
              <w:rPr>
                <w:rFonts w:ascii="Calibri" w:eastAsia="Times New Roman" w:hAnsi="Calibri" w:cs="Calibri"/>
                <w:color w:val="000000"/>
                <w:sz w:val="22"/>
              </w:rPr>
            </w:pPr>
          </w:p>
        </w:tc>
      </w:tr>
    </w:tbl>
    <w:p w:rsidR="008A1D1F" w:rsidRDefault="008A1D1F" w:rsidP="008A1D1F">
      <w:pPr>
        <w:jc w:val="both"/>
        <w:rPr>
          <w:rFonts w:eastAsia="Times New Roman"/>
          <w:szCs w:val="20"/>
        </w:rPr>
      </w:pPr>
    </w:p>
    <w:p w:rsidR="008A1D1F" w:rsidRDefault="008A1D1F" w:rsidP="008A1D1F">
      <w:pPr>
        <w:spacing w:after="0" w:line="360" w:lineRule="auto"/>
        <w:jc w:val="both"/>
        <w:rPr>
          <w:szCs w:val="24"/>
        </w:rPr>
      </w:pPr>
      <w:r w:rsidRPr="00F97DF7">
        <w:rPr>
          <w:szCs w:val="20"/>
        </w:rPr>
        <w:t>The borrower is responsible for</w:t>
      </w:r>
      <w:r w:rsidRPr="00BF6F36">
        <w:rPr>
          <w:szCs w:val="24"/>
        </w:rPr>
        <w:t xml:space="preserve"> cooperating with the IDB team and the consultant(s) hired by the IDB in all the matters related with the Evaluation of this program.</w:t>
      </w:r>
      <w:bookmarkEnd w:id="0"/>
    </w:p>
    <w:p w:rsidR="008A1D1F" w:rsidRDefault="008A1D1F" w:rsidP="008A1D1F">
      <w:pPr>
        <w:spacing w:after="0" w:line="360" w:lineRule="auto"/>
        <w:jc w:val="both"/>
        <w:rPr>
          <w:szCs w:val="24"/>
        </w:rPr>
      </w:pPr>
    </w:p>
    <w:p w:rsidR="008A1D1F" w:rsidRDefault="008A1D1F" w:rsidP="008A1D1F">
      <w:pPr>
        <w:spacing w:after="0" w:line="360" w:lineRule="auto"/>
        <w:jc w:val="both"/>
        <w:rPr>
          <w:szCs w:val="24"/>
        </w:rPr>
      </w:pPr>
      <w:r w:rsidRPr="00FF0D1D">
        <w:rPr>
          <w:szCs w:val="24"/>
        </w:rPr>
        <w:t xml:space="preserve">The IDB Project Team will be from the Energy Division based in Washington, DC (INE/ENE) and the Country Office in Suriname (CCB/CSU), which will be responsible for the follow-up of the Program.  </w:t>
      </w:r>
    </w:p>
    <w:p w:rsidR="008A1D1F" w:rsidRDefault="008A1D1F" w:rsidP="008A1D1F">
      <w:pPr>
        <w:spacing w:after="0" w:line="360" w:lineRule="auto"/>
        <w:jc w:val="both"/>
        <w:rPr>
          <w:szCs w:val="24"/>
        </w:rPr>
      </w:pPr>
    </w:p>
    <w:p w:rsidR="008A1D1F" w:rsidRDefault="008A1D1F" w:rsidP="008A1D1F">
      <w:pPr>
        <w:spacing w:after="0" w:line="360" w:lineRule="auto"/>
        <w:jc w:val="both"/>
        <w:rPr>
          <w:szCs w:val="24"/>
        </w:rPr>
      </w:pPr>
    </w:p>
    <w:p w:rsidR="008A1D1F" w:rsidRDefault="008A1D1F" w:rsidP="008A1D1F">
      <w:pPr>
        <w:spacing w:after="0" w:line="360" w:lineRule="auto"/>
        <w:jc w:val="both"/>
        <w:rPr>
          <w:szCs w:val="24"/>
        </w:rPr>
      </w:pPr>
    </w:p>
    <w:p w:rsidR="008A1D1F" w:rsidRDefault="008A1D1F" w:rsidP="008A1D1F">
      <w:pPr>
        <w:spacing w:after="0" w:line="360" w:lineRule="auto"/>
        <w:jc w:val="both"/>
        <w:rPr>
          <w:szCs w:val="24"/>
        </w:rPr>
      </w:pPr>
    </w:p>
    <w:p w:rsidR="008A1D1F" w:rsidRDefault="008A1D1F" w:rsidP="008A1D1F">
      <w:pPr>
        <w:spacing w:after="0" w:line="360" w:lineRule="auto"/>
        <w:jc w:val="both"/>
        <w:rPr>
          <w:szCs w:val="24"/>
        </w:rPr>
      </w:pPr>
    </w:p>
    <w:p w:rsidR="008A1D1F" w:rsidRDefault="008A1D1F" w:rsidP="008A1D1F">
      <w:pPr>
        <w:spacing w:after="0" w:line="360" w:lineRule="auto"/>
        <w:jc w:val="both"/>
        <w:rPr>
          <w:szCs w:val="24"/>
        </w:rPr>
      </w:pPr>
    </w:p>
    <w:p w:rsidR="008A1D1F" w:rsidRDefault="008A1D1F" w:rsidP="008A1D1F">
      <w:pPr>
        <w:spacing w:after="0" w:line="360" w:lineRule="auto"/>
        <w:jc w:val="both"/>
        <w:rPr>
          <w:szCs w:val="24"/>
        </w:rPr>
        <w:sectPr w:rsidR="008A1D1F" w:rsidSect="003E6371">
          <w:pgSz w:w="15840" w:h="12240" w:orient="landscape"/>
          <w:pgMar w:top="1440" w:right="1440" w:bottom="1440" w:left="1440" w:header="720" w:footer="720" w:gutter="0"/>
          <w:cols w:space="720"/>
          <w:docGrid w:linePitch="360"/>
        </w:sectPr>
      </w:pPr>
    </w:p>
    <w:p w:rsidR="008A1D1F" w:rsidRPr="00662F41" w:rsidRDefault="008A1D1F" w:rsidP="008A1D1F">
      <w:pPr>
        <w:spacing w:after="0" w:line="360" w:lineRule="auto"/>
        <w:jc w:val="center"/>
        <w:rPr>
          <w:b/>
          <w:szCs w:val="24"/>
        </w:rPr>
      </w:pPr>
      <w:r w:rsidRPr="00662F41">
        <w:rPr>
          <w:b/>
          <w:szCs w:val="24"/>
        </w:rPr>
        <w:lastRenderedPageBreak/>
        <w:t>ANNEX I</w:t>
      </w:r>
    </w:p>
    <w:p w:rsidR="008A1D1F" w:rsidRPr="00662F41" w:rsidRDefault="008A1D1F" w:rsidP="008A1D1F">
      <w:pPr>
        <w:spacing w:after="0" w:line="360" w:lineRule="auto"/>
        <w:jc w:val="center"/>
        <w:rPr>
          <w:b/>
          <w:szCs w:val="24"/>
        </w:rPr>
      </w:pPr>
    </w:p>
    <w:p w:rsidR="008A1D1F" w:rsidRPr="00662F41" w:rsidRDefault="008A1D1F" w:rsidP="008A1D1F">
      <w:pPr>
        <w:spacing w:after="0" w:line="360" w:lineRule="auto"/>
        <w:jc w:val="center"/>
        <w:rPr>
          <w:b/>
          <w:szCs w:val="24"/>
        </w:rPr>
      </w:pPr>
      <w:r w:rsidRPr="00662F41">
        <w:rPr>
          <w:b/>
          <w:szCs w:val="24"/>
        </w:rPr>
        <w:t>TERMS OF REFERENCE</w:t>
      </w:r>
    </w:p>
    <w:p w:rsidR="008A1D1F" w:rsidRPr="00662F41" w:rsidRDefault="008A1D1F" w:rsidP="008A1D1F">
      <w:pPr>
        <w:spacing w:after="0" w:line="360" w:lineRule="auto"/>
        <w:jc w:val="center"/>
        <w:rPr>
          <w:b/>
          <w:szCs w:val="24"/>
        </w:rPr>
      </w:pPr>
      <w:r w:rsidRPr="00662F41">
        <w:rPr>
          <w:b/>
          <w:szCs w:val="24"/>
        </w:rPr>
        <w:t>ENERGY DIVISION (INE/ENE)</w:t>
      </w:r>
    </w:p>
    <w:p w:rsidR="008A1D1F" w:rsidRDefault="008A1D1F" w:rsidP="008A1D1F">
      <w:pPr>
        <w:spacing w:after="0" w:line="360" w:lineRule="auto"/>
        <w:jc w:val="center"/>
        <w:rPr>
          <w:b/>
          <w:szCs w:val="24"/>
        </w:rPr>
      </w:pPr>
      <w:r w:rsidRPr="00662F41">
        <w:rPr>
          <w:b/>
          <w:szCs w:val="24"/>
        </w:rPr>
        <w:t>SURINAME</w:t>
      </w:r>
    </w:p>
    <w:p w:rsidR="008A1D1F" w:rsidRPr="00662F41" w:rsidRDefault="008A1D1F" w:rsidP="008A1D1F">
      <w:pPr>
        <w:spacing w:after="0" w:line="360" w:lineRule="auto"/>
        <w:jc w:val="center"/>
        <w:rPr>
          <w:b/>
          <w:szCs w:val="24"/>
        </w:rPr>
      </w:pPr>
      <w:r w:rsidRPr="00662F41">
        <w:rPr>
          <w:b/>
          <w:szCs w:val="24"/>
        </w:rPr>
        <w:t>(</w:t>
      </w:r>
      <w:proofErr w:type="gramStart"/>
      <w:r w:rsidRPr="00662F41">
        <w:rPr>
          <w:b/>
          <w:szCs w:val="24"/>
        </w:rPr>
        <w:t>date</w:t>
      </w:r>
      <w:proofErr w:type="gramEnd"/>
      <w:r w:rsidRPr="00662F41">
        <w:rPr>
          <w:b/>
          <w:szCs w:val="24"/>
        </w:rPr>
        <w:t>)</w:t>
      </w:r>
    </w:p>
    <w:p w:rsidR="008A1D1F" w:rsidRDefault="008A1D1F" w:rsidP="008A1D1F">
      <w:pPr>
        <w:spacing w:after="0" w:line="360" w:lineRule="auto"/>
        <w:jc w:val="center"/>
        <w:rPr>
          <w:b/>
          <w:szCs w:val="24"/>
        </w:rPr>
      </w:pPr>
      <w:r>
        <w:rPr>
          <w:b/>
          <w:szCs w:val="24"/>
        </w:rPr>
        <w:t>(DRAFT)</w:t>
      </w:r>
    </w:p>
    <w:p w:rsidR="008A1D1F" w:rsidRPr="00662F41" w:rsidRDefault="008A1D1F" w:rsidP="008A1D1F">
      <w:pPr>
        <w:spacing w:after="0" w:line="360" w:lineRule="auto"/>
        <w:jc w:val="center"/>
        <w:rPr>
          <w:b/>
          <w:szCs w:val="24"/>
        </w:rPr>
      </w:pPr>
    </w:p>
    <w:p w:rsidR="008A1D1F" w:rsidRPr="00662F41" w:rsidRDefault="008A1D1F" w:rsidP="008A1D1F">
      <w:pPr>
        <w:spacing w:after="0" w:line="360" w:lineRule="auto"/>
        <w:jc w:val="both"/>
        <w:rPr>
          <w:b/>
          <w:szCs w:val="24"/>
        </w:rPr>
      </w:pPr>
      <w:r w:rsidRPr="00662F41">
        <w:rPr>
          <w:b/>
          <w:szCs w:val="24"/>
        </w:rPr>
        <w:t>Background</w:t>
      </w:r>
    </w:p>
    <w:p w:rsidR="008A1D1F" w:rsidRDefault="008A1D1F" w:rsidP="008A1D1F">
      <w:pPr>
        <w:spacing w:after="0" w:line="360" w:lineRule="auto"/>
        <w:jc w:val="both"/>
        <w:rPr>
          <w:szCs w:val="24"/>
        </w:rPr>
      </w:pPr>
      <w:r w:rsidRPr="00662F41">
        <w:rPr>
          <w:szCs w:val="24"/>
        </w:rPr>
        <w:t xml:space="preserve">Suriname has an area of approximately 165,000 km2, and an estimated population of 515,000. About 90% of the population lives on the country's north coast, where the capital Paramaribo is located, the rest of the population lives in the Interior (the Hinterlands), and also in the </w:t>
      </w:r>
      <w:proofErr w:type="spellStart"/>
      <w:r w:rsidRPr="00662F41">
        <w:rPr>
          <w:szCs w:val="24"/>
        </w:rPr>
        <w:t>Amazonic</w:t>
      </w:r>
      <w:proofErr w:type="spellEnd"/>
      <w:r w:rsidRPr="00662F41">
        <w:rPr>
          <w:szCs w:val="24"/>
        </w:rPr>
        <w:t xml:space="preserve"> Jungle. The country is rich in terms of its natural resources, principally gold, oil and bauxite. Moreover, Suriname basin is ranked 2nd for undiscovered oil resources potential and 6th in the world with respect to fresh water availability. Alumina, gold and oil account for 80% of export receipts and 50% of GDP. The Energy Sector is characterized by a large participation of the Government of Suriname (GSU), both in the Electricity and in the Oil sectors.</w:t>
      </w:r>
    </w:p>
    <w:p w:rsidR="008A1D1F" w:rsidRPr="00662F41" w:rsidRDefault="008A1D1F" w:rsidP="008A1D1F">
      <w:pPr>
        <w:spacing w:after="0" w:line="360" w:lineRule="auto"/>
        <w:jc w:val="both"/>
        <w:rPr>
          <w:szCs w:val="24"/>
        </w:rPr>
      </w:pPr>
    </w:p>
    <w:p w:rsidR="008A1D1F" w:rsidRDefault="008A1D1F" w:rsidP="008A1D1F">
      <w:pPr>
        <w:spacing w:after="0" w:line="360" w:lineRule="auto"/>
        <w:jc w:val="both"/>
        <w:rPr>
          <w:szCs w:val="24"/>
        </w:rPr>
      </w:pPr>
      <w:r w:rsidRPr="00662F41">
        <w:rPr>
          <w:szCs w:val="24"/>
        </w:rPr>
        <w:t xml:space="preserve">The Ministry of Natural Resources (MNH) has the primary responsibility for the sector including rural electrification; with very limited resources to effectively undertake regulatory tasks. The tariff policy and the tariff adjustments are under its responsibility. The Energy </w:t>
      </w:r>
      <w:proofErr w:type="spellStart"/>
      <w:r w:rsidRPr="00662F41">
        <w:rPr>
          <w:szCs w:val="24"/>
        </w:rPr>
        <w:t>Advies</w:t>
      </w:r>
      <w:proofErr w:type="spellEnd"/>
      <w:r w:rsidRPr="00662F41">
        <w:rPr>
          <w:szCs w:val="24"/>
        </w:rPr>
        <w:t xml:space="preserve"> </w:t>
      </w:r>
      <w:proofErr w:type="spellStart"/>
      <w:r w:rsidRPr="00662F41">
        <w:rPr>
          <w:szCs w:val="24"/>
        </w:rPr>
        <w:t>Commissie</w:t>
      </w:r>
      <w:proofErr w:type="spellEnd"/>
      <w:r w:rsidRPr="00662F41">
        <w:rPr>
          <w:szCs w:val="24"/>
        </w:rPr>
        <w:t xml:space="preserve"> (EAC) is involved in the development of electricity tariffs but it only has an advisory role.</w:t>
      </w:r>
    </w:p>
    <w:p w:rsidR="008A1D1F" w:rsidRPr="00662F41" w:rsidRDefault="008A1D1F" w:rsidP="008A1D1F">
      <w:pPr>
        <w:spacing w:after="0" w:line="360" w:lineRule="auto"/>
        <w:jc w:val="both"/>
        <w:rPr>
          <w:szCs w:val="24"/>
        </w:rPr>
      </w:pPr>
    </w:p>
    <w:p w:rsidR="008A1D1F" w:rsidRPr="00662F41" w:rsidRDefault="008A1D1F" w:rsidP="008A1D1F">
      <w:pPr>
        <w:spacing w:after="0" w:line="360" w:lineRule="auto"/>
        <w:jc w:val="both"/>
        <w:rPr>
          <w:szCs w:val="24"/>
        </w:rPr>
      </w:pPr>
      <w:r w:rsidRPr="00662F41">
        <w:rPr>
          <w:szCs w:val="24"/>
        </w:rPr>
        <w:t xml:space="preserve">Relations among the main players for the purchase of electricity in Suriname are contractual. Some of the most relevant contracts in effect are: (i) between the Suriname State and </w:t>
      </w:r>
      <w:proofErr w:type="spellStart"/>
      <w:r w:rsidRPr="00662F41">
        <w:rPr>
          <w:szCs w:val="24"/>
        </w:rPr>
        <w:t>Suralco</w:t>
      </w:r>
      <w:proofErr w:type="spellEnd"/>
      <w:r w:rsidRPr="00662F41">
        <w:rPr>
          <w:szCs w:val="24"/>
        </w:rPr>
        <w:t xml:space="preserve"> regarding the purchase of the electricity produced by the </w:t>
      </w:r>
      <w:proofErr w:type="spellStart"/>
      <w:r w:rsidRPr="00662F41">
        <w:rPr>
          <w:szCs w:val="24"/>
        </w:rPr>
        <w:t>Afobaka</w:t>
      </w:r>
      <w:proofErr w:type="spellEnd"/>
      <w:r w:rsidRPr="00662F41">
        <w:rPr>
          <w:szCs w:val="24"/>
        </w:rPr>
        <w:t xml:space="preserve"> </w:t>
      </w:r>
      <w:proofErr w:type="gramStart"/>
      <w:r w:rsidRPr="00662F41">
        <w:rPr>
          <w:szCs w:val="24"/>
        </w:rPr>
        <w:t>dam ;</w:t>
      </w:r>
      <w:proofErr w:type="gramEnd"/>
      <w:r w:rsidRPr="00662F41">
        <w:rPr>
          <w:szCs w:val="24"/>
        </w:rPr>
        <w:t xml:space="preserve"> (ii) between the Surinam State and EBS regarding the supplying to EBS of the electricity bought by the State from </w:t>
      </w:r>
      <w:proofErr w:type="spellStart"/>
      <w:r w:rsidRPr="00662F41">
        <w:rPr>
          <w:szCs w:val="24"/>
        </w:rPr>
        <w:t>Suralco</w:t>
      </w:r>
      <w:proofErr w:type="spellEnd"/>
      <w:r w:rsidRPr="00662F41">
        <w:rPr>
          <w:szCs w:val="24"/>
        </w:rPr>
        <w:t xml:space="preserve"> ; (iii) between the State and EBS regarding the concession of supply and distribution of electricity to the public in Surinam . However, concession activities do not cover production, </w:t>
      </w:r>
      <w:r w:rsidRPr="00662F41">
        <w:rPr>
          <w:szCs w:val="24"/>
        </w:rPr>
        <w:lastRenderedPageBreak/>
        <w:t xml:space="preserve">transmission and distribution of electricity which today require specific regulations and standards to be effective. </w:t>
      </w:r>
    </w:p>
    <w:p w:rsidR="008A1D1F" w:rsidRDefault="008A1D1F" w:rsidP="008A1D1F">
      <w:pPr>
        <w:spacing w:after="0" w:line="360" w:lineRule="auto"/>
        <w:jc w:val="both"/>
        <w:rPr>
          <w:szCs w:val="24"/>
        </w:rPr>
      </w:pPr>
      <w:r w:rsidRPr="00662F41">
        <w:rPr>
          <w:szCs w:val="24"/>
        </w:rPr>
        <w:t xml:space="preserve">Self-generation is permitted but not regulated. The </w:t>
      </w:r>
      <w:proofErr w:type="spellStart"/>
      <w:r w:rsidRPr="00662F41">
        <w:rPr>
          <w:szCs w:val="24"/>
        </w:rPr>
        <w:t>Afobaka</w:t>
      </w:r>
      <w:proofErr w:type="spellEnd"/>
      <w:r w:rsidRPr="00662F41">
        <w:rPr>
          <w:szCs w:val="24"/>
        </w:rPr>
        <w:t xml:space="preserve"> dam supplies about a half of the national electricity demand under the self-generation regime in the framework of a mining concession.</w:t>
      </w:r>
    </w:p>
    <w:p w:rsidR="008A1D1F" w:rsidRPr="00662F41" w:rsidRDefault="008A1D1F" w:rsidP="008A1D1F">
      <w:pPr>
        <w:spacing w:after="0" w:line="360" w:lineRule="auto"/>
        <w:jc w:val="both"/>
        <w:rPr>
          <w:szCs w:val="24"/>
        </w:rPr>
      </w:pPr>
    </w:p>
    <w:p w:rsidR="008A1D1F" w:rsidRDefault="008A1D1F" w:rsidP="008A1D1F">
      <w:pPr>
        <w:spacing w:after="0" w:line="360" w:lineRule="auto"/>
        <w:jc w:val="both"/>
        <w:rPr>
          <w:szCs w:val="24"/>
        </w:rPr>
      </w:pPr>
      <w:r w:rsidRPr="00662F41">
        <w:rPr>
          <w:szCs w:val="24"/>
        </w:rPr>
        <w:t>There is no specific Electricity Act or similar instrument adopted by the Parliament. The only regulation in force at present is the “</w:t>
      </w:r>
      <w:proofErr w:type="spellStart"/>
      <w:r w:rsidRPr="00662F41">
        <w:rPr>
          <w:szCs w:val="24"/>
        </w:rPr>
        <w:t>Algemene</w:t>
      </w:r>
      <w:proofErr w:type="spellEnd"/>
      <w:r w:rsidRPr="00662F41">
        <w:rPr>
          <w:szCs w:val="24"/>
        </w:rPr>
        <w:t xml:space="preserve"> </w:t>
      </w:r>
      <w:proofErr w:type="spellStart"/>
      <w:r w:rsidRPr="00662F41">
        <w:rPr>
          <w:szCs w:val="24"/>
        </w:rPr>
        <w:t>voorwaarden</w:t>
      </w:r>
      <w:proofErr w:type="spellEnd"/>
      <w:r w:rsidRPr="00662F41">
        <w:rPr>
          <w:szCs w:val="24"/>
        </w:rPr>
        <w:t xml:space="preserve"> </w:t>
      </w:r>
      <w:proofErr w:type="spellStart"/>
      <w:r w:rsidRPr="00662F41">
        <w:rPr>
          <w:szCs w:val="24"/>
        </w:rPr>
        <w:t>voor</w:t>
      </w:r>
      <w:proofErr w:type="spellEnd"/>
      <w:r w:rsidRPr="00662F41">
        <w:rPr>
          <w:szCs w:val="24"/>
        </w:rPr>
        <w:t xml:space="preserve"> </w:t>
      </w:r>
      <w:proofErr w:type="spellStart"/>
      <w:r w:rsidRPr="00662F41">
        <w:rPr>
          <w:szCs w:val="24"/>
        </w:rPr>
        <w:t>aansluiting</w:t>
      </w:r>
      <w:proofErr w:type="spellEnd"/>
      <w:r w:rsidRPr="00662F41">
        <w:rPr>
          <w:szCs w:val="24"/>
        </w:rPr>
        <w:t xml:space="preserve"> en/of levering van </w:t>
      </w:r>
      <w:proofErr w:type="spellStart"/>
      <w:r w:rsidRPr="00662F41">
        <w:rPr>
          <w:szCs w:val="24"/>
        </w:rPr>
        <w:t>elektrische</w:t>
      </w:r>
      <w:proofErr w:type="spellEnd"/>
      <w:r w:rsidRPr="00662F41">
        <w:rPr>
          <w:szCs w:val="24"/>
        </w:rPr>
        <w:t xml:space="preserve"> </w:t>
      </w:r>
      <w:proofErr w:type="spellStart"/>
      <w:r w:rsidRPr="00662F41">
        <w:rPr>
          <w:szCs w:val="24"/>
        </w:rPr>
        <w:t>energie</w:t>
      </w:r>
      <w:proofErr w:type="spellEnd"/>
      <w:r w:rsidRPr="00662F41">
        <w:rPr>
          <w:szCs w:val="24"/>
        </w:rPr>
        <w:t xml:space="preserve"> door de N.V. </w:t>
      </w:r>
      <w:proofErr w:type="spellStart"/>
      <w:r w:rsidRPr="00662F41">
        <w:rPr>
          <w:szCs w:val="24"/>
        </w:rPr>
        <w:t>Energie</w:t>
      </w:r>
      <w:proofErr w:type="spellEnd"/>
      <w:r w:rsidRPr="00662F41">
        <w:rPr>
          <w:szCs w:val="24"/>
        </w:rPr>
        <w:t xml:space="preserve"> </w:t>
      </w:r>
      <w:proofErr w:type="spellStart"/>
      <w:r w:rsidRPr="00662F41">
        <w:rPr>
          <w:szCs w:val="24"/>
        </w:rPr>
        <w:t>Bedrijven</w:t>
      </w:r>
      <w:proofErr w:type="spellEnd"/>
      <w:r w:rsidRPr="00662F41">
        <w:rPr>
          <w:szCs w:val="24"/>
        </w:rPr>
        <w:t xml:space="preserve"> Suriname (E.B.S.) </w:t>
      </w:r>
      <w:proofErr w:type="spellStart"/>
      <w:r w:rsidRPr="00662F41">
        <w:rPr>
          <w:szCs w:val="24"/>
        </w:rPr>
        <w:t>anders</w:t>
      </w:r>
      <w:proofErr w:type="spellEnd"/>
      <w:r w:rsidRPr="00662F41">
        <w:rPr>
          <w:szCs w:val="24"/>
        </w:rPr>
        <w:t xml:space="preserve"> </w:t>
      </w:r>
      <w:proofErr w:type="spellStart"/>
      <w:r w:rsidRPr="00662F41">
        <w:rPr>
          <w:szCs w:val="24"/>
        </w:rPr>
        <w:t>dan</w:t>
      </w:r>
      <w:proofErr w:type="spellEnd"/>
      <w:r w:rsidRPr="00662F41">
        <w:rPr>
          <w:szCs w:val="24"/>
        </w:rPr>
        <w:t xml:space="preserve"> </w:t>
      </w:r>
      <w:proofErr w:type="spellStart"/>
      <w:r w:rsidRPr="00662F41">
        <w:rPr>
          <w:szCs w:val="24"/>
        </w:rPr>
        <w:t>volgens</w:t>
      </w:r>
      <w:proofErr w:type="spellEnd"/>
      <w:r w:rsidRPr="00662F41">
        <w:rPr>
          <w:szCs w:val="24"/>
        </w:rPr>
        <w:t xml:space="preserve"> </w:t>
      </w:r>
      <w:proofErr w:type="spellStart"/>
      <w:r w:rsidRPr="00662F41">
        <w:rPr>
          <w:szCs w:val="24"/>
        </w:rPr>
        <w:t>bijzonder</w:t>
      </w:r>
      <w:proofErr w:type="spellEnd"/>
      <w:r w:rsidRPr="00662F41">
        <w:rPr>
          <w:szCs w:val="24"/>
        </w:rPr>
        <w:t xml:space="preserve"> </w:t>
      </w:r>
      <w:proofErr w:type="spellStart"/>
      <w:r w:rsidRPr="00662F41">
        <w:rPr>
          <w:szCs w:val="24"/>
        </w:rPr>
        <w:t>kontrakt</w:t>
      </w:r>
      <w:proofErr w:type="spellEnd"/>
      <w:r w:rsidRPr="00662F41">
        <w:rPr>
          <w:szCs w:val="24"/>
        </w:rPr>
        <w:t xml:space="preserve">, </w:t>
      </w:r>
      <w:proofErr w:type="spellStart"/>
      <w:r w:rsidRPr="00662F41">
        <w:rPr>
          <w:szCs w:val="24"/>
        </w:rPr>
        <w:t>vastgesteld</w:t>
      </w:r>
      <w:proofErr w:type="spellEnd"/>
      <w:r w:rsidRPr="00662F41">
        <w:rPr>
          <w:szCs w:val="24"/>
        </w:rPr>
        <w:t xml:space="preserve"> </w:t>
      </w:r>
      <w:proofErr w:type="spellStart"/>
      <w:r w:rsidRPr="00662F41">
        <w:rPr>
          <w:szCs w:val="24"/>
        </w:rPr>
        <w:t>bij</w:t>
      </w:r>
      <w:proofErr w:type="spellEnd"/>
      <w:r w:rsidRPr="00662F41">
        <w:rPr>
          <w:szCs w:val="24"/>
        </w:rPr>
        <w:t xml:space="preserve"> </w:t>
      </w:r>
      <w:proofErr w:type="spellStart"/>
      <w:r w:rsidRPr="00662F41">
        <w:rPr>
          <w:szCs w:val="24"/>
        </w:rPr>
        <w:t>Besluit</w:t>
      </w:r>
      <w:proofErr w:type="spellEnd"/>
      <w:r w:rsidRPr="00662F41">
        <w:rPr>
          <w:szCs w:val="24"/>
        </w:rPr>
        <w:t xml:space="preserve"> van 11 </w:t>
      </w:r>
      <w:proofErr w:type="spellStart"/>
      <w:r w:rsidRPr="00662F41">
        <w:rPr>
          <w:szCs w:val="24"/>
        </w:rPr>
        <w:t>januari</w:t>
      </w:r>
      <w:proofErr w:type="spellEnd"/>
      <w:r w:rsidRPr="00662F41">
        <w:rPr>
          <w:szCs w:val="24"/>
        </w:rPr>
        <w:t xml:space="preserve"> 1973 en </w:t>
      </w:r>
      <w:proofErr w:type="spellStart"/>
      <w:r w:rsidRPr="00662F41">
        <w:rPr>
          <w:szCs w:val="24"/>
        </w:rPr>
        <w:t>goedgekeurd</w:t>
      </w:r>
      <w:proofErr w:type="spellEnd"/>
      <w:r w:rsidRPr="00662F41">
        <w:rPr>
          <w:szCs w:val="24"/>
        </w:rPr>
        <w:t xml:space="preserve"> </w:t>
      </w:r>
      <w:proofErr w:type="spellStart"/>
      <w:r w:rsidRPr="00662F41">
        <w:rPr>
          <w:szCs w:val="24"/>
        </w:rPr>
        <w:t>bij</w:t>
      </w:r>
      <w:proofErr w:type="spellEnd"/>
      <w:r w:rsidRPr="00662F41">
        <w:rPr>
          <w:szCs w:val="24"/>
        </w:rPr>
        <w:t xml:space="preserve"> </w:t>
      </w:r>
      <w:proofErr w:type="spellStart"/>
      <w:r w:rsidRPr="00662F41">
        <w:rPr>
          <w:szCs w:val="24"/>
        </w:rPr>
        <w:t>resolutie</w:t>
      </w:r>
      <w:proofErr w:type="spellEnd"/>
      <w:r w:rsidRPr="00662F41">
        <w:rPr>
          <w:szCs w:val="24"/>
        </w:rPr>
        <w:t xml:space="preserve"> </w:t>
      </w:r>
      <w:proofErr w:type="spellStart"/>
      <w:r w:rsidRPr="00662F41">
        <w:rPr>
          <w:szCs w:val="24"/>
        </w:rPr>
        <w:t>d.d</w:t>
      </w:r>
      <w:proofErr w:type="spellEnd"/>
      <w:r w:rsidRPr="00662F41">
        <w:rPr>
          <w:szCs w:val="24"/>
        </w:rPr>
        <w:t xml:space="preserve">. 7 </w:t>
      </w:r>
      <w:proofErr w:type="spellStart"/>
      <w:r w:rsidRPr="00662F41">
        <w:rPr>
          <w:szCs w:val="24"/>
        </w:rPr>
        <w:t>september</w:t>
      </w:r>
      <w:proofErr w:type="spellEnd"/>
      <w:r w:rsidRPr="00662F41">
        <w:rPr>
          <w:szCs w:val="24"/>
        </w:rPr>
        <w:t xml:space="preserve"> 1973 n°9277”.</w:t>
      </w:r>
    </w:p>
    <w:p w:rsidR="008A1D1F" w:rsidRPr="00662F41" w:rsidRDefault="008A1D1F" w:rsidP="008A1D1F">
      <w:pPr>
        <w:spacing w:after="0" w:line="360" w:lineRule="auto"/>
        <w:jc w:val="both"/>
        <w:rPr>
          <w:szCs w:val="24"/>
        </w:rPr>
      </w:pPr>
    </w:p>
    <w:p w:rsidR="008A1D1F" w:rsidRDefault="008A1D1F" w:rsidP="008A1D1F">
      <w:pPr>
        <w:spacing w:after="0" w:line="360" w:lineRule="auto"/>
        <w:jc w:val="both"/>
        <w:rPr>
          <w:szCs w:val="24"/>
        </w:rPr>
      </w:pPr>
      <w:proofErr w:type="gramStart"/>
      <w:r w:rsidRPr="00662F41">
        <w:rPr>
          <w:b/>
          <w:szCs w:val="24"/>
        </w:rPr>
        <w:t>Mining subsector.</w:t>
      </w:r>
      <w:proofErr w:type="gramEnd"/>
      <w:r w:rsidRPr="00662F41">
        <w:rPr>
          <w:szCs w:val="24"/>
        </w:rPr>
        <w:t xml:space="preserve"> The GSU initiated a process to diversify this activity and to take additional measures to increase part of the State income.</w:t>
      </w:r>
    </w:p>
    <w:p w:rsidR="008A1D1F" w:rsidRPr="00662F41" w:rsidRDefault="008A1D1F" w:rsidP="008A1D1F">
      <w:pPr>
        <w:spacing w:after="0" w:line="360" w:lineRule="auto"/>
        <w:jc w:val="both"/>
        <w:rPr>
          <w:szCs w:val="24"/>
        </w:rPr>
      </w:pPr>
    </w:p>
    <w:p w:rsidR="008A1D1F" w:rsidRDefault="008A1D1F" w:rsidP="008A1D1F">
      <w:pPr>
        <w:spacing w:after="0" w:line="360" w:lineRule="auto"/>
        <w:jc w:val="both"/>
        <w:rPr>
          <w:szCs w:val="24"/>
        </w:rPr>
      </w:pPr>
      <w:r w:rsidRPr="00662F41">
        <w:rPr>
          <w:b/>
          <w:szCs w:val="24"/>
        </w:rPr>
        <w:t>Oil subsector:</w:t>
      </w:r>
      <w:r w:rsidRPr="00662F41">
        <w:rPr>
          <w:szCs w:val="24"/>
        </w:rPr>
        <w:t xml:space="preserve"> The State Oil Company of Suriname (</w:t>
      </w:r>
      <w:proofErr w:type="spellStart"/>
      <w:r w:rsidRPr="00662F41">
        <w:rPr>
          <w:szCs w:val="24"/>
        </w:rPr>
        <w:t>Staatsolie</w:t>
      </w:r>
      <w:proofErr w:type="spellEnd"/>
      <w:r w:rsidRPr="00662F41">
        <w:rPr>
          <w:szCs w:val="24"/>
        </w:rPr>
        <w:t xml:space="preserve"> </w:t>
      </w:r>
      <w:proofErr w:type="spellStart"/>
      <w:r w:rsidRPr="00662F41">
        <w:rPr>
          <w:szCs w:val="24"/>
        </w:rPr>
        <w:t>Maatschappij</w:t>
      </w:r>
      <w:proofErr w:type="spellEnd"/>
      <w:r w:rsidRPr="00662F41">
        <w:rPr>
          <w:szCs w:val="24"/>
        </w:rPr>
        <w:t xml:space="preserve"> Suriname N.V) is involved in all aspects of exploration, production, refining and marketing of crude oil and refined products. The company’s oil production in 2009 totaled 5.9 million barrels, with an average daily production of 16,000 barrels per day (bpd). The limited refining capacity determines that 80% of diesel is imported.</w:t>
      </w:r>
    </w:p>
    <w:p w:rsidR="008A1D1F" w:rsidRPr="00662F41" w:rsidRDefault="008A1D1F" w:rsidP="008A1D1F">
      <w:pPr>
        <w:spacing w:after="0" w:line="360" w:lineRule="auto"/>
        <w:jc w:val="both"/>
        <w:rPr>
          <w:szCs w:val="24"/>
        </w:rPr>
      </w:pPr>
    </w:p>
    <w:p w:rsidR="008A1D1F" w:rsidRDefault="008A1D1F" w:rsidP="008A1D1F">
      <w:pPr>
        <w:spacing w:after="0" w:line="360" w:lineRule="auto"/>
        <w:jc w:val="both"/>
        <w:rPr>
          <w:szCs w:val="24"/>
        </w:rPr>
      </w:pPr>
      <w:proofErr w:type="spellStart"/>
      <w:r w:rsidRPr="00662F41">
        <w:rPr>
          <w:szCs w:val="24"/>
        </w:rPr>
        <w:t>Staatsolie</w:t>
      </w:r>
      <w:proofErr w:type="spellEnd"/>
      <w:r w:rsidRPr="00662F41">
        <w:rPr>
          <w:szCs w:val="24"/>
        </w:rPr>
        <w:t xml:space="preserve"> reflected healthy financial indicators in 2009 with a gross turnover of US$ 425 million, an EBITA of US$ 181 million and a Return on Equity (ROE) of 28%. </w:t>
      </w:r>
      <w:proofErr w:type="gramStart"/>
      <w:r w:rsidRPr="00662F41">
        <w:rPr>
          <w:szCs w:val="24"/>
        </w:rPr>
        <w:t>In the same year.</w:t>
      </w:r>
      <w:proofErr w:type="gramEnd"/>
      <w:r w:rsidRPr="00662F41">
        <w:rPr>
          <w:szCs w:val="24"/>
        </w:rPr>
        <w:t xml:space="preserve"> </w:t>
      </w:r>
      <w:proofErr w:type="spellStart"/>
      <w:r w:rsidRPr="00662F41">
        <w:rPr>
          <w:szCs w:val="24"/>
        </w:rPr>
        <w:t>Staatsolie</w:t>
      </w:r>
      <w:proofErr w:type="spellEnd"/>
      <w:r w:rsidRPr="00662F41">
        <w:rPr>
          <w:szCs w:val="24"/>
        </w:rPr>
        <w:t xml:space="preserve"> ratified its position as one the largest tax contributors with US$ 124 million. In its planning period (2008-2012), </w:t>
      </w:r>
      <w:proofErr w:type="spellStart"/>
      <w:r w:rsidRPr="00662F41">
        <w:rPr>
          <w:szCs w:val="24"/>
        </w:rPr>
        <w:t>Staatsolie</w:t>
      </w:r>
      <w:proofErr w:type="spellEnd"/>
      <w:r w:rsidRPr="00662F41">
        <w:rPr>
          <w:szCs w:val="24"/>
        </w:rPr>
        <w:t xml:space="preserve"> included and investment program of US$ 1 billion to be supported with own resources up to US$680 million and US$320 million from external financing. Two of </w:t>
      </w:r>
      <w:proofErr w:type="spellStart"/>
      <w:r w:rsidRPr="00662F41">
        <w:rPr>
          <w:szCs w:val="24"/>
        </w:rPr>
        <w:t>Staatsolie´s</w:t>
      </w:r>
      <w:proofErr w:type="spellEnd"/>
      <w:r w:rsidRPr="00662F41">
        <w:rPr>
          <w:szCs w:val="24"/>
        </w:rPr>
        <w:t xml:space="preserve"> key projects in the following years is the completion of the expansion of the refinery (from 7,000 bpd to 15,000 bpd) and the development of new capacity with renewable, mainly hydropower.</w:t>
      </w:r>
    </w:p>
    <w:p w:rsidR="008A1D1F" w:rsidRPr="00662F41" w:rsidRDefault="008A1D1F" w:rsidP="008A1D1F">
      <w:pPr>
        <w:spacing w:after="0" w:line="360" w:lineRule="auto"/>
        <w:jc w:val="both"/>
        <w:rPr>
          <w:szCs w:val="24"/>
        </w:rPr>
      </w:pPr>
    </w:p>
    <w:p w:rsidR="008A1D1F" w:rsidRDefault="008A1D1F" w:rsidP="008A1D1F">
      <w:pPr>
        <w:spacing w:after="0" w:line="360" w:lineRule="auto"/>
        <w:jc w:val="both"/>
        <w:rPr>
          <w:szCs w:val="24"/>
        </w:rPr>
      </w:pPr>
      <w:proofErr w:type="spellStart"/>
      <w:r w:rsidRPr="00662F41">
        <w:rPr>
          <w:szCs w:val="24"/>
        </w:rPr>
        <w:lastRenderedPageBreak/>
        <w:t>Staatsolie</w:t>
      </w:r>
      <w:proofErr w:type="spellEnd"/>
      <w:r w:rsidRPr="00662F41">
        <w:rPr>
          <w:szCs w:val="24"/>
        </w:rPr>
        <w:t xml:space="preserve"> also has a participation in the power sector, with a 15 MW thermal power plant that supplies energy to the state’s electrical company, Energy </w:t>
      </w:r>
      <w:proofErr w:type="spellStart"/>
      <w:r w:rsidRPr="00662F41">
        <w:rPr>
          <w:szCs w:val="24"/>
        </w:rPr>
        <w:t>Bedrijven</w:t>
      </w:r>
      <w:proofErr w:type="spellEnd"/>
      <w:r w:rsidRPr="00662F41">
        <w:rPr>
          <w:szCs w:val="24"/>
        </w:rPr>
        <w:t xml:space="preserve"> Suriname (EBS). </w:t>
      </w:r>
      <w:proofErr w:type="spellStart"/>
      <w:r w:rsidRPr="00662F41">
        <w:rPr>
          <w:szCs w:val="24"/>
        </w:rPr>
        <w:t>Staatsolie</w:t>
      </w:r>
      <w:proofErr w:type="spellEnd"/>
      <w:r w:rsidRPr="00662F41">
        <w:rPr>
          <w:szCs w:val="24"/>
        </w:rPr>
        <w:t xml:space="preserve"> changed its business focus from oil production to that of an energy company in 2007. </w:t>
      </w:r>
      <w:proofErr w:type="spellStart"/>
      <w:r w:rsidRPr="00662F41">
        <w:rPr>
          <w:szCs w:val="24"/>
        </w:rPr>
        <w:t>Staatsolie</w:t>
      </w:r>
      <w:proofErr w:type="spellEnd"/>
      <w:r w:rsidRPr="00662F41">
        <w:rPr>
          <w:szCs w:val="24"/>
        </w:rPr>
        <w:t xml:space="preserve"> plans to supply 5 to 10 MW of electricity to the grid through cogeneration with bagasse from its $163 million planned ethanol plant in </w:t>
      </w:r>
      <w:proofErr w:type="spellStart"/>
      <w:r w:rsidRPr="00662F41">
        <w:rPr>
          <w:szCs w:val="24"/>
        </w:rPr>
        <w:t>Nickerie</w:t>
      </w:r>
      <w:proofErr w:type="spellEnd"/>
      <w:r w:rsidRPr="00662F41">
        <w:rPr>
          <w:szCs w:val="24"/>
        </w:rPr>
        <w:t xml:space="preserve">. In order to implement these initiatives, </w:t>
      </w:r>
      <w:proofErr w:type="spellStart"/>
      <w:r w:rsidRPr="00662F41">
        <w:rPr>
          <w:szCs w:val="24"/>
        </w:rPr>
        <w:t>Staatsolie</w:t>
      </w:r>
      <w:proofErr w:type="spellEnd"/>
      <w:r w:rsidRPr="00662F41">
        <w:rPr>
          <w:szCs w:val="24"/>
        </w:rPr>
        <w:t xml:space="preserve"> created the Renewable Energy Unit.</w:t>
      </w:r>
    </w:p>
    <w:p w:rsidR="008A1D1F" w:rsidRPr="00662F41" w:rsidRDefault="008A1D1F" w:rsidP="008A1D1F">
      <w:pPr>
        <w:spacing w:after="0" w:line="360" w:lineRule="auto"/>
        <w:jc w:val="both"/>
        <w:rPr>
          <w:szCs w:val="24"/>
        </w:rPr>
      </w:pPr>
    </w:p>
    <w:p w:rsidR="008A1D1F" w:rsidRPr="00662F41" w:rsidRDefault="008A1D1F" w:rsidP="008A1D1F">
      <w:pPr>
        <w:spacing w:after="0" w:line="360" w:lineRule="auto"/>
        <w:jc w:val="both"/>
        <w:rPr>
          <w:szCs w:val="24"/>
        </w:rPr>
      </w:pPr>
      <w:proofErr w:type="gramStart"/>
      <w:r w:rsidRPr="00662F41">
        <w:rPr>
          <w:b/>
          <w:szCs w:val="24"/>
        </w:rPr>
        <w:t>The power sector</w:t>
      </w:r>
      <w:r w:rsidRPr="00662F41">
        <w:rPr>
          <w:szCs w:val="24"/>
        </w:rPr>
        <w:t>.</w:t>
      </w:r>
      <w:proofErr w:type="gramEnd"/>
      <w:r w:rsidRPr="00662F41">
        <w:rPr>
          <w:szCs w:val="24"/>
        </w:rPr>
        <w:t xml:space="preserve"> Suriname´s power sector consists of a number of individual power systems:</w:t>
      </w:r>
    </w:p>
    <w:p w:rsidR="008A1D1F" w:rsidRDefault="008A1D1F" w:rsidP="008A1D1F">
      <w:pPr>
        <w:spacing w:after="0" w:line="360" w:lineRule="auto"/>
        <w:jc w:val="both"/>
        <w:rPr>
          <w:szCs w:val="24"/>
        </w:rPr>
      </w:pPr>
      <w:r w:rsidRPr="00662F41">
        <w:rPr>
          <w:szCs w:val="24"/>
        </w:rPr>
        <w:t>the EPAR system, covering Paramaribo and the surroundings, the ENIC system, for New</w:t>
      </w:r>
      <w:r>
        <w:rPr>
          <w:szCs w:val="24"/>
        </w:rPr>
        <w:t xml:space="preserve"> </w:t>
      </w:r>
      <w:proofErr w:type="spellStart"/>
      <w:r w:rsidRPr="00662F41">
        <w:rPr>
          <w:szCs w:val="24"/>
        </w:rPr>
        <w:t>Nickerie</w:t>
      </w:r>
      <w:proofErr w:type="spellEnd"/>
      <w:r w:rsidRPr="00662F41">
        <w:rPr>
          <w:szCs w:val="24"/>
        </w:rPr>
        <w:t xml:space="preserve"> in West Suriname and other smaller systems. These systems operated by EBS receive electricity from diesel thermal and hydro power generation from the </w:t>
      </w:r>
      <w:proofErr w:type="spellStart"/>
      <w:r w:rsidRPr="00662F41">
        <w:rPr>
          <w:szCs w:val="24"/>
        </w:rPr>
        <w:t>Afobaka</w:t>
      </w:r>
      <w:proofErr w:type="spellEnd"/>
      <w:r w:rsidRPr="00662F41">
        <w:rPr>
          <w:szCs w:val="24"/>
        </w:rPr>
        <w:t xml:space="preserve"> Hydro Power Plant (HPP) (180-MW); EBS (82-MW); </w:t>
      </w:r>
      <w:proofErr w:type="spellStart"/>
      <w:r w:rsidRPr="00662F41">
        <w:rPr>
          <w:szCs w:val="24"/>
        </w:rPr>
        <w:t>Staatsolie</w:t>
      </w:r>
      <w:proofErr w:type="spellEnd"/>
      <w:r w:rsidRPr="00662F41">
        <w:rPr>
          <w:szCs w:val="24"/>
        </w:rPr>
        <w:t xml:space="preserve"> (15-MW); </w:t>
      </w:r>
      <w:proofErr w:type="spellStart"/>
      <w:r w:rsidRPr="00662F41">
        <w:rPr>
          <w:szCs w:val="24"/>
        </w:rPr>
        <w:t>Suralco</w:t>
      </w:r>
      <w:proofErr w:type="spellEnd"/>
      <w:r w:rsidRPr="00662F41">
        <w:rPr>
          <w:szCs w:val="24"/>
        </w:rPr>
        <w:t xml:space="preserve"> (78-MW). EBS (</w:t>
      </w:r>
      <w:proofErr w:type="spellStart"/>
      <w:r w:rsidRPr="00662F41">
        <w:rPr>
          <w:szCs w:val="24"/>
        </w:rPr>
        <w:t>Energie</w:t>
      </w:r>
      <w:proofErr w:type="spellEnd"/>
      <w:r w:rsidRPr="00662F41">
        <w:rPr>
          <w:szCs w:val="24"/>
        </w:rPr>
        <w:t xml:space="preserve"> </w:t>
      </w:r>
      <w:proofErr w:type="spellStart"/>
      <w:r w:rsidRPr="00662F41">
        <w:rPr>
          <w:szCs w:val="24"/>
        </w:rPr>
        <w:t>Bedrijven</w:t>
      </w:r>
      <w:proofErr w:type="spellEnd"/>
      <w:r w:rsidRPr="00662F41">
        <w:rPr>
          <w:szCs w:val="24"/>
        </w:rPr>
        <w:t xml:space="preserve"> Suriname) is a statutory corporation under the policy direction of the MNH and with the monopoly in transmission and distribution of electricity. EBS shares its responsibility with the Department of Rural Energy of the Ministry of Natural Resources (DEV). Due to an increase in residential demand and production activities, the electric power growth rate in Suriname is one of the highest in the region and the demand of electricity is expected to increase in 155 MW (44 percent) by 2023, posing additional pressure on EBS to cope with the growing demand in the short and medium-term. The level of power losses of EBS is approximately 10%, which is not critical.</w:t>
      </w:r>
    </w:p>
    <w:p w:rsidR="008A1D1F" w:rsidRPr="00662F41" w:rsidRDefault="008A1D1F" w:rsidP="008A1D1F">
      <w:pPr>
        <w:spacing w:after="0" w:line="360" w:lineRule="auto"/>
        <w:jc w:val="both"/>
        <w:rPr>
          <w:szCs w:val="24"/>
        </w:rPr>
      </w:pPr>
    </w:p>
    <w:p w:rsidR="008A1D1F" w:rsidRDefault="008A1D1F" w:rsidP="008A1D1F">
      <w:pPr>
        <w:spacing w:after="0" w:line="360" w:lineRule="auto"/>
        <w:jc w:val="both"/>
        <w:rPr>
          <w:szCs w:val="24"/>
        </w:rPr>
      </w:pPr>
      <w:r w:rsidRPr="00662F41">
        <w:rPr>
          <w:szCs w:val="24"/>
        </w:rPr>
        <w:t>EBS faces several operational and financial challenges which require Government’s intervention with adequate regulations and management practices to: (i) reduce production costs from US$0.20/kWh to US$0.11/kWh; (ii) address financial sustainability issues with the review of the tariff structure; (iii) increase the average electricity rate from US$0.07/kWh to about US$0.16/kWh ; (iv) address the issue of supply of electricity with new investments and through the establishment of an adequate model of contract for the purchase of reliable electricity, and (iv) reflect adequate financial indicators, including the Cash Recovery Index and the Free Cash Flow (FCF) .</w:t>
      </w:r>
    </w:p>
    <w:p w:rsidR="008A1D1F" w:rsidRPr="00662F41" w:rsidRDefault="008A1D1F" w:rsidP="008A1D1F">
      <w:pPr>
        <w:spacing w:after="0" w:line="360" w:lineRule="auto"/>
        <w:jc w:val="both"/>
        <w:rPr>
          <w:szCs w:val="24"/>
        </w:rPr>
      </w:pPr>
    </w:p>
    <w:p w:rsidR="008A1D1F" w:rsidRPr="00662F41" w:rsidRDefault="008A1D1F" w:rsidP="008A1D1F">
      <w:pPr>
        <w:spacing w:after="0" w:line="360" w:lineRule="auto"/>
        <w:jc w:val="both"/>
        <w:rPr>
          <w:szCs w:val="24"/>
        </w:rPr>
      </w:pPr>
      <w:r w:rsidRPr="00662F41">
        <w:rPr>
          <w:b/>
          <w:szCs w:val="24"/>
        </w:rPr>
        <w:lastRenderedPageBreak/>
        <w:t>Rural electrification:</w:t>
      </w:r>
      <w:r w:rsidRPr="00662F41">
        <w:rPr>
          <w:szCs w:val="24"/>
        </w:rPr>
        <w:t xml:space="preserve"> In Hinterland, the </w:t>
      </w:r>
      <w:proofErr w:type="spellStart"/>
      <w:r w:rsidRPr="00662F41">
        <w:rPr>
          <w:szCs w:val="24"/>
        </w:rPr>
        <w:t>GoS</w:t>
      </w:r>
      <w:proofErr w:type="spellEnd"/>
      <w:r w:rsidRPr="00662F41">
        <w:rPr>
          <w:szCs w:val="24"/>
        </w:rPr>
        <w:t xml:space="preserve"> has heavily subsidized energy access (driven by political motives) to keep electricity and fuels within reach of the poor, inducing inefficiencies, increasing cost per unit of electricity and difficulties to meet demand. In coastal zone, the same political driver together with sufficient hydropower capacity combined with favorable hydrocarbon prices had delayed the decision to establish the adequate tariff rate to cover operational and maintenance costs of the service. In the last decade, this situation has represented a burden to new investments due to the low financial capacities of the Utility and to the Government to cover operational and maintenance costs of the service both in coastal zone and in the Hinterlands.</w:t>
      </w:r>
    </w:p>
    <w:p w:rsidR="008A1D1F" w:rsidRPr="00662F41" w:rsidRDefault="008A1D1F" w:rsidP="008A1D1F">
      <w:pPr>
        <w:spacing w:after="0" w:line="360" w:lineRule="auto"/>
        <w:jc w:val="both"/>
        <w:rPr>
          <w:szCs w:val="24"/>
        </w:rPr>
      </w:pPr>
    </w:p>
    <w:p w:rsidR="008A1D1F" w:rsidRPr="00662F41" w:rsidRDefault="008A1D1F" w:rsidP="008A1D1F">
      <w:pPr>
        <w:spacing w:after="0" w:line="360" w:lineRule="auto"/>
        <w:jc w:val="both"/>
        <w:rPr>
          <w:b/>
          <w:szCs w:val="24"/>
        </w:rPr>
      </w:pPr>
      <w:r w:rsidRPr="00662F41">
        <w:rPr>
          <w:b/>
          <w:szCs w:val="24"/>
        </w:rPr>
        <w:t>Objective</w:t>
      </w:r>
    </w:p>
    <w:p w:rsidR="008A1D1F" w:rsidRDefault="008A1D1F" w:rsidP="008A1D1F">
      <w:pPr>
        <w:spacing w:after="0" w:line="360" w:lineRule="auto"/>
        <w:jc w:val="both"/>
        <w:rPr>
          <w:szCs w:val="24"/>
        </w:rPr>
      </w:pPr>
      <w:r w:rsidRPr="00662F41">
        <w:rPr>
          <w:szCs w:val="24"/>
        </w:rPr>
        <w:t>The overall objective of this consultancy is to obtain an ex-post Cost Benefits Analysis (CBA) for the Program to “Support to the institutional and operational strengthening of the energy sector”.</w:t>
      </w:r>
    </w:p>
    <w:p w:rsidR="008A1D1F" w:rsidRPr="00662F41" w:rsidRDefault="008A1D1F" w:rsidP="008A1D1F">
      <w:pPr>
        <w:spacing w:after="0" w:line="360" w:lineRule="auto"/>
        <w:jc w:val="both"/>
        <w:rPr>
          <w:szCs w:val="24"/>
        </w:rPr>
      </w:pPr>
    </w:p>
    <w:p w:rsidR="008A1D1F" w:rsidRDefault="008A1D1F" w:rsidP="008A1D1F">
      <w:pPr>
        <w:spacing w:after="0" w:line="360" w:lineRule="auto"/>
        <w:jc w:val="both"/>
        <w:rPr>
          <w:szCs w:val="24"/>
        </w:rPr>
      </w:pPr>
      <w:r w:rsidRPr="00662F41">
        <w:rPr>
          <w:szCs w:val="24"/>
        </w:rPr>
        <w:t>The ex-post CBA will follow the same methodology and model (SDDP) used for the ex-ante CBA carried for the preparation of the program. The base scenario, sensitivities and variables associated must be updated based on progress reports provided by the Ministry of Natural Resources and IDB.</w:t>
      </w:r>
    </w:p>
    <w:p w:rsidR="008A1D1F" w:rsidRPr="00662F41" w:rsidRDefault="008A1D1F" w:rsidP="008A1D1F">
      <w:pPr>
        <w:spacing w:after="0" w:line="360" w:lineRule="auto"/>
        <w:jc w:val="both"/>
        <w:rPr>
          <w:szCs w:val="24"/>
        </w:rPr>
      </w:pPr>
    </w:p>
    <w:p w:rsidR="008A1D1F" w:rsidRPr="00662F41" w:rsidRDefault="008A1D1F" w:rsidP="008A1D1F">
      <w:pPr>
        <w:spacing w:after="0" w:line="360" w:lineRule="auto"/>
        <w:jc w:val="both"/>
        <w:rPr>
          <w:szCs w:val="24"/>
        </w:rPr>
      </w:pPr>
      <w:r w:rsidRPr="00662F41">
        <w:rPr>
          <w:szCs w:val="24"/>
        </w:rPr>
        <w:t>To this extend the IDB expects the contribution of a highly specialized international consultant to perform a technical and economical assessment of development and expansion plans; advise on  proper planning tools and practices and to evaluate the economical merits of engaging in a sector reform program.</w:t>
      </w:r>
    </w:p>
    <w:p w:rsidR="008A1D1F" w:rsidRPr="00662F41" w:rsidRDefault="008A1D1F" w:rsidP="008A1D1F">
      <w:pPr>
        <w:spacing w:after="0" w:line="360" w:lineRule="auto"/>
        <w:jc w:val="both"/>
        <w:rPr>
          <w:szCs w:val="24"/>
        </w:rPr>
      </w:pPr>
    </w:p>
    <w:p w:rsidR="008A1D1F" w:rsidRDefault="008A1D1F" w:rsidP="008A1D1F">
      <w:pPr>
        <w:spacing w:after="0" w:line="360" w:lineRule="auto"/>
        <w:jc w:val="both"/>
        <w:rPr>
          <w:b/>
          <w:szCs w:val="24"/>
        </w:rPr>
      </w:pPr>
      <w:r w:rsidRPr="00662F41">
        <w:rPr>
          <w:b/>
          <w:szCs w:val="24"/>
        </w:rPr>
        <w:t>Characteristics of the consultancy</w:t>
      </w:r>
    </w:p>
    <w:p w:rsidR="008A1D1F" w:rsidRPr="00662F41" w:rsidRDefault="008A1D1F" w:rsidP="008A1D1F">
      <w:pPr>
        <w:spacing w:after="0" w:line="360" w:lineRule="auto"/>
        <w:jc w:val="both"/>
        <w:rPr>
          <w:szCs w:val="24"/>
        </w:rPr>
      </w:pPr>
      <w:r w:rsidRPr="00662F41">
        <w:rPr>
          <w:b/>
          <w:szCs w:val="24"/>
        </w:rPr>
        <w:t>Type of consultancy:</w:t>
      </w:r>
      <w:r>
        <w:rPr>
          <w:b/>
          <w:szCs w:val="24"/>
        </w:rPr>
        <w:tab/>
      </w:r>
      <w:r w:rsidRPr="00662F41">
        <w:rPr>
          <w:b/>
          <w:szCs w:val="24"/>
        </w:rPr>
        <w:tab/>
      </w:r>
      <w:r w:rsidRPr="00662F41">
        <w:rPr>
          <w:szCs w:val="24"/>
        </w:rPr>
        <w:t>Individual.</w:t>
      </w:r>
    </w:p>
    <w:p w:rsidR="008A1D1F" w:rsidRPr="00662F41" w:rsidRDefault="008A1D1F" w:rsidP="008A1D1F">
      <w:pPr>
        <w:spacing w:after="0" w:line="360" w:lineRule="auto"/>
        <w:jc w:val="both"/>
        <w:rPr>
          <w:szCs w:val="24"/>
        </w:rPr>
      </w:pPr>
      <w:r w:rsidRPr="00662F41">
        <w:rPr>
          <w:b/>
          <w:szCs w:val="24"/>
        </w:rPr>
        <w:t>Starting date and duration:</w:t>
      </w:r>
      <w:r w:rsidRPr="00662F41">
        <w:rPr>
          <w:szCs w:val="24"/>
        </w:rPr>
        <w:tab/>
        <w:t>TBD (2016)</w:t>
      </w:r>
    </w:p>
    <w:p w:rsidR="008A1D1F" w:rsidRPr="00662F41" w:rsidRDefault="008A1D1F" w:rsidP="008A1D1F">
      <w:pPr>
        <w:spacing w:after="0" w:line="360" w:lineRule="auto"/>
        <w:jc w:val="both"/>
        <w:rPr>
          <w:szCs w:val="24"/>
        </w:rPr>
      </w:pPr>
      <w:r>
        <w:rPr>
          <w:b/>
          <w:szCs w:val="24"/>
        </w:rPr>
        <w:t>Place of work:</w:t>
      </w:r>
      <w:r>
        <w:rPr>
          <w:b/>
          <w:szCs w:val="24"/>
        </w:rPr>
        <w:tab/>
      </w:r>
      <w:r>
        <w:rPr>
          <w:b/>
          <w:szCs w:val="24"/>
        </w:rPr>
        <w:tab/>
      </w:r>
      <w:r w:rsidRPr="00662F41">
        <w:rPr>
          <w:szCs w:val="24"/>
        </w:rPr>
        <w:t>Place of residence and Suriname. The consultant is expected to travel twice to Suriname.</w:t>
      </w:r>
    </w:p>
    <w:p w:rsidR="008A1D1F" w:rsidRPr="00662F41" w:rsidRDefault="008A1D1F" w:rsidP="008A1D1F">
      <w:pPr>
        <w:spacing w:after="0" w:line="360" w:lineRule="auto"/>
        <w:jc w:val="both"/>
        <w:rPr>
          <w:szCs w:val="24"/>
        </w:rPr>
      </w:pPr>
      <w:r>
        <w:rPr>
          <w:b/>
          <w:szCs w:val="24"/>
        </w:rPr>
        <w:lastRenderedPageBreak/>
        <w:t xml:space="preserve">Qualifications: </w:t>
      </w:r>
      <w:r>
        <w:rPr>
          <w:b/>
          <w:szCs w:val="24"/>
        </w:rPr>
        <w:tab/>
      </w:r>
      <w:proofErr w:type="spellStart"/>
      <w:r w:rsidRPr="00662F41">
        <w:rPr>
          <w:szCs w:val="24"/>
        </w:rPr>
        <w:t>Masters</w:t>
      </w:r>
      <w:proofErr w:type="spellEnd"/>
      <w:r w:rsidRPr="00662F41">
        <w:rPr>
          <w:szCs w:val="24"/>
        </w:rPr>
        <w:t xml:space="preserve"> degree in engineering. International expert on policy, institutional and regulatory issues related to the energy sector. 15 years of relevant experience in public functions related to formulation or implementation of sector policies and specialized knowledge of economic analysis of energy projects. Extensive knowledge of the energy sector in Latin America, particularly electricity, is also required. </w:t>
      </w:r>
    </w:p>
    <w:p w:rsidR="008A1D1F" w:rsidRDefault="008A1D1F" w:rsidP="008A1D1F">
      <w:pPr>
        <w:spacing w:after="0" w:line="360" w:lineRule="auto"/>
        <w:jc w:val="both"/>
        <w:rPr>
          <w:b/>
          <w:szCs w:val="24"/>
        </w:rPr>
      </w:pPr>
    </w:p>
    <w:p w:rsidR="008A1D1F" w:rsidRPr="00662F41" w:rsidRDefault="008A1D1F" w:rsidP="008A1D1F">
      <w:pPr>
        <w:spacing w:after="0" w:line="360" w:lineRule="auto"/>
        <w:jc w:val="both"/>
        <w:rPr>
          <w:b/>
          <w:szCs w:val="24"/>
        </w:rPr>
      </w:pPr>
      <w:r w:rsidRPr="00662F41">
        <w:rPr>
          <w:b/>
          <w:szCs w:val="24"/>
        </w:rPr>
        <w:t>Consultant Activities</w:t>
      </w:r>
    </w:p>
    <w:p w:rsidR="008A1D1F" w:rsidRDefault="008A1D1F" w:rsidP="008A1D1F">
      <w:pPr>
        <w:spacing w:after="0" w:line="360" w:lineRule="auto"/>
        <w:jc w:val="both"/>
        <w:rPr>
          <w:szCs w:val="24"/>
        </w:rPr>
      </w:pPr>
      <w:r w:rsidRPr="00662F41">
        <w:rPr>
          <w:szCs w:val="24"/>
        </w:rPr>
        <w:t>The Consultant shall perform the following activities:</w:t>
      </w:r>
    </w:p>
    <w:p w:rsidR="008A1D1F" w:rsidRPr="00662F41" w:rsidRDefault="008A1D1F" w:rsidP="008A1D1F">
      <w:pPr>
        <w:pStyle w:val="ListParagraph"/>
        <w:numPr>
          <w:ilvl w:val="0"/>
          <w:numId w:val="22"/>
        </w:numPr>
        <w:spacing w:after="0" w:line="360" w:lineRule="auto"/>
        <w:jc w:val="both"/>
        <w:rPr>
          <w:szCs w:val="24"/>
        </w:rPr>
      </w:pPr>
      <w:r w:rsidRPr="00662F41">
        <w:rPr>
          <w:szCs w:val="24"/>
        </w:rPr>
        <w:t>Analyze the development and expansion provision of the EBS business plan and provide technical analysis to support observations and recommendations to amend it or improve it.</w:t>
      </w:r>
    </w:p>
    <w:p w:rsidR="008A1D1F" w:rsidRPr="00662F41" w:rsidRDefault="008A1D1F" w:rsidP="008A1D1F">
      <w:pPr>
        <w:pStyle w:val="ListParagraph"/>
        <w:numPr>
          <w:ilvl w:val="0"/>
          <w:numId w:val="22"/>
        </w:numPr>
        <w:spacing w:after="0" w:line="360" w:lineRule="auto"/>
        <w:jc w:val="both"/>
        <w:rPr>
          <w:szCs w:val="24"/>
        </w:rPr>
      </w:pPr>
      <w:r w:rsidRPr="00662F41">
        <w:rPr>
          <w:szCs w:val="24"/>
        </w:rPr>
        <w:t xml:space="preserve">Prepare an economic evaluation of the PBL program to Suriname </w:t>
      </w:r>
      <w:r>
        <w:rPr>
          <w:szCs w:val="24"/>
        </w:rPr>
        <w:t>based on the ex-ante CBA of the operation</w:t>
      </w:r>
      <w:r w:rsidRPr="00662F41">
        <w:rPr>
          <w:szCs w:val="24"/>
        </w:rPr>
        <w:t>. This evaluation should follow the IDB standard template for economic analysis.</w:t>
      </w:r>
    </w:p>
    <w:p w:rsidR="008A1D1F" w:rsidRPr="00662F41" w:rsidRDefault="008A1D1F" w:rsidP="008A1D1F">
      <w:pPr>
        <w:pStyle w:val="ListParagraph"/>
        <w:numPr>
          <w:ilvl w:val="0"/>
          <w:numId w:val="22"/>
        </w:numPr>
        <w:spacing w:after="0" w:line="360" w:lineRule="auto"/>
        <w:jc w:val="both"/>
        <w:rPr>
          <w:szCs w:val="24"/>
        </w:rPr>
      </w:pPr>
      <w:r w:rsidRPr="00662F41">
        <w:rPr>
          <w:szCs w:val="24"/>
        </w:rPr>
        <w:t>Participate in discussions with government officials of the GSU as well as IDB project team, providing technical advice.</w:t>
      </w:r>
    </w:p>
    <w:p w:rsidR="008A1D1F" w:rsidRPr="00662F41" w:rsidRDefault="008A1D1F" w:rsidP="008A1D1F">
      <w:pPr>
        <w:spacing w:after="0" w:line="360" w:lineRule="auto"/>
        <w:jc w:val="both"/>
        <w:rPr>
          <w:szCs w:val="24"/>
        </w:rPr>
      </w:pPr>
    </w:p>
    <w:p w:rsidR="008A1D1F" w:rsidRPr="00662F41" w:rsidRDefault="008A1D1F" w:rsidP="008A1D1F">
      <w:pPr>
        <w:spacing w:after="0" w:line="360" w:lineRule="auto"/>
        <w:jc w:val="both"/>
        <w:rPr>
          <w:b/>
          <w:szCs w:val="24"/>
        </w:rPr>
      </w:pPr>
      <w:r w:rsidRPr="00662F41">
        <w:rPr>
          <w:b/>
          <w:szCs w:val="24"/>
        </w:rPr>
        <w:t>Outputs and Reporting</w:t>
      </w:r>
    </w:p>
    <w:p w:rsidR="008A1D1F" w:rsidRPr="00662F41" w:rsidRDefault="008A1D1F" w:rsidP="008A1D1F">
      <w:pPr>
        <w:spacing w:after="0" w:line="360" w:lineRule="auto"/>
        <w:jc w:val="both"/>
        <w:rPr>
          <w:szCs w:val="24"/>
        </w:rPr>
      </w:pPr>
      <w:r w:rsidRPr="00662F41">
        <w:rPr>
          <w:szCs w:val="24"/>
        </w:rPr>
        <w:t>The consultant will prepare the following reports:</w:t>
      </w:r>
    </w:p>
    <w:p w:rsidR="008A1D1F" w:rsidRPr="00662F41" w:rsidRDefault="008A1D1F" w:rsidP="008A1D1F">
      <w:pPr>
        <w:spacing w:after="0" w:line="360" w:lineRule="auto"/>
        <w:jc w:val="both"/>
        <w:rPr>
          <w:szCs w:val="24"/>
        </w:rPr>
      </w:pPr>
      <w:r w:rsidRPr="00662F41">
        <w:rPr>
          <w:szCs w:val="24"/>
        </w:rPr>
        <w:t>After contract signature the consultant will present a work program including the main activities to be performed.</w:t>
      </w:r>
    </w:p>
    <w:p w:rsidR="008A1D1F" w:rsidRPr="00662F41" w:rsidRDefault="008A1D1F" w:rsidP="008A1D1F">
      <w:pPr>
        <w:spacing w:after="0" w:line="360" w:lineRule="auto"/>
        <w:jc w:val="both"/>
        <w:rPr>
          <w:szCs w:val="24"/>
        </w:rPr>
      </w:pPr>
      <w:r w:rsidRPr="00662F41">
        <w:rPr>
          <w:szCs w:val="24"/>
        </w:rPr>
        <w:t>Thirty (30) days after contract signature: a preliminary Final Report outlining: (i) the main findings on EBS development and expansion provisions; and (ii) preliminary draft of the economic evaluation of the PBL.</w:t>
      </w:r>
    </w:p>
    <w:p w:rsidR="008A1D1F" w:rsidRPr="00662F41" w:rsidRDefault="008A1D1F" w:rsidP="008A1D1F">
      <w:pPr>
        <w:spacing w:after="0" w:line="360" w:lineRule="auto"/>
        <w:jc w:val="both"/>
        <w:rPr>
          <w:szCs w:val="24"/>
        </w:rPr>
      </w:pPr>
      <w:r w:rsidRPr="00662F41">
        <w:rPr>
          <w:szCs w:val="24"/>
        </w:rPr>
        <w:t>Sixty (60) after contract signature: a Final Report including the complete analyses of the items presented in the Intermediate Report, including adjustments resulting from comments from GSU and IDB team.</w:t>
      </w:r>
    </w:p>
    <w:p w:rsidR="008A1D1F" w:rsidRPr="00662F41" w:rsidRDefault="008A1D1F" w:rsidP="008A1D1F">
      <w:pPr>
        <w:spacing w:after="0" w:line="360" w:lineRule="auto"/>
        <w:jc w:val="both"/>
        <w:rPr>
          <w:szCs w:val="24"/>
        </w:rPr>
      </w:pPr>
    </w:p>
    <w:p w:rsidR="008A1D1F" w:rsidRDefault="008A1D1F" w:rsidP="008A1D1F">
      <w:pPr>
        <w:spacing w:after="0" w:line="360" w:lineRule="auto"/>
        <w:jc w:val="both"/>
        <w:rPr>
          <w:b/>
          <w:szCs w:val="24"/>
        </w:rPr>
      </w:pPr>
    </w:p>
    <w:p w:rsidR="008A1D1F" w:rsidRDefault="008A1D1F" w:rsidP="008A1D1F">
      <w:pPr>
        <w:spacing w:after="0" w:line="360" w:lineRule="auto"/>
        <w:jc w:val="both"/>
        <w:rPr>
          <w:b/>
          <w:szCs w:val="24"/>
        </w:rPr>
      </w:pPr>
    </w:p>
    <w:p w:rsidR="008A1D1F" w:rsidRDefault="008A1D1F" w:rsidP="008A1D1F">
      <w:pPr>
        <w:spacing w:after="0" w:line="360" w:lineRule="auto"/>
        <w:jc w:val="both"/>
        <w:rPr>
          <w:b/>
          <w:szCs w:val="24"/>
        </w:rPr>
      </w:pPr>
    </w:p>
    <w:p w:rsidR="008A1D1F" w:rsidRPr="00662F41" w:rsidRDefault="008A1D1F" w:rsidP="008A1D1F">
      <w:pPr>
        <w:spacing w:after="0" w:line="360" w:lineRule="auto"/>
        <w:jc w:val="both"/>
        <w:rPr>
          <w:b/>
          <w:szCs w:val="24"/>
        </w:rPr>
      </w:pPr>
      <w:r w:rsidRPr="00662F41">
        <w:rPr>
          <w:b/>
          <w:szCs w:val="24"/>
        </w:rPr>
        <w:lastRenderedPageBreak/>
        <w:t>Payments</w:t>
      </w:r>
    </w:p>
    <w:p w:rsidR="008A1D1F" w:rsidRPr="00662F41" w:rsidRDefault="008A1D1F" w:rsidP="008A1D1F">
      <w:pPr>
        <w:spacing w:after="0" w:line="360" w:lineRule="auto"/>
        <w:jc w:val="both"/>
        <w:rPr>
          <w:szCs w:val="24"/>
        </w:rPr>
      </w:pPr>
      <w:r w:rsidRPr="00662F41">
        <w:rPr>
          <w:szCs w:val="24"/>
        </w:rPr>
        <w:t>Payment schedule should be as follows:</w:t>
      </w:r>
    </w:p>
    <w:p w:rsidR="008A1D1F" w:rsidRPr="00662F41" w:rsidRDefault="008A1D1F" w:rsidP="008A1D1F">
      <w:pPr>
        <w:spacing w:after="0" w:line="360" w:lineRule="auto"/>
        <w:jc w:val="both"/>
        <w:rPr>
          <w:szCs w:val="24"/>
        </w:rPr>
      </w:pPr>
      <w:r w:rsidRPr="00662F41">
        <w:rPr>
          <w:szCs w:val="24"/>
        </w:rPr>
        <w:t>•</w:t>
      </w:r>
      <w:r w:rsidRPr="00662F41">
        <w:rPr>
          <w:szCs w:val="24"/>
        </w:rPr>
        <w:tab/>
        <w:t>30% after delivering the work program</w:t>
      </w:r>
    </w:p>
    <w:p w:rsidR="008A1D1F" w:rsidRPr="00662F41" w:rsidRDefault="008A1D1F" w:rsidP="008A1D1F">
      <w:pPr>
        <w:spacing w:after="0" w:line="360" w:lineRule="auto"/>
        <w:jc w:val="both"/>
        <w:rPr>
          <w:szCs w:val="24"/>
        </w:rPr>
      </w:pPr>
      <w:r w:rsidRPr="00662F41">
        <w:rPr>
          <w:szCs w:val="24"/>
        </w:rPr>
        <w:t>•</w:t>
      </w:r>
      <w:r w:rsidRPr="00662F41">
        <w:rPr>
          <w:szCs w:val="24"/>
        </w:rPr>
        <w:tab/>
        <w:t>30% after first draft Final Report</w:t>
      </w:r>
    </w:p>
    <w:p w:rsidR="008A1D1F" w:rsidRDefault="008A1D1F" w:rsidP="008A1D1F">
      <w:pPr>
        <w:spacing w:after="0" w:line="360" w:lineRule="auto"/>
        <w:jc w:val="both"/>
        <w:rPr>
          <w:szCs w:val="24"/>
        </w:rPr>
      </w:pPr>
      <w:r w:rsidRPr="00662F41">
        <w:rPr>
          <w:szCs w:val="24"/>
        </w:rPr>
        <w:t>•</w:t>
      </w:r>
      <w:r w:rsidRPr="00662F41">
        <w:rPr>
          <w:szCs w:val="24"/>
        </w:rPr>
        <w:tab/>
        <w:t>40% final product</w:t>
      </w:r>
    </w:p>
    <w:p w:rsidR="008A1D1F" w:rsidRDefault="008A1D1F" w:rsidP="008A1D1F">
      <w:pPr>
        <w:spacing w:after="0" w:line="360" w:lineRule="auto"/>
        <w:jc w:val="both"/>
        <w:rPr>
          <w:b/>
          <w:szCs w:val="24"/>
        </w:rPr>
      </w:pPr>
    </w:p>
    <w:p w:rsidR="008A1D1F" w:rsidRPr="00662F41" w:rsidRDefault="008A1D1F" w:rsidP="008A1D1F">
      <w:pPr>
        <w:spacing w:after="0" w:line="360" w:lineRule="auto"/>
        <w:jc w:val="both"/>
        <w:rPr>
          <w:b/>
          <w:szCs w:val="24"/>
        </w:rPr>
      </w:pPr>
      <w:r w:rsidRPr="00662F41">
        <w:rPr>
          <w:b/>
          <w:szCs w:val="24"/>
        </w:rPr>
        <w:t>Coordination and supervision</w:t>
      </w:r>
    </w:p>
    <w:p w:rsidR="008A1D1F" w:rsidRPr="00662F41" w:rsidRDefault="008A1D1F" w:rsidP="008A1D1F">
      <w:pPr>
        <w:spacing w:after="0" w:line="360" w:lineRule="auto"/>
        <w:jc w:val="both"/>
        <w:rPr>
          <w:szCs w:val="24"/>
        </w:rPr>
      </w:pPr>
      <w:r w:rsidRPr="00662F41">
        <w:rPr>
          <w:szCs w:val="24"/>
        </w:rPr>
        <w:t xml:space="preserve">The coordination of this consultancy will be responsibility of Mr. Alejandro Melandri of the Energy Division INE/ENE IDB, telephone (202) 623-1938 and email alejandrome@iadb.org, with the support of </w:t>
      </w:r>
      <w:proofErr w:type="spellStart"/>
      <w:r w:rsidRPr="00662F41">
        <w:rPr>
          <w:szCs w:val="24"/>
        </w:rPr>
        <w:t>Jesús</w:t>
      </w:r>
      <w:proofErr w:type="spellEnd"/>
      <w:r w:rsidRPr="00662F41">
        <w:rPr>
          <w:szCs w:val="24"/>
        </w:rPr>
        <w:t xml:space="preserve"> Tejeda (jesust@iadb.org.</w:t>
      </w:r>
    </w:p>
    <w:p w:rsidR="008A1D1F" w:rsidRPr="00BF6F36" w:rsidRDefault="008A1D1F" w:rsidP="008A1D1F">
      <w:pPr>
        <w:spacing w:after="0" w:line="360" w:lineRule="auto"/>
        <w:jc w:val="both"/>
        <w:rPr>
          <w:szCs w:val="24"/>
        </w:rPr>
      </w:pPr>
    </w:p>
    <w:p w:rsidR="004E63BD" w:rsidRPr="008A1D1F" w:rsidRDefault="004E63BD" w:rsidP="008A1D1F">
      <w:bookmarkStart w:id="27" w:name="_GoBack"/>
      <w:bookmarkEnd w:id="27"/>
    </w:p>
    <w:sectPr w:rsidR="004E63BD" w:rsidRPr="008A1D1F" w:rsidSect="004E63B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3BD" w:rsidRDefault="004E63BD" w:rsidP="00E7798E">
      <w:pPr>
        <w:spacing w:after="0" w:line="240" w:lineRule="auto"/>
      </w:pPr>
      <w:r>
        <w:separator/>
      </w:r>
    </w:p>
  </w:endnote>
  <w:endnote w:type="continuationSeparator" w:id="0">
    <w:p w:rsidR="004E63BD" w:rsidRDefault="004E63BD" w:rsidP="00E77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3BD" w:rsidRDefault="004E63BD" w:rsidP="00E7798E">
      <w:pPr>
        <w:spacing w:after="0" w:line="240" w:lineRule="auto"/>
      </w:pPr>
      <w:r>
        <w:separator/>
      </w:r>
    </w:p>
  </w:footnote>
  <w:footnote w:type="continuationSeparator" w:id="0">
    <w:p w:rsidR="004E63BD" w:rsidRDefault="004E63BD" w:rsidP="00E7798E">
      <w:pPr>
        <w:spacing w:after="0" w:line="240" w:lineRule="auto"/>
      </w:pPr>
      <w:r>
        <w:continuationSeparator/>
      </w:r>
    </w:p>
  </w:footnote>
  <w:footnote w:id="1">
    <w:p w:rsidR="008A1D1F" w:rsidRDefault="008A1D1F" w:rsidP="008A1D1F">
      <w:pPr>
        <w:pStyle w:val="FootnoteText"/>
      </w:pPr>
      <w:r>
        <w:rPr>
          <w:rStyle w:val="FootnoteReference"/>
        </w:rPr>
        <w:footnoteRef/>
      </w:r>
      <w:r>
        <w:t xml:space="preserve"> The Program consists of three PBPs that will be </w:t>
      </w:r>
      <w:r w:rsidRPr="003A3ECE">
        <w:t>developed annually.</w:t>
      </w:r>
    </w:p>
  </w:footnote>
  <w:footnote w:id="2">
    <w:p w:rsidR="008A1D1F" w:rsidRDefault="008A1D1F" w:rsidP="008A1D1F">
      <w:pPr>
        <w:pStyle w:val="FootnoteText"/>
      </w:pPr>
      <w:r>
        <w:rPr>
          <w:rStyle w:val="FootnoteReference"/>
        </w:rPr>
        <w:footnoteRef/>
      </w:r>
      <w:r>
        <w:t xml:space="preserve"> </w:t>
      </w:r>
      <w:r>
        <w:rPr>
          <w:lang w:eastAsia="ja-JP"/>
        </w:rPr>
        <w:t>And independent consultant will be hired by the IDB for the period from January 2016 to March 2016, who will prepare the ex-post CBA.</w:t>
      </w:r>
      <w:r w:rsidRPr="00355D05">
        <w:t xml:space="preserve"> </w:t>
      </w:r>
      <w:r>
        <w:t xml:space="preserve"> </w:t>
      </w:r>
      <w:proofErr w:type="spellStart"/>
      <w:r>
        <w:t>ToRs</w:t>
      </w:r>
      <w:proofErr w:type="spellEnd"/>
      <w:r>
        <w:t xml:space="preserve"> for the ex-post CBA will be prepared at the end of the last operation of the Program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D1F" w:rsidRDefault="008A1D1F">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79157D">
      <w:rPr>
        <w:b/>
        <w:noProof/>
      </w:rPr>
      <w:t>14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9157D">
      <w:rPr>
        <w:b/>
        <w:noProof/>
      </w:rPr>
      <w:t>20</w:t>
    </w:r>
    <w:r>
      <w:rPr>
        <w:b/>
        <w:sz w:val="24"/>
        <w:szCs w:val="24"/>
      </w:rPr>
      <w:fldChar w:fldCharType="end"/>
    </w:r>
  </w:p>
  <w:p w:rsidR="008A1D1F" w:rsidRDefault="008A1D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3BD" w:rsidRDefault="004E63BD">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79157D">
      <w:rPr>
        <w:b/>
        <w:noProof/>
      </w:rPr>
      <w:t>20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9157D">
      <w:rPr>
        <w:b/>
        <w:noProof/>
      </w:rPr>
      <w:t>20</w:t>
    </w:r>
    <w:r>
      <w:rPr>
        <w:b/>
        <w:sz w:val="24"/>
        <w:szCs w:val="24"/>
      </w:rPr>
      <w:fldChar w:fldCharType="end"/>
    </w:r>
  </w:p>
  <w:p w:rsidR="004E63BD" w:rsidRDefault="004E63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210D"/>
    <w:multiLevelType w:val="hybridMultilevel"/>
    <w:tmpl w:val="52BA3A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B7FC9"/>
    <w:multiLevelType w:val="multilevel"/>
    <w:tmpl w:val="B5FAEC82"/>
    <w:lvl w:ilvl="0">
      <w:start w:val="1"/>
      <w:numFmt w:val="decimal"/>
      <w:pStyle w:val="Chapter"/>
      <w:lvlText w:val="%1"/>
      <w:lvlJc w:val="left"/>
      <w:pPr>
        <w:ind w:left="3312" w:hanging="432"/>
      </w:pPr>
      <w:rPr>
        <w:rFonts w:hint="default"/>
        <w:b/>
        <w:i w:val="0"/>
      </w:rPr>
    </w:lvl>
    <w:lvl w:ilvl="1">
      <w:start w:val="1"/>
      <w:numFmt w:val="decimal"/>
      <w:lvlText w:val="%1.%2"/>
      <w:lvlJc w:val="left"/>
      <w:pPr>
        <w:ind w:left="3456" w:hanging="576"/>
      </w:pPr>
      <w:rPr>
        <w:rFonts w:hint="default"/>
        <w:b w:val="0"/>
        <w:i w:val="0"/>
        <w:u w:val="none"/>
      </w:rPr>
    </w:lvl>
    <w:lvl w:ilvl="2">
      <w:start w:val="1"/>
      <w:numFmt w:val="decimal"/>
      <w:pStyle w:val="Heading3"/>
      <w:lvlText w:val="%1.%2.%3"/>
      <w:lvlJc w:val="left"/>
      <w:pPr>
        <w:ind w:left="3600" w:hanging="720"/>
      </w:pPr>
      <w:rPr>
        <w:b w:val="0"/>
        <w:u w:val="none"/>
      </w:rPr>
    </w:lvl>
    <w:lvl w:ilvl="3">
      <w:start w:val="1"/>
      <w:numFmt w:val="decimal"/>
      <w:pStyle w:val="Heading4"/>
      <w:lvlText w:val="%1.%2.%3.%4"/>
      <w:lvlJc w:val="left"/>
      <w:pPr>
        <w:ind w:left="3744" w:hanging="864"/>
      </w:pPr>
      <w:rPr>
        <w:rFonts w:hint="default"/>
        <w:u w:val="none"/>
      </w:rPr>
    </w:lvl>
    <w:lvl w:ilvl="4">
      <w:start w:val="1"/>
      <w:numFmt w:val="decimal"/>
      <w:pStyle w:val="Heading5"/>
      <w:lvlText w:val="%1.%2.%3.%4.%5"/>
      <w:lvlJc w:val="left"/>
      <w:pPr>
        <w:ind w:left="3888" w:hanging="1008"/>
      </w:pPr>
      <w:rPr>
        <w:rFonts w:hint="default"/>
        <w:u w:val="none"/>
      </w:rPr>
    </w:lvl>
    <w:lvl w:ilvl="5">
      <w:start w:val="1"/>
      <w:numFmt w:val="decimal"/>
      <w:pStyle w:val="Heading6"/>
      <w:lvlText w:val="%1.%2.%3.%4.%5.%6"/>
      <w:lvlJc w:val="left"/>
      <w:pPr>
        <w:ind w:left="4032" w:hanging="1152"/>
      </w:pPr>
      <w:rPr>
        <w:rFonts w:hint="default"/>
        <w:u w:val="none"/>
      </w:rPr>
    </w:lvl>
    <w:lvl w:ilvl="6">
      <w:start w:val="1"/>
      <w:numFmt w:val="decimal"/>
      <w:pStyle w:val="Heading7"/>
      <w:lvlText w:val="%1.%2.%3.%4.%5.%6.%7"/>
      <w:lvlJc w:val="left"/>
      <w:pPr>
        <w:ind w:left="4176" w:hanging="1296"/>
      </w:pPr>
      <w:rPr>
        <w:rFonts w:hint="default"/>
        <w:u w:val="none"/>
      </w:rPr>
    </w:lvl>
    <w:lvl w:ilvl="7">
      <w:start w:val="1"/>
      <w:numFmt w:val="decimal"/>
      <w:pStyle w:val="Heading8"/>
      <w:lvlText w:val="%1.%2.%3.%4.%5.%6.%7.%8"/>
      <w:lvlJc w:val="left"/>
      <w:pPr>
        <w:ind w:left="4320" w:hanging="1440"/>
      </w:pPr>
      <w:rPr>
        <w:rFonts w:hint="default"/>
        <w:u w:val="none"/>
      </w:rPr>
    </w:lvl>
    <w:lvl w:ilvl="8">
      <w:start w:val="1"/>
      <w:numFmt w:val="decimal"/>
      <w:pStyle w:val="Heading9"/>
      <w:lvlText w:val="%1.%2.%3.%4.%5.%6.%7.%8.%9"/>
      <w:lvlJc w:val="left"/>
      <w:pPr>
        <w:ind w:left="4464" w:hanging="1584"/>
      </w:pPr>
      <w:rPr>
        <w:rFonts w:hint="default"/>
        <w:u w:val="none"/>
      </w:rPr>
    </w:lvl>
  </w:abstractNum>
  <w:abstractNum w:abstractNumId="2">
    <w:nsid w:val="0E6152FD"/>
    <w:multiLevelType w:val="hybridMultilevel"/>
    <w:tmpl w:val="14A41608"/>
    <w:lvl w:ilvl="0" w:tplc="04090013">
      <w:start w:val="1"/>
      <w:numFmt w:val="upperRoman"/>
      <w:lvlText w:val="%1."/>
      <w:lvlJc w:val="right"/>
      <w:pPr>
        <w:ind w:left="108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072557"/>
    <w:multiLevelType w:val="hybridMultilevel"/>
    <w:tmpl w:val="596285F0"/>
    <w:lvl w:ilvl="0" w:tplc="034CD238">
      <w:start w:val="1"/>
      <w:numFmt w:val="low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594410"/>
    <w:multiLevelType w:val="hybridMultilevel"/>
    <w:tmpl w:val="D9A07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37ACB"/>
    <w:multiLevelType w:val="hybridMultilevel"/>
    <w:tmpl w:val="0BCC1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EA1D00"/>
    <w:multiLevelType w:val="hybridMultilevel"/>
    <w:tmpl w:val="6DE8E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75684A"/>
    <w:multiLevelType w:val="hybridMultilevel"/>
    <w:tmpl w:val="40742E58"/>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2A8A3BA7"/>
    <w:multiLevelType w:val="hybridMultilevel"/>
    <w:tmpl w:val="614AC5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C4232B"/>
    <w:multiLevelType w:val="hybridMultilevel"/>
    <w:tmpl w:val="694E737E"/>
    <w:lvl w:ilvl="0" w:tplc="8FF89194">
      <w:start w:val="1"/>
      <w:numFmt w:val="decimal"/>
      <w:pStyle w:val="Banknumbered"/>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nsid w:val="335D4694"/>
    <w:multiLevelType w:val="hybridMultilevel"/>
    <w:tmpl w:val="969429B4"/>
    <w:lvl w:ilvl="0" w:tplc="040A000F">
      <w:start w:val="1"/>
      <w:numFmt w:val="decimal"/>
      <w:lvlText w:val="%1."/>
      <w:lvlJc w:val="left"/>
      <w:pPr>
        <w:ind w:left="540" w:hanging="360"/>
      </w:pPr>
      <w:rPr>
        <w:rFonts w:hint="default"/>
      </w:rPr>
    </w:lvl>
    <w:lvl w:ilvl="1" w:tplc="040A0019" w:tentative="1">
      <w:start w:val="1"/>
      <w:numFmt w:val="lowerLetter"/>
      <w:lvlText w:val="%2."/>
      <w:lvlJc w:val="left"/>
      <w:pPr>
        <w:ind w:left="1620" w:hanging="360"/>
      </w:pPr>
    </w:lvl>
    <w:lvl w:ilvl="2" w:tplc="040A001B" w:tentative="1">
      <w:start w:val="1"/>
      <w:numFmt w:val="lowerRoman"/>
      <w:lvlText w:val="%3."/>
      <w:lvlJc w:val="right"/>
      <w:pPr>
        <w:ind w:left="2340" w:hanging="180"/>
      </w:pPr>
    </w:lvl>
    <w:lvl w:ilvl="3" w:tplc="040A000F" w:tentative="1">
      <w:start w:val="1"/>
      <w:numFmt w:val="decimal"/>
      <w:lvlText w:val="%4."/>
      <w:lvlJc w:val="left"/>
      <w:pPr>
        <w:ind w:left="3060" w:hanging="360"/>
      </w:pPr>
    </w:lvl>
    <w:lvl w:ilvl="4" w:tplc="040A0019" w:tentative="1">
      <w:start w:val="1"/>
      <w:numFmt w:val="lowerLetter"/>
      <w:lvlText w:val="%5."/>
      <w:lvlJc w:val="left"/>
      <w:pPr>
        <w:ind w:left="3780" w:hanging="360"/>
      </w:pPr>
    </w:lvl>
    <w:lvl w:ilvl="5" w:tplc="040A001B" w:tentative="1">
      <w:start w:val="1"/>
      <w:numFmt w:val="lowerRoman"/>
      <w:lvlText w:val="%6."/>
      <w:lvlJc w:val="right"/>
      <w:pPr>
        <w:ind w:left="4500" w:hanging="180"/>
      </w:pPr>
    </w:lvl>
    <w:lvl w:ilvl="6" w:tplc="040A000F" w:tentative="1">
      <w:start w:val="1"/>
      <w:numFmt w:val="decimal"/>
      <w:lvlText w:val="%7."/>
      <w:lvlJc w:val="left"/>
      <w:pPr>
        <w:ind w:left="5220" w:hanging="360"/>
      </w:pPr>
    </w:lvl>
    <w:lvl w:ilvl="7" w:tplc="040A0019" w:tentative="1">
      <w:start w:val="1"/>
      <w:numFmt w:val="lowerLetter"/>
      <w:lvlText w:val="%8."/>
      <w:lvlJc w:val="left"/>
      <w:pPr>
        <w:ind w:left="5940" w:hanging="360"/>
      </w:pPr>
    </w:lvl>
    <w:lvl w:ilvl="8" w:tplc="040A001B" w:tentative="1">
      <w:start w:val="1"/>
      <w:numFmt w:val="lowerRoman"/>
      <w:lvlText w:val="%9."/>
      <w:lvlJc w:val="right"/>
      <w:pPr>
        <w:ind w:left="6660" w:hanging="180"/>
      </w:pPr>
    </w:lvl>
  </w:abstractNum>
  <w:abstractNum w:abstractNumId="11">
    <w:nsid w:val="388052D7"/>
    <w:multiLevelType w:val="hybridMultilevel"/>
    <w:tmpl w:val="83FA7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6028D2"/>
    <w:multiLevelType w:val="multilevel"/>
    <w:tmpl w:val="50A8C778"/>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597A785A"/>
    <w:multiLevelType w:val="hybridMultilevel"/>
    <w:tmpl w:val="DEC266C6"/>
    <w:lvl w:ilvl="0" w:tplc="3350DD40">
      <w:start w:val="1"/>
      <w:numFmt w:val="bullet"/>
      <w:pStyle w:val="Bullet"/>
      <w:lvlText w:val=""/>
      <w:lvlJc w:val="left"/>
      <w:pPr>
        <w:ind w:left="720" w:hanging="360"/>
      </w:pPr>
      <w:rPr>
        <w:rFonts w:ascii="Symbol" w:hAnsi="Symbol" w:hint="default"/>
      </w:rPr>
    </w:lvl>
    <w:lvl w:ilvl="1" w:tplc="60F03C78" w:tentative="1">
      <w:start w:val="1"/>
      <w:numFmt w:val="bullet"/>
      <w:lvlText w:val="o"/>
      <w:lvlJc w:val="left"/>
      <w:pPr>
        <w:ind w:left="1440" w:hanging="360"/>
      </w:pPr>
      <w:rPr>
        <w:rFonts w:ascii="Courier New" w:hAnsi="Courier New" w:cs="Courier New" w:hint="default"/>
      </w:rPr>
    </w:lvl>
    <w:lvl w:ilvl="2" w:tplc="354633F6" w:tentative="1">
      <w:start w:val="1"/>
      <w:numFmt w:val="bullet"/>
      <w:lvlText w:val=""/>
      <w:lvlJc w:val="left"/>
      <w:pPr>
        <w:ind w:left="2160" w:hanging="360"/>
      </w:pPr>
      <w:rPr>
        <w:rFonts w:ascii="Wingdings" w:hAnsi="Wingdings" w:hint="default"/>
      </w:rPr>
    </w:lvl>
    <w:lvl w:ilvl="3" w:tplc="DA28CC36" w:tentative="1">
      <w:start w:val="1"/>
      <w:numFmt w:val="bullet"/>
      <w:lvlText w:val=""/>
      <w:lvlJc w:val="left"/>
      <w:pPr>
        <w:ind w:left="2880" w:hanging="360"/>
      </w:pPr>
      <w:rPr>
        <w:rFonts w:ascii="Symbol" w:hAnsi="Symbol" w:hint="default"/>
      </w:rPr>
    </w:lvl>
    <w:lvl w:ilvl="4" w:tplc="C11612AC" w:tentative="1">
      <w:start w:val="1"/>
      <w:numFmt w:val="bullet"/>
      <w:lvlText w:val="o"/>
      <w:lvlJc w:val="left"/>
      <w:pPr>
        <w:ind w:left="3600" w:hanging="360"/>
      </w:pPr>
      <w:rPr>
        <w:rFonts w:ascii="Courier New" w:hAnsi="Courier New" w:cs="Courier New" w:hint="default"/>
      </w:rPr>
    </w:lvl>
    <w:lvl w:ilvl="5" w:tplc="D004A94C" w:tentative="1">
      <w:start w:val="1"/>
      <w:numFmt w:val="bullet"/>
      <w:lvlText w:val=""/>
      <w:lvlJc w:val="left"/>
      <w:pPr>
        <w:ind w:left="4320" w:hanging="360"/>
      </w:pPr>
      <w:rPr>
        <w:rFonts w:ascii="Wingdings" w:hAnsi="Wingdings" w:hint="default"/>
      </w:rPr>
    </w:lvl>
    <w:lvl w:ilvl="6" w:tplc="3DECEE64" w:tentative="1">
      <w:start w:val="1"/>
      <w:numFmt w:val="bullet"/>
      <w:lvlText w:val=""/>
      <w:lvlJc w:val="left"/>
      <w:pPr>
        <w:ind w:left="5040" w:hanging="360"/>
      </w:pPr>
      <w:rPr>
        <w:rFonts w:ascii="Symbol" w:hAnsi="Symbol" w:hint="default"/>
      </w:rPr>
    </w:lvl>
    <w:lvl w:ilvl="7" w:tplc="2C60BDBC" w:tentative="1">
      <w:start w:val="1"/>
      <w:numFmt w:val="bullet"/>
      <w:lvlText w:val="o"/>
      <w:lvlJc w:val="left"/>
      <w:pPr>
        <w:ind w:left="5760" w:hanging="360"/>
      </w:pPr>
      <w:rPr>
        <w:rFonts w:ascii="Courier New" w:hAnsi="Courier New" w:cs="Courier New" w:hint="default"/>
      </w:rPr>
    </w:lvl>
    <w:lvl w:ilvl="8" w:tplc="73D421B6" w:tentative="1">
      <w:start w:val="1"/>
      <w:numFmt w:val="bullet"/>
      <w:lvlText w:val=""/>
      <w:lvlJc w:val="left"/>
      <w:pPr>
        <w:ind w:left="6480" w:hanging="360"/>
      </w:pPr>
      <w:rPr>
        <w:rFonts w:ascii="Wingdings" w:hAnsi="Wingdings" w:hint="default"/>
      </w:rPr>
    </w:lvl>
  </w:abstractNum>
  <w:abstractNum w:abstractNumId="14">
    <w:nsid w:val="5C5B5852"/>
    <w:multiLevelType w:val="hybridMultilevel"/>
    <w:tmpl w:val="1C625D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545D08"/>
    <w:multiLevelType w:val="hybridMultilevel"/>
    <w:tmpl w:val="4B427062"/>
    <w:lvl w:ilvl="0" w:tplc="04090019">
      <w:start w:val="1"/>
      <w:numFmt w:val="lowerLetter"/>
      <w:pStyle w:val="TOC2"/>
      <w:lvlText w:val="%1."/>
      <w:lvlJc w:val="left"/>
      <w:pPr>
        <w:ind w:left="1281" w:hanging="360"/>
      </w:p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16">
    <w:nsid w:val="65716C41"/>
    <w:multiLevelType w:val="hybridMultilevel"/>
    <w:tmpl w:val="A8484FD2"/>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4B27DF"/>
    <w:multiLevelType w:val="hybridMultilevel"/>
    <w:tmpl w:val="8D3E24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360489"/>
    <w:multiLevelType w:val="multilevel"/>
    <w:tmpl w:val="5A668FE8"/>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ascii="Times New Roman" w:hAnsi="Times New Roman" w:cs="Times New Roman" w:hint="default"/>
        <w:b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9">
    <w:nsid w:val="70901166"/>
    <w:multiLevelType w:val="hybridMultilevel"/>
    <w:tmpl w:val="2F24E8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6F7765"/>
    <w:multiLevelType w:val="hybridMultilevel"/>
    <w:tmpl w:val="5908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5"/>
  </w:num>
  <w:num w:numId="4">
    <w:abstractNumId w:val="9"/>
  </w:num>
  <w:num w:numId="5">
    <w:abstractNumId w:val="13"/>
  </w:num>
  <w:num w:numId="6">
    <w:abstractNumId w:val="4"/>
  </w:num>
  <w:num w:numId="7">
    <w:abstractNumId w:val="11"/>
  </w:num>
  <w:num w:numId="8">
    <w:abstractNumId w:val="14"/>
  </w:num>
  <w:num w:numId="9">
    <w:abstractNumId w:val="7"/>
  </w:num>
  <w:num w:numId="10">
    <w:abstractNumId w:val="1"/>
  </w:num>
  <w:num w:numId="11">
    <w:abstractNumId w:val="18"/>
  </w:num>
  <w:num w:numId="12">
    <w:abstractNumId w:val="12"/>
  </w:num>
  <w:num w:numId="13">
    <w:abstractNumId w:val="0"/>
  </w:num>
  <w:num w:numId="14">
    <w:abstractNumId w:val="8"/>
  </w:num>
  <w:num w:numId="15">
    <w:abstractNumId w:val="19"/>
  </w:num>
  <w:num w:numId="16">
    <w:abstractNumId w:val="10"/>
  </w:num>
  <w:num w:numId="17">
    <w:abstractNumId w:val="17"/>
  </w:num>
  <w:num w:numId="18">
    <w:abstractNumId w:val="3"/>
  </w:num>
  <w:num w:numId="19">
    <w:abstractNumId w:val="6"/>
  </w:num>
  <w:num w:numId="20">
    <w:abstractNumId w:val="16"/>
  </w:num>
  <w:num w:numId="21">
    <w:abstractNumId w:val="20"/>
  </w:num>
  <w:num w:numId="2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649"/>
    <w:rsid w:val="000036A1"/>
    <w:rsid w:val="00004201"/>
    <w:rsid w:val="0001275C"/>
    <w:rsid w:val="00013071"/>
    <w:rsid w:val="00013923"/>
    <w:rsid w:val="00015B76"/>
    <w:rsid w:val="00025A56"/>
    <w:rsid w:val="00030409"/>
    <w:rsid w:val="00041EFA"/>
    <w:rsid w:val="00044ED3"/>
    <w:rsid w:val="00047193"/>
    <w:rsid w:val="00063F2E"/>
    <w:rsid w:val="00070A37"/>
    <w:rsid w:val="00083E53"/>
    <w:rsid w:val="000841B5"/>
    <w:rsid w:val="00084C34"/>
    <w:rsid w:val="000943BE"/>
    <w:rsid w:val="00095729"/>
    <w:rsid w:val="000969DA"/>
    <w:rsid w:val="000B4DEB"/>
    <w:rsid w:val="000B635C"/>
    <w:rsid w:val="000C6DEE"/>
    <w:rsid w:val="000D5054"/>
    <w:rsid w:val="000D5584"/>
    <w:rsid w:val="000E27A0"/>
    <w:rsid w:val="000E5252"/>
    <w:rsid w:val="000E7E14"/>
    <w:rsid w:val="001025B2"/>
    <w:rsid w:val="001225D8"/>
    <w:rsid w:val="00122B61"/>
    <w:rsid w:val="001242D4"/>
    <w:rsid w:val="00127C1C"/>
    <w:rsid w:val="00130CF3"/>
    <w:rsid w:val="00132F6C"/>
    <w:rsid w:val="00143586"/>
    <w:rsid w:val="00151031"/>
    <w:rsid w:val="00161FB9"/>
    <w:rsid w:val="00165871"/>
    <w:rsid w:val="00184745"/>
    <w:rsid w:val="001A0418"/>
    <w:rsid w:val="001A27C6"/>
    <w:rsid w:val="001A50B1"/>
    <w:rsid w:val="001B5B08"/>
    <w:rsid w:val="001C1A5A"/>
    <w:rsid w:val="001C2E22"/>
    <w:rsid w:val="001C7C08"/>
    <w:rsid w:val="001D1300"/>
    <w:rsid w:val="001E706E"/>
    <w:rsid w:val="001F7EB2"/>
    <w:rsid w:val="00201F4C"/>
    <w:rsid w:val="0020475C"/>
    <w:rsid w:val="00216636"/>
    <w:rsid w:val="00242423"/>
    <w:rsid w:val="00242485"/>
    <w:rsid w:val="00244E7B"/>
    <w:rsid w:val="00251E63"/>
    <w:rsid w:val="00252121"/>
    <w:rsid w:val="0025439B"/>
    <w:rsid w:val="00255FD0"/>
    <w:rsid w:val="00256B20"/>
    <w:rsid w:val="00257410"/>
    <w:rsid w:val="00257C32"/>
    <w:rsid w:val="00272A50"/>
    <w:rsid w:val="00272B08"/>
    <w:rsid w:val="00280BC6"/>
    <w:rsid w:val="0028499B"/>
    <w:rsid w:val="002850B2"/>
    <w:rsid w:val="00287BB4"/>
    <w:rsid w:val="00292529"/>
    <w:rsid w:val="002A3A98"/>
    <w:rsid w:val="002C2BF1"/>
    <w:rsid w:val="002C5263"/>
    <w:rsid w:val="002C6D38"/>
    <w:rsid w:val="002D29A3"/>
    <w:rsid w:val="002D5BDA"/>
    <w:rsid w:val="002D631B"/>
    <w:rsid w:val="002F5279"/>
    <w:rsid w:val="00301363"/>
    <w:rsid w:val="00305577"/>
    <w:rsid w:val="0031540E"/>
    <w:rsid w:val="00331530"/>
    <w:rsid w:val="00345BFE"/>
    <w:rsid w:val="003474D4"/>
    <w:rsid w:val="003478F0"/>
    <w:rsid w:val="00355D05"/>
    <w:rsid w:val="00357AF4"/>
    <w:rsid w:val="003607EF"/>
    <w:rsid w:val="00360EEF"/>
    <w:rsid w:val="00362CD4"/>
    <w:rsid w:val="00374685"/>
    <w:rsid w:val="00381241"/>
    <w:rsid w:val="00381ECE"/>
    <w:rsid w:val="00392606"/>
    <w:rsid w:val="0039528C"/>
    <w:rsid w:val="003A3ECE"/>
    <w:rsid w:val="003A5EF4"/>
    <w:rsid w:val="003B23D4"/>
    <w:rsid w:val="003C19C1"/>
    <w:rsid w:val="003D28FC"/>
    <w:rsid w:val="003D6F2A"/>
    <w:rsid w:val="003E2765"/>
    <w:rsid w:val="003E6371"/>
    <w:rsid w:val="003F09D8"/>
    <w:rsid w:val="003F5C58"/>
    <w:rsid w:val="003F7E17"/>
    <w:rsid w:val="00400ADA"/>
    <w:rsid w:val="00403F13"/>
    <w:rsid w:val="0040592F"/>
    <w:rsid w:val="00416DB4"/>
    <w:rsid w:val="0041700D"/>
    <w:rsid w:val="00421335"/>
    <w:rsid w:val="004369F5"/>
    <w:rsid w:val="00454CAD"/>
    <w:rsid w:val="004646FD"/>
    <w:rsid w:val="004709CE"/>
    <w:rsid w:val="00473741"/>
    <w:rsid w:val="00486A66"/>
    <w:rsid w:val="004915D2"/>
    <w:rsid w:val="004A1F3A"/>
    <w:rsid w:val="004B6546"/>
    <w:rsid w:val="004C659E"/>
    <w:rsid w:val="004D1F11"/>
    <w:rsid w:val="004E2A75"/>
    <w:rsid w:val="004E63BD"/>
    <w:rsid w:val="004E6A6D"/>
    <w:rsid w:val="004F058B"/>
    <w:rsid w:val="004F320D"/>
    <w:rsid w:val="004F5EED"/>
    <w:rsid w:val="00502C8B"/>
    <w:rsid w:val="00502E8F"/>
    <w:rsid w:val="00503260"/>
    <w:rsid w:val="005118B5"/>
    <w:rsid w:val="00515C28"/>
    <w:rsid w:val="00537C24"/>
    <w:rsid w:val="00542C47"/>
    <w:rsid w:val="00544379"/>
    <w:rsid w:val="00545C40"/>
    <w:rsid w:val="00553122"/>
    <w:rsid w:val="005566AB"/>
    <w:rsid w:val="00557251"/>
    <w:rsid w:val="00562F17"/>
    <w:rsid w:val="00566B5F"/>
    <w:rsid w:val="005711FC"/>
    <w:rsid w:val="00572754"/>
    <w:rsid w:val="005728D2"/>
    <w:rsid w:val="00575594"/>
    <w:rsid w:val="00584F64"/>
    <w:rsid w:val="00586BCD"/>
    <w:rsid w:val="005968A4"/>
    <w:rsid w:val="005A0654"/>
    <w:rsid w:val="005B40C6"/>
    <w:rsid w:val="005C1207"/>
    <w:rsid w:val="005D065A"/>
    <w:rsid w:val="005E02FF"/>
    <w:rsid w:val="00607F2B"/>
    <w:rsid w:val="006131EF"/>
    <w:rsid w:val="00622B81"/>
    <w:rsid w:val="006257C4"/>
    <w:rsid w:val="0063199D"/>
    <w:rsid w:val="0063793F"/>
    <w:rsid w:val="0064679C"/>
    <w:rsid w:val="00653098"/>
    <w:rsid w:val="00662F41"/>
    <w:rsid w:val="0067216F"/>
    <w:rsid w:val="006840BC"/>
    <w:rsid w:val="006913F7"/>
    <w:rsid w:val="006A2512"/>
    <w:rsid w:val="006B3F1C"/>
    <w:rsid w:val="006B5F01"/>
    <w:rsid w:val="006B6A6B"/>
    <w:rsid w:val="006D02D7"/>
    <w:rsid w:val="006D42E0"/>
    <w:rsid w:val="006E3D4B"/>
    <w:rsid w:val="006E6BB2"/>
    <w:rsid w:val="00710352"/>
    <w:rsid w:val="00721EBC"/>
    <w:rsid w:val="00737347"/>
    <w:rsid w:val="00741077"/>
    <w:rsid w:val="007747F9"/>
    <w:rsid w:val="0077483A"/>
    <w:rsid w:val="0078343E"/>
    <w:rsid w:val="0079157D"/>
    <w:rsid w:val="007920F6"/>
    <w:rsid w:val="007A14FE"/>
    <w:rsid w:val="007A1D4C"/>
    <w:rsid w:val="007A28AA"/>
    <w:rsid w:val="007A5894"/>
    <w:rsid w:val="007C18C4"/>
    <w:rsid w:val="007C7552"/>
    <w:rsid w:val="007D3100"/>
    <w:rsid w:val="007D34E5"/>
    <w:rsid w:val="007E12A2"/>
    <w:rsid w:val="007E563C"/>
    <w:rsid w:val="007E5C9D"/>
    <w:rsid w:val="007E67A7"/>
    <w:rsid w:val="00803842"/>
    <w:rsid w:val="00816667"/>
    <w:rsid w:val="00821ADA"/>
    <w:rsid w:val="008238A3"/>
    <w:rsid w:val="008360DE"/>
    <w:rsid w:val="008453EC"/>
    <w:rsid w:val="00850DA4"/>
    <w:rsid w:val="00862551"/>
    <w:rsid w:val="00871A51"/>
    <w:rsid w:val="00871EFA"/>
    <w:rsid w:val="00873FDC"/>
    <w:rsid w:val="0087412D"/>
    <w:rsid w:val="00876FEC"/>
    <w:rsid w:val="008841DE"/>
    <w:rsid w:val="008856C5"/>
    <w:rsid w:val="00890118"/>
    <w:rsid w:val="00895FC0"/>
    <w:rsid w:val="0089799C"/>
    <w:rsid w:val="008A1B6D"/>
    <w:rsid w:val="008A1D1F"/>
    <w:rsid w:val="008B0508"/>
    <w:rsid w:val="008B7E4C"/>
    <w:rsid w:val="008C5169"/>
    <w:rsid w:val="008C5EA3"/>
    <w:rsid w:val="008D15B5"/>
    <w:rsid w:val="008E15D2"/>
    <w:rsid w:val="008F0261"/>
    <w:rsid w:val="00907D63"/>
    <w:rsid w:val="00914712"/>
    <w:rsid w:val="00947C7E"/>
    <w:rsid w:val="009625B1"/>
    <w:rsid w:val="00964F15"/>
    <w:rsid w:val="00966E10"/>
    <w:rsid w:val="009732B5"/>
    <w:rsid w:val="00997C41"/>
    <w:rsid w:val="009A2157"/>
    <w:rsid w:val="009B17E0"/>
    <w:rsid w:val="009B1DFC"/>
    <w:rsid w:val="009B460B"/>
    <w:rsid w:val="009C19FF"/>
    <w:rsid w:val="009C5D98"/>
    <w:rsid w:val="009C6F9D"/>
    <w:rsid w:val="009D017F"/>
    <w:rsid w:val="009D0516"/>
    <w:rsid w:val="009D0B0C"/>
    <w:rsid w:val="009D3F4E"/>
    <w:rsid w:val="009E39D5"/>
    <w:rsid w:val="00A0346A"/>
    <w:rsid w:val="00A0380E"/>
    <w:rsid w:val="00A11A26"/>
    <w:rsid w:val="00A41597"/>
    <w:rsid w:val="00A45622"/>
    <w:rsid w:val="00A5054C"/>
    <w:rsid w:val="00A53C68"/>
    <w:rsid w:val="00A6070C"/>
    <w:rsid w:val="00A61EE7"/>
    <w:rsid w:val="00A66A3A"/>
    <w:rsid w:val="00A7377F"/>
    <w:rsid w:val="00A75536"/>
    <w:rsid w:val="00A7553A"/>
    <w:rsid w:val="00A77AA1"/>
    <w:rsid w:val="00A9486E"/>
    <w:rsid w:val="00A9782F"/>
    <w:rsid w:val="00AB12CA"/>
    <w:rsid w:val="00AD1292"/>
    <w:rsid w:val="00AD2910"/>
    <w:rsid w:val="00AD5BAC"/>
    <w:rsid w:val="00B00250"/>
    <w:rsid w:val="00B05616"/>
    <w:rsid w:val="00B13681"/>
    <w:rsid w:val="00B139AC"/>
    <w:rsid w:val="00B24F7D"/>
    <w:rsid w:val="00B32A4D"/>
    <w:rsid w:val="00B33041"/>
    <w:rsid w:val="00B3651C"/>
    <w:rsid w:val="00B45A32"/>
    <w:rsid w:val="00B623BC"/>
    <w:rsid w:val="00B701DB"/>
    <w:rsid w:val="00B7182C"/>
    <w:rsid w:val="00B862B9"/>
    <w:rsid w:val="00BB0873"/>
    <w:rsid w:val="00BB0B7F"/>
    <w:rsid w:val="00BB2438"/>
    <w:rsid w:val="00BC3594"/>
    <w:rsid w:val="00BE3D6C"/>
    <w:rsid w:val="00BF6F36"/>
    <w:rsid w:val="00C024B5"/>
    <w:rsid w:val="00C03712"/>
    <w:rsid w:val="00C1026F"/>
    <w:rsid w:val="00C144D7"/>
    <w:rsid w:val="00C17FD1"/>
    <w:rsid w:val="00C23D32"/>
    <w:rsid w:val="00C3752D"/>
    <w:rsid w:val="00C414B7"/>
    <w:rsid w:val="00C41BC8"/>
    <w:rsid w:val="00C4723A"/>
    <w:rsid w:val="00C47BD6"/>
    <w:rsid w:val="00C50DB9"/>
    <w:rsid w:val="00C53503"/>
    <w:rsid w:val="00C60C81"/>
    <w:rsid w:val="00C6187F"/>
    <w:rsid w:val="00C74006"/>
    <w:rsid w:val="00C84327"/>
    <w:rsid w:val="00C95915"/>
    <w:rsid w:val="00CA0F11"/>
    <w:rsid w:val="00CA3C59"/>
    <w:rsid w:val="00CA4F81"/>
    <w:rsid w:val="00CA5ACD"/>
    <w:rsid w:val="00CB0E04"/>
    <w:rsid w:val="00CE0992"/>
    <w:rsid w:val="00CE2719"/>
    <w:rsid w:val="00CF0A4C"/>
    <w:rsid w:val="00D01A89"/>
    <w:rsid w:val="00D0502F"/>
    <w:rsid w:val="00D07EBC"/>
    <w:rsid w:val="00D12B90"/>
    <w:rsid w:val="00D139D1"/>
    <w:rsid w:val="00D20790"/>
    <w:rsid w:val="00D35DEA"/>
    <w:rsid w:val="00D4104B"/>
    <w:rsid w:val="00D56F7A"/>
    <w:rsid w:val="00D617F6"/>
    <w:rsid w:val="00D65B88"/>
    <w:rsid w:val="00D81DE9"/>
    <w:rsid w:val="00D95E35"/>
    <w:rsid w:val="00DA2192"/>
    <w:rsid w:val="00DA3232"/>
    <w:rsid w:val="00DA615C"/>
    <w:rsid w:val="00DB25E6"/>
    <w:rsid w:val="00DB44FA"/>
    <w:rsid w:val="00DC14A6"/>
    <w:rsid w:val="00DE2104"/>
    <w:rsid w:val="00DE31F0"/>
    <w:rsid w:val="00E01CC5"/>
    <w:rsid w:val="00E0260B"/>
    <w:rsid w:val="00E067B8"/>
    <w:rsid w:val="00E1707A"/>
    <w:rsid w:val="00E22625"/>
    <w:rsid w:val="00E258D1"/>
    <w:rsid w:val="00E33093"/>
    <w:rsid w:val="00E40E47"/>
    <w:rsid w:val="00E4443F"/>
    <w:rsid w:val="00E45402"/>
    <w:rsid w:val="00E45834"/>
    <w:rsid w:val="00E458AC"/>
    <w:rsid w:val="00E56C7D"/>
    <w:rsid w:val="00E7798E"/>
    <w:rsid w:val="00E820FE"/>
    <w:rsid w:val="00E869BC"/>
    <w:rsid w:val="00EA6A97"/>
    <w:rsid w:val="00EB2B8C"/>
    <w:rsid w:val="00EB5421"/>
    <w:rsid w:val="00EB5A0E"/>
    <w:rsid w:val="00EC1209"/>
    <w:rsid w:val="00ED558B"/>
    <w:rsid w:val="00ED5649"/>
    <w:rsid w:val="00F004EF"/>
    <w:rsid w:val="00F017FB"/>
    <w:rsid w:val="00F02631"/>
    <w:rsid w:val="00F0393C"/>
    <w:rsid w:val="00F05C0C"/>
    <w:rsid w:val="00F06A5B"/>
    <w:rsid w:val="00F13260"/>
    <w:rsid w:val="00F14C13"/>
    <w:rsid w:val="00F15707"/>
    <w:rsid w:val="00F20885"/>
    <w:rsid w:val="00F25E9F"/>
    <w:rsid w:val="00F31562"/>
    <w:rsid w:val="00F32F50"/>
    <w:rsid w:val="00F40539"/>
    <w:rsid w:val="00F50F28"/>
    <w:rsid w:val="00F5503F"/>
    <w:rsid w:val="00F60E42"/>
    <w:rsid w:val="00F61C08"/>
    <w:rsid w:val="00F66075"/>
    <w:rsid w:val="00F70410"/>
    <w:rsid w:val="00F972B4"/>
    <w:rsid w:val="00F97DF7"/>
    <w:rsid w:val="00FA7062"/>
    <w:rsid w:val="00FB3035"/>
    <w:rsid w:val="00FB51B5"/>
    <w:rsid w:val="00FB5EBF"/>
    <w:rsid w:val="00FC6EC9"/>
    <w:rsid w:val="00FE0F73"/>
    <w:rsid w:val="00FE24A3"/>
    <w:rsid w:val="00FE4036"/>
    <w:rsid w:val="00FE7F8B"/>
    <w:rsid w:val="00FF0D1D"/>
    <w:rsid w:val="00FF6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DF7"/>
    <w:pPr>
      <w:spacing w:after="200" w:line="276" w:lineRule="auto"/>
    </w:pPr>
    <w:rPr>
      <w:rFonts w:ascii="Times New Roman" w:hAnsi="Times New Roman"/>
      <w:sz w:val="24"/>
      <w:szCs w:val="22"/>
    </w:rPr>
  </w:style>
  <w:style w:type="paragraph" w:styleId="Heading1">
    <w:name w:val="heading 1"/>
    <w:basedOn w:val="Normal"/>
    <w:next w:val="Normal"/>
    <w:link w:val="Heading1Char"/>
    <w:uiPriority w:val="9"/>
    <w:qFormat/>
    <w:rsid w:val="00256B2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7C18C4"/>
    <w:pPr>
      <w:keepNext/>
      <w:numPr>
        <w:numId w:val="18"/>
      </w:numPr>
      <w:spacing w:before="240" w:after="60"/>
      <w:outlineLvl w:val="1"/>
    </w:pPr>
    <w:rPr>
      <w:rFonts w:eastAsia="Times New Roman"/>
      <w:bCs/>
      <w:i/>
      <w:iCs/>
      <w:szCs w:val="28"/>
      <w:u w:val="single"/>
    </w:rPr>
  </w:style>
  <w:style w:type="paragraph" w:styleId="Heading3">
    <w:name w:val="heading 3"/>
    <w:basedOn w:val="Normal"/>
    <w:next w:val="Normal"/>
    <w:link w:val="Heading3Char"/>
    <w:uiPriority w:val="9"/>
    <w:semiHidden/>
    <w:unhideWhenUsed/>
    <w:qFormat/>
    <w:rsid w:val="001C2E22"/>
    <w:pPr>
      <w:keepNext/>
      <w:numPr>
        <w:ilvl w:val="2"/>
        <w:numId w:val="1"/>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1C2E22"/>
    <w:pPr>
      <w:keepNext/>
      <w:numPr>
        <w:ilvl w:val="3"/>
        <w:numId w:val="1"/>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1C2E22"/>
    <w:pPr>
      <w:numPr>
        <w:ilvl w:val="4"/>
        <w:numId w:val="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1C2E22"/>
    <w:pPr>
      <w:numPr>
        <w:ilvl w:val="5"/>
        <w:numId w:val="1"/>
      </w:num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qFormat/>
    <w:rsid w:val="001C2E22"/>
    <w:pPr>
      <w:numPr>
        <w:ilvl w:val="6"/>
        <w:numId w:val="1"/>
      </w:numPr>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
    <w:semiHidden/>
    <w:unhideWhenUsed/>
    <w:qFormat/>
    <w:rsid w:val="001C2E22"/>
    <w:pPr>
      <w:numPr>
        <w:ilvl w:val="7"/>
        <w:numId w:val="1"/>
      </w:numPr>
      <w:spacing w:before="240" w:after="60"/>
      <w:outlineLvl w:val="7"/>
    </w:pPr>
    <w:rPr>
      <w:rFonts w:ascii="Calibri" w:eastAsia="Times New Roman" w:hAnsi="Calibri"/>
      <w:i/>
      <w:iCs/>
      <w:szCs w:val="24"/>
    </w:rPr>
  </w:style>
  <w:style w:type="paragraph" w:styleId="Heading9">
    <w:name w:val="heading 9"/>
    <w:basedOn w:val="Normal"/>
    <w:next w:val="Normal"/>
    <w:link w:val="Heading9Char"/>
    <w:uiPriority w:val="9"/>
    <w:semiHidden/>
    <w:unhideWhenUsed/>
    <w:qFormat/>
    <w:rsid w:val="001C2E22"/>
    <w:pPr>
      <w:numPr>
        <w:ilvl w:val="8"/>
        <w:numId w:val="1"/>
      </w:numPr>
      <w:spacing w:before="240"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ED564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D5649"/>
    <w:rPr>
      <w:rFonts w:ascii="Tahoma" w:hAnsi="Tahoma" w:cs="Tahoma"/>
      <w:sz w:val="16"/>
      <w:szCs w:val="16"/>
    </w:rPr>
  </w:style>
  <w:style w:type="table" w:styleId="TableGrid">
    <w:name w:val="Table Grid"/>
    <w:basedOn w:val="TableNormal"/>
    <w:uiPriority w:val="59"/>
    <w:rsid w:val="004F5E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next w:val="Normal"/>
    <w:link w:val="BodyTextChar"/>
    <w:rsid w:val="00E7798E"/>
    <w:pPr>
      <w:autoSpaceDE w:val="0"/>
      <w:autoSpaceDN w:val="0"/>
      <w:adjustRightInd w:val="0"/>
      <w:spacing w:after="0" w:line="240" w:lineRule="auto"/>
    </w:pPr>
    <w:rPr>
      <w:rFonts w:eastAsia="Times New Roman"/>
      <w:szCs w:val="24"/>
    </w:rPr>
  </w:style>
  <w:style w:type="character" w:customStyle="1" w:styleId="BodyTextChar">
    <w:name w:val="Body Text Char"/>
    <w:link w:val="BodyText"/>
    <w:rsid w:val="00E7798E"/>
    <w:rPr>
      <w:rFonts w:ascii="Times New Roman" w:eastAsia="Times New Roman" w:hAnsi="Times New Roman"/>
      <w:sz w:val="24"/>
      <w:szCs w:val="24"/>
    </w:rPr>
  </w:style>
  <w:style w:type="character" w:styleId="FootnoteReference">
    <w:name w:val="footnote reference"/>
    <w:aliases w:val="ftref,16 Point,Superscript 6 Point"/>
    <w:uiPriority w:val="99"/>
    <w:rsid w:val="00E7798E"/>
    <w:rPr>
      <w:vertAlign w:val="superscript"/>
    </w:rPr>
  </w:style>
  <w:style w:type="paragraph" w:styleId="FootnoteText">
    <w:name w:val="footnote text"/>
    <w:aliases w:val="fn,FOOTNOTES,single space,ALTS FOOTNOTE,Footnote Text Char1,Footnote Text Char Char,Note de bas de page Car,footnote text,Fodnotetekst Tegn,Fodnotetekst Tegn Char,footnote text Char Char Char,footnote,ADB,f,ft"/>
    <w:basedOn w:val="Normal"/>
    <w:link w:val="FootnoteTextChar"/>
    <w:uiPriority w:val="99"/>
    <w:rsid w:val="00E7798E"/>
    <w:pPr>
      <w:keepNext/>
      <w:keepLines/>
      <w:spacing w:after="120" w:line="240" w:lineRule="auto"/>
      <w:ind w:left="288" w:hanging="288"/>
      <w:jc w:val="both"/>
    </w:pPr>
    <w:rPr>
      <w:rFonts w:eastAsia="Times New Roman"/>
      <w:spacing w:val="-3"/>
      <w:sz w:val="20"/>
      <w:szCs w:val="20"/>
    </w:rPr>
  </w:style>
  <w:style w:type="character" w:customStyle="1" w:styleId="FootnoteTextChar">
    <w:name w:val="Footnote Text Char"/>
    <w:aliases w:val="fn Char,FOOTNOTES Char,single space Char,ALTS FOOTNOTE Char,Footnote Text Char1 Char,Footnote Text Char Char Char,Note de bas de page Car Char,footnote text Char,Fodnotetekst Tegn Char1,Fodnotetekst Tegn Char Char,footnote Char,f Char"/>
    <w:link w:val="FootnoteText"/>
    <w:uiPriority w:val="99"/>
    <w:rsid w:val="00E7798E"/>
    <w:rPr>
      <w:rFonts w:ascii="Times New Roman" w:eastAsia="Times New Roman" w:hAnsi="Times New Roman"/>
      <w:spacing w:val="-3"/>
    </w:rPr>
  </w:style>
  <w:style w:type="character" w:styleId="CommentReference">
    <w:name w:val="annotation reference"/>
    <w:semiHidden/>
    <w:unhideWhenUsed/>
    <w:rsid w:val="00FB51B5"/>
    <w:rPr>
      <w:sz w:val="16"/>
      <w:szCs w:val="16"/>
    </w:rPr>
  </w:style>
  <w:style w:type="paragraph" w:styleId="CommentText">
    <w:name w:val="annotation text"/>
    <w:basedOn w:val="Normal"/>
    <w:link w:val="CommentTextChar"/>
    <w:unhideWhenUsed/>
    <w:rsid w:val="00FB51B5"/>
    <w:rPr>
      <w:sz w:val="20"/>
      <w:szCs w:val="20"/>
    </w:rPr>
  </w:style>
  <w:style w:type="character" w:customStyle="1" w:styleId="CommentTextChar">
    <w:name w:val="Comment Text Char"/>
    <w:basedOn w:val="DefaultParagraphFont"/>
    <w:link w:val="CommentText"/>
    <w:uiPriority w:val="99"/>
    <w:rsid w:val="00FB51B5"/>
  </w:style>
  <w:style w:type="paragraph" w:styleId="CommentSubject">
    <w:name w:val="annotation subject"/>
    <w:basedOn w:val="CommentText"/>
    <w:next w:val="CommentText"/>
    <w:link w:val="CommentSubjectChar"/>
    <w:uiPriority w:val="99"/>
    <w:semiHidden/>
    <w:unhideWhenUsed/>
    <w:rsid w:val="00FB51B5"/>
    <w:rPr>
      <w:rFonts w:ascii="Calibri" w:hAnsi="Calibri"/>
      <w:b/>
      <w:bCs/>
    </w:rPr>
  </w:style>
  <w:style w:type="character" w:customStyle="1" w:styleId="CommentSubjectChar">
    <w:name w:val="Comment Subject Char"/>
    <w:link w:val="CommentSubject"/>
    <w:uiPriority w:val="99"/>
    <w:semiHidden/>
    <w:rsid w:val="00FB51B5"/>
    <w:rPr>
      <w:b/>
      <w:bCs/>
    </w:rPr>
  </w:style>
  <w:style w:type="paragraph" w:customStyle="1" w:styleId="Default">
    <w:name w:val="Default"/>
    <w:link w:val="DefaultChar"/>
    <w:rsid w:val="00FB51B5"/>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rsid w:val="00B7182C"/>
    <w:pPr>
      <w:tabs>
        <w:tab w:val="center" w:pos="4320"/>
        <w:tab w:val="right" w:pos="8640"/>
      </w:tabs>
      <w:spacing w:after="0" w:line="240" w:lineRule="auto"/>
    </w:pPr>
    <w:rPr>
      <w:rFonts w:eastAsia="Times New Roman"/>
      <w:sz w:val="20"/>
      <w:szCs w:val="20"/>
      <w:lang w:val="es-ES"/>
    </w:rPr>
  </w:style>
  <w:style w:type="character" w:customStyle="1" w:styleId="HeaderChar">
    <w:name w:val="Header Char"/>
    <w:link w:val="Header"/>
    <w:uiPriority w:val="99"/>
    <w:rsid w:val="00B7182C"/>
    <w:rPr>
      <w:rFonts w:ascii="Times New Roman" w:eastAsia="Times New Roman" w:hAnsi="Times New Roman"/>
      <w:lang w:val="es-ES"/>
    </w:rPr>
  </w:style>
  <w:style w:type="paragraph" w:styleId="Footer">
    <w:name w:val="footer"/>
    <w:basedOn w:val="Normal"/>
    <w:link w:val="FooterChar"/>
    <w:uiPriority w:val="99"/>
    <w:unhideWhenUsed/>
    <w:rsid w:val="008C5169"/>
    <w:pPr>
      <w:tabs>
        <w:tab w:val="center" w:pos="4680"/>
        <w:tab w:val="right" w:pos="9360"/>
      </w:tabs>
    </w:pPr>
    <w:rPr>
      <w:rFonts w:ascii="Calibri" w:hAnsi="Calibri"/>
      <w:sz w:val="22"/>
    </w:rPr>
  </w:style>
  <w:style w:type="character" w:customStyle="1" w:styleId="FooterChar">
    <w:name w:val="Footer Char"/>
    <w:link w:val="Footer"/>
    <w:uiPriority w:val="99"/>
    <w:rsid w:val="008C5169"/>
    <w:rPr>
      <w:sz w:val="22"/>
      <w:szCs w:val="22"/>
    </w:rPr>
  </w:style>
  <w:style w:type="paragraph" w:styleId="Title">
    <w:name w:val="Title"/>
    <w:basedOn w:val="Normal"/>
    <w:link w:val="TitleChar"/>
    <w:qFormat/>
    <w:rsid w:val="00BF6F36"/>
    <w:pPr>
      <w:tabs>
        <w:tab w:val="left" w:pos="1440"/>
        <w:tab w:val="left" w:pos="3060"/>
      </w:tabs>
      <w:spacing w:after="0" w:line="240" w:lineRule="auto"/>
      <w:jc w:val="center"/>
      <w:outlineLvl w:val="0"/>
    </w:pPr>
    <w:rPr>
      <w:rFonts w:eastAsia="Times New Roman"/>
      <w:szCs w:val="20"/>
    </w:rPr>
  </w:style>
  <w:style w:type="character" w:customStyle="1" w:styleId="TitleChar">
    <w:name w:val="Title Char"/>
    <w:link w:val="Title"/>
    <w:rsid w:val="00BF6F36"/>
    <w:rPr>
      <w:rFonts w:ascii="Times New Roman" w:eastAsia="Times New Roman" w:hAnsi="Times New Roman"/>
      <w:sz w:val="24"/>
    </w:rPr>
  </w:style>
  <w:style w:type="paragraph" w:customStyle="1" w:styleId="Newpage">
    <w:name w:val="Newpage"/>
    <w:basedOn w:val="Normal"/>
    <w:link w:val="NewpageChar"/>
    <w:rsid w:val="00BF6F36"/>
    <w:pPr>
      <w:keepNext/>
      <w:tabs>
        <w:tab w:val="left" w:pos="1440"/>
        <w:tab w:val="left" w:pos="3060"/>
      </w:tabs>
      <w:spacing w:before="240" w:after="0" w:line="240" w:lineRule="auto"/>
      <w:jc w:val="center"/>
    </w:pPr>
    <w:rPr>
      <w:rFonts w:eastAsia="Times New Roman"/>
      <w:b/>
      <w:smallCaps/>
      <w:szCs w:val="20"/>
    </w:rPr>
  </w:style>
  <w:style w:type="paragraph" w:customStyle="1" w:styleId="Chapter">
    <w:name w:val="Chapter"/>
    <w:basedOn w:val="Normal"/>
    <w:next w:val="Normal"/>
    <w:rsid w:val="001C2E22"/>
    <w:pPr>
      <w:keepNext/>
      <w:numPr>
        <w:numId w:val="1"/>
      </w:numPr>
      <w:tabs>
        <w:tab w:val="left" w:pos="1440"/>
      </w:tabs>
      <w:spacing w:before="240" w:after="240" w:line="240" w:lineRule="auto"/>
      <w:jc w:val="center"/>
    </w:pPr>
    <w:rPr>
      <w:rFonts w:eastAsia="Times New Roman"/>
      <w:b/>
      <w:smallCaps/>
      <w:szCs w:val="20"/>
    </w:rPr>
  </w:style>
  <w:style w:type="paragraph" w:customStyle="1" w:styleId="Paragraph">
    <w:name w:val="Paragraph"/>
    <w:aliases w:val="paragraph,p,PARAGRAPH,PG,pa,at"/>
    <w:basedOn w:val="BodyTextIndent"/>
    <w:link w:val="ParagraphChar"/>
    <w:rsid w:val="001C2E22"/>
    <w:pPr>
      <w:tabs>
        <w:tab w:val="num" w:pos="720"/>
      </w:tabs>
      <w:spacing w:before="120"/>
      <w:ind w:left="720" w:hanging="720"/>
      <w:jc w:val="both"/>
      <w:outlineLvl w:val="1"/>
    </w:pPr>
    <w:rPr>
      <w:rFonts w:eastAsia="Times New Roman"/>
      <w:szCs w:val="20"/>
    </w:rPr>
  </w:style>
  <w:style w:type="paragraph" w:customStyle="1" w:styleId="subpar">
    <w:name w:val="subpar"/>
    <w:basedOn w:val="BodyTextIndent3"/>
    <w:rsid w:val="001C2E22"/>
    <w:pPr>
      <w:tabs>
        <w:tab w:val="num" w:pos="1152"/>
      </w:tabs>
      <w:spacing w:before="120"/>
      <w:ind w:left="1152" w:hanging="432"/>
      <w:jc w:val="both"/>
      <w:outlineLvl w:val="2"/>
    </w:pPr>
    <w:rPr>
      <w:rFonts w:eastAsia="Times New Roman"/>
      <w:szCs w:val="20"/>
    </w:rPr>
  </w:style>
  <w:style w:type="paragraph" w:customStyle="1" w:styleId="SubSubPar">
    <w:name w:val="SubSubPar"/>
    <w:basedOn w:val="subpar"/>
    <w:rsid w:val="001C2E22"/>
    <w:pPr>
      <w:tabs>
        <w:tab w:val="clear" w:pos="1152"/>
        <w:tab w:val="left" w:pos="0"/>
        <w:tab w:val="num" w:pos="1296"/>
      </w:tabs>
      <w:ind w:left="1296" w:hanging="288"/>
    </w:pPr>
  </w:style>
  <w:style w:type="character" w:customStyle="1" w:styleId="ParagraphChar">
    <w:name w:val="Paragraph Char"/>
    <w:aliases w:val="paragraph Char,p Char,PARAGRAPH Char,PG Char,pa Char,at Char"/>
    <w:link w:val="Paragraph"/>
    <w:rsid w:val="00BF6F36"/>
    <w:rPr>
      <w:rFonts w:ascii="Times New Roman" w:eastAsia="Times New Roman" w:hAnsi="Times New Roman"/>
      <w:sz w:val="24"/>
    </w:rPr>
  </w:style>
  <w:style w:type="paragraph" w:styleId="BodyTextIndent">
    <w:name w:val="Body Text Indent"/>
    <w:basedOn w:val="Normal"/>
    <w:link w:val="BodyTextIndentChar"/>
    <w:uiPriority w:val="99"/>
    <w:semiHidden/>
    <w:unhideWhenUsed/>
    <w:rsid w:val="00BF6F36"/>
    <w:pPr>
      <w:spacing w:after="120" w:line="240" w:lineRule="auto"/>
      <w:ind w:left="360"/>
    </w:pPr>
  </w:style>
  <w:style w:type="character" w:customStyle="1" w:styleId="BodyTextIndentChar">
    <w:name w:val="Body Text Indent Char"/>
    <w:link w:val="BodyTextIndent"/>
    <w:uiPriority w:val="99"/>
    <w:semiHidden/>
    <w:rsid w:val="00BF6F36"/>
    <w:rPr>
      <w:rFonts w:ascii="Times New Roman" w:hAnsi="Times New Roman"/>
      <w:sz w:val="24"/>
      <w:szCs w:val="22"/>
    </w:rPr>
  </w:style>
  <w:style w:type="paragraph" w:styleId="BodyTextIndent3">
    <w:name w:val="Body Text Indent 3"/>
    <w:basedOn w:val="Normal"/>
    <w:link w:val="BodyTextIndent3Char"/>
    <w:uiPriority w:val="99"/>
    <w:semiHidden/>
    <w:unhideWhenUsed/>
    <w:rsid w:val="00BF6F36"/>
    <w:pPr>
      <w:spacing w:after="120" w:line="240" w:lineRule="auto"/>
      <w:ind w:left="360"/>
    </w:pPr>
    <w:rPr>
      <w:szCs w:val="16"/>
    </w:rPr>
  </w:style>
  <w:style w:type="character" w:customStyle="1" w:styleId="BodyTextIndent3Char">
    <w:name w:val="Body Text Indent 3 Char"/>
    <w:link w:val="BodyTextIndent3"/>
    <w:uiPriority w:val="99"/>
    <w:semiHidden/>
    <w:rsid w:val="00BF6F36"/>
    <w:rPr>
      <w:rFonts w:ascii="Times New Roman" w:hAnsi="Times New Roman"/>
      <w:sz w:val="24"/>
      <w:szCs w:val="16"/>
    </w:rPr>
  </w:style>
  <w:style w:type="table" w:customStyle="1" w:styleId="MediumGrid11">
    <w:name w:val="Medium Grid 11"/>
    <w:basedOn w:val="TableNormal"/>
    <w:uiPriority w:val="67"/>
    <w:rsid w:val="00B45A3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Heading1Char">
    <w:name w:val="Heading 1 Char"/>
    <w:link w:val="Heading1"/>
    <w:uiPriority w:val="9"/>
    <w:rsid w:val="00256B20"/>
    <w:rPr>
      <w:rFonts w:ascii="Cambria" w:eastAsia="Times New Roman" w:hAnsi="Cambria" w:cs="Times New Roman"/>
      <w:b/>
      <w:bCs/>
      <w:kern w:val="32"/>
      <w:sz w:val="32"/>
      <w:szCs w:val="32"/>
    </w:rPr>
  </w:style>
  <w:style w:type="paragraph" w:styleId="TOCHeading">
    <w:name w:val="TOC Heading"/>
    <w:basedOn w:val="Heading1"/>
    <w:next w:val="Normal"/>
    <w:uiPriority w:val="39"/>
    <w:unhideWhenUsed/>
    <w:qFormat/>
    <w:rsid w:val="00256B20"/>
    <w:pPr>
      <w:keepLines/>
      <w:spacing w:before="480" w:after="0"/>
      <w:outlineLvl w:val="9"/>
    </w:pPr>
    <w:rPr>
      <w:color w:val="365F91"/>
      <w:kern w:val="0"/>
      <w:sz w:val="28"/>
      <w:szCs w:val="28"/>
    </w:rPr>
  </w:style>
  <w:style w:type="paragraph" w:styleId="TOC1">
    <w:name w:val="toc 1"/>
    <w:basedOn w:val="Normal"/>
    <w:next w:val="Normal"/>
    <w:autoRedefine/>
    <w:uiPriority w:val="39"/>
    <w:unhideWhenUsed/>
    <w:qFormat/>
    <w:rsid w:val="00F97DF7"/>
    <w:pPr>
      <w:tabs>
        <w:tab w:val="right" w:leader="dot" w:pos="8741"/>
      </w:tabs>
      <w:spacing w:before="60" w:after="60" w:line="240" w:lineRule="auto"/>
      <w:ind w:left="547" w:hanging="547"/>
    </w:pPr>
    <w:rPr>
      <w:smallCaps/>
    </w:rPr>
  </w:style>
  <w:style w:type="paragraph" w:styleId="TOC2">
    <w:name w:val="toc 2"/>
    <w:basedOn w:val="Normal"/>
    <w:next w:val="Normal"/>
    <w:autoRedefine/>
    <w:uiPriority w:val="39"/>
    <w:unhideWhenUsed/>
    <w:qFormat/>
    <w:rsid w:val="00063F2E"/>
    <w:pPr>
      <w:numPr>
        <w:numId w:val="3"/>
      </w:numPr>
      <w:tabs>
        <w:tab w:val="left" w:pos="1152"/>
        <w:tab w:val="right" w:leader="dot" w:pos="8741"/>
      </w:tabs>
      <w:spacing w:after="0" w:line="240" w:lineRule="auto"/>
    </w:pPr>
  </w:style>
  <w:style w:type="character" w:styleId="Hyperlink">
    <w:name w:val="Hyperlink"/>
    <w:unhideWhenUsed/>
    <w:rsid w:val="00256B20"/>
    <w:rPr>
      <w:color w:val="0000FF"/>
      <w:u w:val="single"/>
    </w:rPr>
  </w:style>
  <w:style w:type="paragraph" w:styleId="TOC3">
    <w:name w:val="toc 3"/>
    <w:basedOn w:val="Normal"/>
    <w:next w:val="Normal"/>
    <w:autoRedefine/>
    <w:uiPriority w:val="39"/>
    <w:unhideWhenUsed/>
    <w:qFormat/>
    <w:rsid w:val="00256B20"/>
    <w:pPr>
      <w:tabs>
        <w:tab w:val="left" w:pos="1728"/>
        <w:tab w:val="right" w:leader="dot" w:pos="8741"/>
      </w:tabs>
      <w:spacing w:after="0" w:line="240" w:lineRule="auto"/>
      <w:ind w:left="1714" w:hanging="562"/>
    </w:pPr>
    <w:rPr>
      <w:rFonts w:eastAsia="Times New Roman"/>
    </w:rPr>
  </w:style>
  <w:style w:type="paragraph" w:customStyle="1" w:styleId="FirstHeading">
    <w:name w:val="FirstHeading"/>
    <w:basedOn w:val="Normal"/>
    <w:next w:val="Normal"/>
    <w:link w:val="FirstHeadingChar"/>
    <w:rsid w:val="001C2E22"/>
    <w:pPr>
      <w:tabs>
        <w:tab w:val="left" w:pos="0"/>
        <w:tab w:val="left" w:pos="86"/>
      </w:tabs>
      <w:spacing w:before="120" w:after="120"/>
      <w:ind w:left="720" w:hanging="720"/>
    </w:pPr>
    <w:rPr>
      <w:rFonts w:eastAsia="Times New Roman"/>
      <w:b/>
      <w:smallCaps/>
      <w:sz w:val="22"/>
      <w:szCs w:val="24"/>
    </w:rPr>
  </w:style>
  <w:style w:type="character" w:customStyle="1" w:styleId="NewpageChar">
    <w:name w:val="Newpage Char"/>
    <w:link w:val="Newpage"/>
    <w:rsid w:val="001C2E22"/>
    <w:rPr>
      <w:rFonts w:ascii="Times New Roman" w:eastAsia="Times New Roman" w:hAnsi="Times New Roman"/>
      <w:b/>
      <w:smallCaps/>
      <w:sz w:val="24"/>
    </w:rPr>
  </w:style>
  <w:style w:type="character" w:customStyle="1" w:styleId="FirstHeadingChar">
    <w:name w:val="FirstHeading Char"/>
    <w:link w:val="FirstHeading"/>
    <w:rsid w:val="001C2E22"/>
    <w:rPr>
      <w:rFonts w:ascii="Times New Roman" w:eastAsia="Times New Roman" w:hAnsi="Times New Roman"/>
      <w:b/>
      <w:smallCaps/>
      <w:sz w:val="22"/>
      <w:szCs w:val="24"/>
    </w:rPr>
  </w:style>
  <w:style w:type="paragraph" w:customStyle="1" w:styleId="SecHeading">
    <w:name w:val="SecHeading"/>
    <w:basedOn w:val="Normal"/>
    <w:next w:val="Paragraph"/>
    <w:link w:val="SecHeadingChar"/>
    <w:rsid w:val="001C2E22"/>
    <w:pPr>
      <w:tabs>
        <w:tab w:val="num" w:pos="1296"/>
      </w:tabs>
      <w:spacing w:before="120" w:after="120"/>
      <w:ind w:left="1296" w:hanging="576"/>
    </w:pPr>
    <w:rPr>
      <w:rFonts w:eastAsia="Times New Roman"/>
      <w:b/>
      <w:smallCaps/>
      <w:sz w:val="22"/>
      <w:szCs w:val="24"/>
    </w:rPr>
  </w:style>
  <w:style w:type="character" w:customStyle="1" w:styleId="SecHeadingChar">
    <w:name w:val="SecHeading Char"/>
    <w:link w:val="SecHeading"/>
    <w:rsid w:val="001C2E22"/>
    <w:rPr>
      <w:rFonts w:ascii="Times New Roman" w:eastAsia="Times New Roman" w:hAnsi="Times New Roman"/>
      <w:b/>
      <w:smallCaps/>
      <w:sz w:val="22"/>
      <w:szCs w:val="24"/>
    </w:rPr>
  </w:style>
  <w:style w:type="paragraph" w:customStyle="1" w:styleId="SubHeading1">
    <w:name w:val="SubHeading1"/>
    <w:basedOn w:val="SecHeading"/>
    <w:link w:val="SubHeading1Char"/>
    <w:rsid w:val="001C2E22"/>
    <w:pPr>
      <w:keepNext/>
      <w:tabs>
        <w:tab w:val="clear" w:pos="1296"/>
        <w:tab w:val="num" w:pos="1872"/>
      </w:tabs>
      <w:spacing w:line="240" w:lineRule="auto"/>
      <w:ind w:left="1872"/>
    </w:pPr>
    <w:rPr>
      <w:b w:val="0"/>
    </w:rPr>
  </w:style>
  <w:style w:type="character" w:customStyle="1" w:styleId="SubHeading1Char">
    <w:name w:val="SubHeading1 Char"/>
    <w:link w:val="SubHeading1"/>
    <w:rsid w:val="001C2E22"/>
    <w:rPr>
      <w:rFonts w:ascii="Times New Roman" w:eastAsia="Times New Roman" w:hAnsi="Times New Roman"/>
      <w:b/>
      <w:smallCaps/>
      <w:sz w:val="24"/>
      <w:szCs w:val="24"/>
    </w:rPr>
  </w:style>
  <w:style w:type="paragraph" w:customStyle="1" w:styleId="Subheading2">
    <w:name w:val="Subheading2"/>
    <w:basedOn w:val="SecHeading"/>
    <w:link w:val="Subheading2Char"/>
    <w:rsid w:val="001C2E22"/>
    <w:pPr>
      <w:keepNext/>
      <w:tabs>
        <w:tab w:val="clear" w:pos="1296"/>
        <w:tab w:val="num" w:pos="2376"/>
      </w:tabs>
      <w:spacing w:line="240" w:lineRule="auto"/>
      <w:ind w:left="2376" w:hanging="288"/>
    </w:pPr>
    <w:rPr>
      <w:b w:val="0"/>
    </w:rPr>
  </w:style>
  <w:style w:type="character" w:customStyle="1" w:styleId="Subheading2Char">
    <w:name w:val="Subheading2 Char"/>
    <w:link w:val="Subheading2"/>
    <w:rsid w:val="001C2E22"/>
    <w:rPr>
      <w:rFonts w:ascii="Times New Roman" w:eastAsia="Times New Roman" w:hAnsi="Times New Roman"/>
      <w:b/>
      <w:smallCaps/>
      <w:sz w:val="24"/>
      <w:szCs w:val="24"/>
    </w:rPr>
  </w:style>
  <w:style w:type="paragraph" w:customStyle="1" w:styleId="Regtable">
    <w:name w:val="Regtable"/>
    <w:basedOn w:val="Normal"/>
    <w:link w:val="RegtableChar"/>
    <w:rsid w:val="001C2E22"/>
    <w:pPr>
      <w:keepLines/>
      <w:framePr w:wrap="around" w:vAnchor="text" w:hAnchor="text" w:y="1"/>
      <w:spacing w:before="20" w:after="20"/>
    </w:pPr>
    <w:rPr>
      <w:rFonts w:eastAsia="Times New Roman"/>
      <w:b/>
      <w:smallCaps/>
      <w:szCs w:val="24"/>
    </w:rPr>
  </w:style>
  <w:style w:type="character" w:customStyle="1" w:styleId="RegtableChar">
    <w:name w:val="Regtable Char"/>
    <w:link w:val="Regtable"/>
    <w:rsid w:val="001C2E22"/>
    <w:rPr>
      <w:rFonts w:ascii="Times New Roman" w:eastAsia="Times New Roman" w:hAnsi="Times New Roman"/>
      <w:b/>
      <w:smallCaps/>
      <w:sz w:val="24"/>
      <w:szCs w:val="24"/>
    </w:rPr>
  </w:style>
  <w:style w:type="paragraph" w:customStyle="1" w:styleId="TableTitle">
    <w:name w:val="TableTitle"/>
    <w:basedOn w:val="Normal"/>
    <w:link w:val="TableTitleChar"/>
    <w:rsid w:val="001C2E22"/>
    <w:pPr>
      <w:framePr w:wrap="around" w:vAnchor="text" w:hAnchor="text" w:y="1"/>
      <w:spacing w:before="20" w:after="20"/>
    </w:pPr>
    <w:rPr>
      <w:rFonts w:ascii="Times New Roman Bold" w:eastAsia="Times New Roman" w:hAnsi="Times New Roman Bold"/>
      <w:b/>
      <w:smallCaps/>
      <w:spacing w:val="-3"/>
      <w:szCs w:val="24"/>
    </w:rPr>
  </w:style>
  <w:style w:type="character" w:customStyle="1" w:styleId="TableTitleChar">
    <w:name w:val="TableTitle Char"/>
    <w:link w:val="TableTitle"/>
    <w:rsid w:val="001C2E22"/>
    <w:rPr>
      <w:rFonts w:ascii="Times New Roman Bold" w:eastAsia="Times New Roman" w:hAnsi="Times New Roman Bold" w:cs="Times New Roman Bold"/>
      <w:b/>
      <w:smallCaps/>
      <w:spacing w:val="-3"/>
      <w:sz w:val="24"/>
      <w:szCs w:val="24"/>
    </w:rPr>
  </w:style>
  <w:style w:type="character" w:customStyle="1" w:styleId="Heading2Char">
    <w:name w:val="Heading 2 Char"/>
    <w:link w:val="Heading2"/>
    <w:uiPriority w:val="9"/>
    <w:rsid w:val="007C18C4"/>
    <w:rPr>
      <w:rFonts w:ascii="Times New Roman" w:eastAsia="Times New Roman" w:hAnsi="Times New Roman"/>
      <w:bCs/>
      <w:i/>
      <w:iCs/>
      <w:sz w:val="24"/>
      <w:szCs w:val="28"/>
      <w:u w:val="single"/>
    </w:rPr>
  </w:style>
  <w:style w:type="character" w:customStyle="1" w:styleId="Heading3Char">
    <w:name w:val="Heading 3 Char"/>
    <w:link w:val="Heading3"/>
    <w:uiPriority w:val="9"/>
    <w:semiHidden/>
    <w:rsid w:val="001C2E22"/>
    <w:rPr>
      <w:rFonts w:ascii="Cambria" w:eastAsia="Times New Roman" w:hAnsi="Cambria"/>
      <w:b/>
      <w:bCs/>
      <w:sz w:val="26"/>
      <w:szCs w:val="26"/>
    </w:rPr>
  </w:style>
  <w:style w:type="character" w:customStyle="1" w:styleId="Heading4Char">
    <w:name w:val="Heading 4 Char"/>
    <w:link w:val="Heading4"/>
    <w:uiPriority w:val="9"/>
    <w:semiHidden/>
    <w:rsid w:val="001C2E22"/>
    <w:rPr>
      <w:rFonts w:eastAsia="Times New Roman"/>
      <w:b/>
      <w:bCs/>
      <w:sz w:val="28"/>
      <w:szCs w:val="28"/>
    </w:rPr>
  </w:style>
  <w:style w:type="character" w:customStyle="1" w:styleId="Heading5Char">
    <w:name w:val="Heading 5 Char"/>
    <w:link w:val="Heading5"/>
    <w:uiPriority w:val="9"/>
    <w:semiHidden/>
    <w:rsid w:val="001C2E22"/>
    <w:rPr>
      <w:rFonts w:eastAsia="Times New Roman"/>
      <w:b/>
      <w:bCs/>
      <w:i/>
      <w:iCs/>
      <w:sz w:val="26"/>
      <w:szCs w:val="26"/>
    </w:rPr>
  </w:style>
  <w:style w:type="character" w:customStyle="1" w:styleId="Heading6Char">
    <w:name w:val="Heading 6 Char"/>
    <w:link w:val="Heading6"/>
    <w:uiPriority w:val="9"/>
    <w:semiHidden/>
    <w:rsid w:val="001C2E22"/>
    <w:rPr>
      <w:rFonts w:eastAsia="Times New Roman"/>
      <w:b/>
      <w:bCs/>
      <w:sz w:val="22"/>
      <w:szCs w:val="22"/>
    </w:rPr>
  </w:style>
  <w:style w:type="character" w:customStyle="1" w:styleId="Heading7Char">
    <w:name w:val="Heading 7 Char"/>
    <w:link w:val="Heading7"/>
    <w:uiPriority w:val="9"/>
    <w:semiHidden/>
    <w:rsid w:val="001C2E22"/>
    <w:rPr>
      <w:rFonts w:eastAsia="Times New Roman"/>
      <w:sz w:val="24"/>
      <w:szCs w:val="24"/>
    </w:rPr>
  </w:style>
  <w:style w:type="character" w:customStyle="1" w:styleId="Heading8Char">
    <w:name w:val="Heading 8 Char"/>
    <w:link w:val="Heading8"/>
    <w:uiPriority w:val="9"/>
    <w:semiHidden/>
    <w:rsid w:val="001C2E22"/>
    <w:rPr>
      <w:rFonts w:eastAsia="Times New Roman"/>
      <w:i/>
      <w:iCs/>
      <w:sz w:val="24"/>
      <w:szCs w:val="24"/>
    </w:rPr>
  </w:style>
  <w:style w:type="character" w:customStyle="1" w:styleId="Heading9Char">
    <w:name w:val="Heading 9 Char"/>
    <w:link w:val="Heading9"/>
    <w:uiPriority w:val="9"/>
    <w:semiHidden/>
    <w:rsid w:val="001C2E22"/>
    <w:rPr>
      <w:rFonts w:ascii="Cambria" w:eastAsia="Times New Roman" w:hAnsi="Cambria"/>
      <w:sz w:val="22"/>
      <w:szCs w:val="22"/>
    </w:rPr>
  </w:style>
  <w:style w:type="paragraph" w:customStyle="1" w:styleId="Banknumbered">
    <w:name w:val="Bank numbered"/>
    <w:basedOn w:val="Normal"/>
    <w:link w:val="BanknumberedChar"/>
    <w:qFormat/>
    <w:rsid w:val="00BC3594"/>
    <w:pPr>
      <w:numPr>
        <w:numId w:val="4"/>
      </w:numPr>
      <w:spacing w:before="120" w:after="0" w:line="240" w:lineRule="auto"/>
      <w:ind w:left="0" w:firstLine="0"/>
    </w:pPr>
  </w:style>
  <w:style w:type="character" w:customStyle="1" w:styleId="BanknumberedChar">
    <w:name w:val="Bank numbered Char"/>
    <w:link w:val="Banknumbered"/>
    <w:rsid w:val="00BC3594"/>
    <w:rPr>
      <w:rFonts w:ascii="Times New Roman" w:hAnsi="Times New Roman"/>
      <w:sz w:val="24"/>
      <w:szCs w:val="22"/>
    </w:rPr>
  </w:style>
  <w:style w:type="paragraph" w:customStyle="1" w:styleId="Bullet">
    <w:name w:val="Bullet"/>
    <w:basedOn w:val="Normal"/>
    <w:link w:val="BulletChar"/>
    <w:qFormat/>
    <w:rsid w:val="00BC3594"/>
    <w:pPr>
      <w:numPr>
        <w:numId w:val="5"/>
      </w:numPr>
      <w:spacing w:before="120" w:after="0" w:line="240" w:lineRule="auto"/>
    </w:pPr>
  </w:style>
  <w:style w:type="character" w:customStyle="1" w:styleId="BulletChar">
    <w:name w:val="Bullet Char"/>
    <w:link w:val="Bullet"/>
    <w:rsid w:val="00BC3594"/>
    <w:rPr>
      <w:rFonts w:ascii="Times New Roman" w:hAnsi="Times New Roman"/>
      <w:sz w:val="24"/>
      <w:szCs w:val="22"/>
    </w:rPr>
  </w:style>
  <w:style w:type="paragraph" w:styleId="ListParagraph">
    <w:name w:val="List Paragraph"/>
    <w:basedOn w:val="Normal"/>
    <w:uiPriority w:val="34"/>
    <w:qFormat/>
    <w:rsid w:val="00015B76"/>
    <w:pPr>
      <w:ind w:left="720"/>
      <w:contextualSpacing/>
    </w:pPr>
  </w:style>
  <w:style w:type="table" w:customStyle="1" w:styleId="LightShading-Accent11">
    <w:name w:val="Light Shading - Accent 11"/>
    <w:basedOn w:val="TableNormal"/>
    <w:uiPriority w:val="30"/>
    <w:qFormat/>
    <w:rsid w:val="00D81DE9"/>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ption">
    <w:name w:val="caption"/>
    <w:basedOn w:val="Normal"/>
    <w:next w:val="Normal"/>
    <w:uiPriority w:val="35"/>
    <w:unhideWhenUsed/>
    <w:qFormat/>
    <w:rsid w:val="00F0393C"/>
    <w:pPr>
      <w:spacing w:line="240" w:lineRule="auto"/>
    </w:pPr>
    <w:rPr>
      <w:b/>
      <w:bCs/>
      <w:szCs w:val="18"/>
      <w:u w:val="single"/>
    </w:rPr>
  </w:style>
  <w:style w:type="character" w:styleId="FollowedHyperlink">
    <w:name w:val="FollowedHyperlink"/>
    <w:basedOn w:val="DefaultParagraphFont"/>
    <w:uiPriority w:val="99"/>
    <w:semiHidden/>
    <w:unhideWhenUsed/>
    <w:rsid w:val="00004201"/>
    <w:rPr>
      <w:color w:val="800080" w:themeColor="followedHyperlink"/>
      <w:u w:val="single"/>
    </w:rPr>
  </w:style>
  <w:style w:type="paragraph" w:customStyle="1" w:styleId="Annex">
    <w:name w:val="Annex"/>
    <w:basedOn w:val="Normal"/>
    <w:rsid w:val="00EB5A0E"/>
    <w:pPr>
      <w:spacing w:after="0" w:line="240" w:lineRule="auto"/>
    </w:pPr>
    <w:rPr>
      <w:rFonts w:eastAsia="Times New Roman"/>
      <w:caps/>
      <w:szCs w:val="20"/>
    </w:rPr>
  </w:style>
  <w:style w:type="paragraph" w:styleId="EndnoteText">
    <w:name w:val="endnote text"/>
    <w:basedOn w:val="Normal"/>
    <w:link w:val="EndnoteTextChar"/>
    <w:uiPriority w:val="99"/>
    <w:unhideWhenUsed/>
    <w:rsid w:val="002A3A98"/>
    <w:pPr>
      <w:spacing w:after="0" w:line="240" w:lineRule="auto"/>
    </w:pPr>
    <w:rPr>
      <w:rFonts w:eastAsia="Times New Roman"/>
      <w:sz w:val="20"/>
      <w:szCs w:val="20"/>
    </w:rPr>
  </w:style>
  <w:style w:type="character" w:customStyle="1" w:styleId="EndnoteTextChar">
    <w:name w:val="Endnote Text Char"/>
    <w:basedOn w:val="DefaultParagraphFont"/>
    <w:link w:val="EndnoteText"/>
    <w:uiPriority w:val="99"/>
    <w:rsid w:val="002A3A98"/>
    <w:rPr>
      <w:rFonts w:ascii="Times New Roman" w:eastAsia="Times New Roman" w:hAnsi="Times New Roman"/>
    </w:rPr>
  </w:style>
  <w:style w:type="character" w:styleId="EndnoteReference">
    <w:name w:val="endnote reference"/>
    <w:basedOn w:val="DefaultParagraphFont"/>
    <w:uiPriority w:val="99"/>
    <w:semiHidden/>
    <w:unhideWhenUsed/>
    <w:rsid w:val="002A3A98"/>
    <w:rPr>
      <w:vertAlign w:val="superscript"/>
    </w:rPr>
  </w:style>
  <w:style w:type="character" w:styleId="SubtleEmphasis">
    <w:name w:val="Subtle Emphasis"/>
    <w:basedOn w:val="DefaultParagraphFont"/>
    <w:uiPriority w:val="19"/>
    <w:qFormat/>
    <w:rsid w:val="005D065A"/>
    <w:rPr>
      <w:i/>
      <w:iCs/>
      <w:color w:val="808080" w:themeColor="text1" w:themeTint="7F"/>
    </w:rPr>
  </w:style>
  <w:style w:type="character" w:customStyle="1" w:styleId="DefaultChar">
    <w:name w:val="Default Char"/>
    <w:basedOn w:val="DefaultParagraphFont"/>
    <w:link w:val="Default"/>
    <w:rsid w:val="00357AF4"/>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DF7"/>
    <w:pPr>
      <w:spacing w:after="200" w:line="276" w:lineRule="auto"/>
    </w:pPr>
    <w:rPr>
      <w:rFonts w:ascii="Times New Roman" w:hAnsi="Times New Roman"/>
      <w:sz w:val="24"/>
      <w:szCs w:val="22"/>
    </w:rPr>
  </w:style>
  <w:style w:type="paragraph" w:styleId="Heading1">
    <w:name w:val="heading 1"/>
    <w:basedOn w:val="Normal"/>
    <w:next w:val="Normal"/>
    <w:link w:val="Heading1Char"/>
    <w:uiPriority w:val="9"/>
    <w:qFormat/>
    <w:rsid w:val="00256B2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7C18C4"/>
    <w:pPr>
      <w:keepNext/>
      <w:numPr>
        <w:numId w:val="18"/>
      </w:numPr>
      <w:spacing w:before="240" w:after="60"/>
      <w:outlineLvl w:val="1"/>
    </w:pPr>
    <w:rPr>
      <w:rFonts w:eastAsia="Times New Roman"/>
      <w:bCs/>
      <w:i/>
      <w:iCs/>
      <w:szCs w:val="28"/>
      <w:u w:val="single"/>
    </w:rPr>
  </w:style>
  <w:style w:type="paragraph" w:styleId="Heading3">
    <w:name w:val="heading 3"/>
    <w:basedOn w:val="Normal"/>
    <w:next w:val="Normal"/>
    <w:link w:val="Heading3Char"/>
    <w:uiPriority w:val="9"/>
    <w:semiHidden/>
    <w:unhideWhenUsed/>
    <w:qFormat/>
    <w:rsid w:val="001C2E22"/>
    <w:pPr>
      <w:keepNext/>
      <w:numPr>
        <w:ilvl w:val="2"/>
        <w:numId w:val="1"/>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1C2E22"/>
    <w:pPr>
      <w:keepNext/>
      <w:numPr>
        <w:ilvl w:val="3"/>
        <w:numId w:val="1"/>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1C2E22"/>
    <w:pPr>
      <w:numPr>
        <w:ilvl w:val="4"/>
        <w:numId w:val="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1C2E22"/>
    <w:pPr>
      <w:numPr>
        <w:ilvl w:val="5"/>
        <w:numId w:val="1"/>
      </w:num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qFormat/>
    <w:rsid w:val="001C2E22"/>
    <w:pPr>
      <w:numPr>
        <w:ilvl w:val="6"/>
        <w:numId w:val="1"/>
      </w:numPr>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
    <w:semiHidden/>
    <w:unhideWhenUsed/>
    <w:qFormat/>
    <w:rsid w:val="001C2E22"/>
    <w:pPr>
      <w:numPr>
        <w:ilvl w:val="7"/>
        <w:numId w:val="1"/>
      </w:numPr>
      <w:spacing w:before="240" w:after="60"/>
      <w:outlineLvl w:val="7"/>
    </w:pPr>
    <w:rPr>
      <w:rFonts w:ascii="Calibri" w:eastAsia="Times New Roman" w:hAnsi="Calibri"/>
      <w:i/>
      <w:iCs/>
      <w:szCs w:val="24"/>
    </w:rPr>
  </w:style>
  <w:style w:type="paragraph" w:styleId="Heading9">
    <w:name w:val="heading 9"/>
    <w:basedOn w:val="Normal"/>
    <w:next w:val="Normal"/>
    <w:link w:val="Heading9Char"/>
    <w:uiPriority w:val="9"/>
    <w:semiHidden/>
    <w:unhideWhenUsed/>
    <w:qFormat/>
    <w:rsid w:val="001C2E22"/>
    <w:pPr>
      <w:numPr>
        <w:ilvl w:val="8"/>
        <w:numId w:val="1"/>
      </w:numPr>
      <w:spacing w:before="240"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ED564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D5649"/>
    <w:rPr>
      <w:rFonts w:ascii="Tahoma" w:hAnsi="Tahoma" w:cs="Tahoma"/>
      <w:sz w:val="16"/>
      <w:szCs w:val="16"/>
    </w:rPr>
  </w:style>
  <w:style w:type="table" w:styleId="TableGrid">
    <w:name w:val="Table Grid"/>
    <w:basedOn w:val="TableNormal"/>
    <w:uiPriority w:val="59"/>
    <w:rsid w:val="004F5E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next w:val="Normal"/>
    <w:link w:val="BodyTextChar"/>
    <w:rsid w:val="00E7798E"/>
    <w:pPr>
      <w:autoSpaceDE w:val="0"/>
      <w:autoSpaceDN w:val="0"/>
      <w:adjustRightInd w:val="0"/>
      <w:spacing w:after="0" w:line="240" w:lineRule="auto"/>
    </w:pPr>
    <w:rPr>
      <w:rFonts w:eastAsia="Times New Roman"/>
      <w:szCs w:val="24"/>
    </w:rPr>
  </w:style>
  <w:style w:type="character" w:customStyle="1" w:styleId="BodyTextChar">
    <w:name w:val="Body Text Char"/>
    <w:link w:val="BodyText"/>
    <w:rsid w:val="00E7798E"/>
    <w:rPr>
      <w:rFonts w:ascii="Times New Roman" w:eastAsia="Times New Roman" w:hAnsi="Times New Roman"/>
      <w:sz w:val="24"/>
      <w:szCs w:val="24"/>
    </w:rPr>
  </w:style>
  <w:style w:type="character" w:styleId="FootnoteReference">
    <w:name w:val="footnote reference"/>
    <w:aliases w:val="ftref,16 Point,Superscript 6 Point"/>
    <w:uiPriority w:val="99"/>
    <w:rsid w:val="00E7798E"/>
    <w:rPr>
      <w:vertAlign w:val="superscript"/>
    </w:rPr>
  </w:style>
  <w:style w:type="paragraph" w:styleId="FootnoteText">
    <w:name w:val="footnote text"/>
    <w:aliases w:val="fn,FOOTNOTES,single space,ALTS FOOTNOTE,Footnote Text Char1,Footnote Text Char Char,Note de bas de page Car,footnote text,Fodnotetekst Tegn,Fodnotetekst Tegn Char,footnote text Char Char Char,footnote,ADB,f,ft"/>
    <w:basedOn w:val="Normal"/>
    <w:link w:val="FootnoteTextChar"/>
    <w:uiPriority w:val="99"/>
    <w:rsid w:val="00E7798E"/>
    <w:pPr>
      <w:keepNext/>
      <w:keepLines/>
      <w:spacing w:after="120" w:line="240" w:lineRule="auto"/>
      <w:ind w:left="288" w:hanging="288"/>
      <w:jc w:val="both"/>
    </w:pPr>
    <w:rPr>
      <w:rFonts w:eastAsia="Times New Roman"/>
      <w:spacing w:val="-3"/>
      <w:sz w:val="20"/>
      <w:szCs w:val="20"/>
    </w:rPr>
  </w:style>
  <w:style w:type="character" w:customStyle="1" w:styleId="FootnoteTextChar">
    <w:name w:val="Footnote Text Char"/>
    <w:aliases w:val="fn Char,FOOTNOTES Char,single space Char,ALTS FOOTNOTE Char,Footnote Text Char1 Char,Footnote Text Char Char Char,Note de bas de page Car Char,footnote text Char,Fodnotetekst Tegn Char1,Fodnotetekst Tegn Char Char,footnote Char,f Char"/>
    <w:link w:val="FootnoteText"/>
    <w:uiPriority w:val="99"/>
    <w:rsid w:val="00E7798E"/>
    <w:rPr>
      <w:rFonts w:ascii="Times New Roman" w:eastAsia="Times New Roman" w:hAnsi="Times New Roman"/>
      <w:spacing w:val="-3"/>
    </w:rPr>
  </w:style>
  <w:style w:type="character" w:styleId="CommentReference">
    <w:name w:val="annotation reference"/>
    <w:semiHidden/>
    <w:unhideWhenUsed/>
    <w:rsid w:val="00FB51B5"/>
    <w:rPr>
      <w:sz w:val="16"/>
      <w:szCs w:val="16"/>
    </w:rPr>
  </w:style>
  <w:style w:type="paragraph" w:styleId="CommentText">
    <w:name w:val="annotation text"/>
    <w:basedOn w:val="Normal"/>
    <w:link w:val="CommentTextChar"/>
    <w:unhideWhenUsed/>
    <w:rsid w:val="00FB51B5"/>
    <w:rPr>
      <w:sz w:val="20"/>
      <w:szCs w:val="20"/>
    </w:rPr>
  </w:style>
  <w:style w:type="character" w:customStyle="1" w:styleId="CommentTextChar">
    <w:name w:val="Comment Text Char"/>
    <w:basedOn w:val="DefaultParagraphFont"/>
    <w:link w:val="CommentText"/>
    <w:uiPriority w:val="99"/>
    <w:rsid w:val="00FB51B5"/>
  </w:style>
  <w:style w:type="paragraph" w:styleId="CommentSubject">
    <w:name w:val="annotation subject"/>
    <w:basedOn w:val="CommentText"/>
    <w:next w:val="CommentText"/>
    <w:link w:val="CommentSubjectChar"/>
    <w:uiPriority w:val="99"/>
    <w:semiHidden/>
    <w:unhideWhenUsed/>
    <w:rsid w:val="00FB51B5"/>
    <w:rPr>
      <w:rFonts w:ascii="Calibri" w:hAnsi="Calibri"/>
      <w:b/>
      <w:bCs/>
    </w:rPr>
  </w:style>
  <w:style w:type="character" w:customStyle="1" w:styleId="CommentSubjectChar">
    <w:name w:val="Comment Subject Char"/>
    <w:link w:val="CommentSubject"/>
    <w:uiPriority w:val="99"/>
    <w:semiHidden/>
    <w:rsid w:val="00FB51B5"/>
    <w:rPr>
      <w:b/>
      <w:bCs/>
    </w:rPr>
  </w:style>
  <w:style w:type="paragraph" w:customStyle="1" w:styleId="Default">
    <w:name w:val="Default"/>
    <w:link w:val="DefaultChar"/>
    <w:rsid w:val="00FB51B5"/>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rsid w:val="00B7182C"/>
    <w:pPr>
      <w:tabs>
        <w:tab w:val="center" w:pos="4320"/>
        <w:tab w:val="right" w:pos="8640"/>
      </w:tabs>
      <w:spacing w:after="0" w:line="240" w:lineRule="auto"/>
    </w:pPr>
    <w:rPr>
      <w:rFonts w:eastAsia="Times New Roman"/>
      <w:sz w:val="20"/>
      <w:szCs w:val="20"/>
      <w:lang w:val="es-ES"/>
    </w:rPr>
  </w:style>
  <w:style w:type="character" w:customStyle="1" w:styleId="HeaderChar">
    <w:name w:val="Header Char"/>
    <w:link w:val="Header"/>
    <w:uiPriority w:val="99"/>
    <w:rsid w:val="00B7182C"/>
    <w:rPr>
      <w:rFonts w:ascii="Times New Roman" w:eastAsia="Times New Roman" w:hAnsi="Times New Roman"/>
      <w:lang w:val="es-ES"/>
    </w:rPr>
  </w:style>
  <w:style w:type="paragraph" w:styleId="Footer">
    <w:name w:val="footer"/>
    <w:basedOn w:val="Normal"/>
    <w:link w:val="FooterChar"/>
    <w:uiPriority w:val="99"/>
    <w:unhideWhenUsed/>
    <w:rsid w:val="008C5169"/>
    <w:pPr>
      <w:tabs>
        <w:tab w:val="center" w:pos="4680"/>
        <w:tab w:val="right" w:pos="9360"/>
      </w:tabs>
    </w:pPr>
    <w:rPr>
      <w:rFonts w:ascii="Calibri" w:hAnsi="Calibri"/>
      <w:sz w:val="22"/>
    </w:rPr>
  </w:style>
  <w:style w:type="character" w:customStyle="1" w:styleId="FooterChar">
    <w:name w:val="Footer Char"/>
    <w:link w:val="Footer"/>
    <w:uiPriority w:val="99"/>
    <w:rsid w:val="008C5169"/>
    <w:rPr>
      <w:sz w:val="22"/>
      <w:szCs w:val="22"/>
    </w:rPr>
  </w:style>
  <w:style w:type="paragraph" w:styleId="Title">
    <w:name w:val="Title"/>
    <w:basedOn w:val="Normal"/>
    <w:link w:val="TitleChar"/>
    <w:qFormat/>
    <w:rsid w:val="00BF6F36"/>
    <w:pPr>
      <w:tabs>
        <w:tab w:val="left" w:pos="1440"/>
        <w:tab w:val="left" w:pos="3060"/>
      </w:tabs>
      <w:spacing w:after="0" w:line="240" w:lineRule="auto"/>
      <w:jc w:val="center"/>
      <w:outlineLvl w:val="0"/>
    </w:pPr>
    <w:rPr>
      <w:rFonts w:eastAsia="Times New Roman"/>
      <w:szCs w:val="20"/>
    </w:rPr>
  </w:style>
  <w:style w:type="character" w:customStyle="1" w:styleId="TitleChar">
    <w:name w:val="Title Char"/>
    <w:link w:val="Title"/>
    <w:rsid w:val="00BF6F36"/>
    <w:rPr>
      <w:rFonts w:ascii="Times New Roman" w:eastAsia="Times New Roman" w:hAnsi="Times New Roman"/>
      <w:sz w:val="24"/>
    </w:rPr>
  </w:style>
  <w:style w:type="paragraph" w:customStyle="1" w:styleId="Newpage">
    <w:name w:val="Newpage"/>
    <w:basedOn w:val="Normal"/>
    <w:link w:val="NewpageChar"/>
    <w:rsid w:val="00BF6F36"/>
    <w:pPr>
      <w:keepNext/>
      <w:tabs>
        <w:tab w:val="left" w:pos="1440"/>
        <w:tab w:val="left" w:pos="3060"/>
      </w:tabs>
      <w:spacing w:before="240" w:after="0" w:line="240" w:lineRule="auto"/>
      <w:jc w:val="center"/>
    </w:pPr>
    <w:rPr>
      <w:rFonts w:eastAsia="Times New Roman"/>
      <w:b/>
      <w:smallCaps/>
      <w:szCs w:val="20"/>
    </w:rPr>
  </w:style>
  <w:style w:type="paragraph" w:customStyle="1" w:styleId="Chapter">
    <w:name w:val="Chapter"/>
    <w:basedOn w:val="Normal"/>
    <w:next w:val="Normal"/>
    <w:rsid w:val="001C2E22"/>
    <w:pPr>
      <w:keepNext/>
      <w:numPr>
        <w:numId w:val="1"/>
      </w:numPr>
      <w:tabs>
        <w:tab w:val="left" w:pos="1440"/>
      </w:tabs>
      <w:spacing w:before="240" w:after="240" w:line="240" w:lineRule="auto"/>
      <w:jc w:val="center"/>
    </w:pPr>
    <w:rPr>
      <w:rFonts w:eastAsia="Times New Roman"/>
      <w:b/>
      <w:smallCaps/>
      <w:szCs w:val="20"/>
    </w:rPr>
  </w:style>
  <w:style w:type="paragraph" w:customStyle="1" w:styleId="Paragraph">
    <w:name w:val="Paragraph"/>
    <w:aliases w:val="paragraph,p,PARAGRAPH,PG,pa,at"/>
    <w:basedOn w:val="BodyTextIndent"/>
    <w:link w:val="ParagraphChar"/>
    <w:rsid w:val="001C2E22"/>
    <w:pPr>
      <w:tabs>
        <w:tab w:val="num" w:pos="720"/>
      </w:tabs>
      <w:spacing w:before="120"/>
      <w:ind w:left="720" w:hanging="720"/>
      <w:jc w:val="both"/>
      <w:outlineLvl w:val="1"/>
    </w:pPr>
    <w:rPr>
      <w:rFonts w:eastAsia="Times New Roman"/>
      <w:szCs w:val="20"/>
    </w:rPr>
  </w:style>
  <w:style w:type="paragraph" w:customStyle="1" w:styleId="subpar">
    <w:name w:val="subpar"/>
    <w:basedOn w:val="BodyTextIndent3"/>
    <w:rsid w:val="001C2E22"/>
    <w:pPr>
      <w:tabs>
        <w:tab w:val="num" w:pos="1152"/>
      </w:tabs>
      <w:spacing w:before="120"/>
      <w:ind w:left="1152" w:hanging="432"/>
      <w:jc w:val="both"/>
      <w:outlineLvl w:val="2"/>
    </w:pPr>
    <w:rPr>
      <w:rFonts w:eastAsia="Times New Roman"/>
      <w:szCs w:val="20"/>
    </w:rPr>
  </w:style>
  <w:style w:type="paragraph" w:customStyle="1" w:styleId="SubSubPar">
    <w:name w:val="SubSubPar"/>
    <w:basedOn w:val="subpar"/>
    <w:rsid w:val="001C2E22"/>
    <w:pPr>
      <w:tabs>
        <w:tab w:val="clear" w:pos="1152"/>
        <w:tab w:val="left" w:pos="0"/>
        <w:tab w:val="num" w:pos="1296"/>
      </w:tabs>
      <w:ind w:left="1296" w:hanging="288"/>
    </w:pPr>
  </w:style>
  <w:style w:type="character" w:customStyle="1" w:styleId="ParagraphChar">
    <w:name w:val="Paragraph Char"/>
    <w:aliases w:val="paragraph Char,p Char,PARAGRAPH Char,PG Char,pa Char,at Char"/>
    <w:link w:val="Paragraph"/>
    <w:rsid w:val="00BF6F36"/>
    <w:rPr>
      <w:rFonts w:ascii="Times New Roman" w:eastAsia="Times New Roman" w:hAnsi="Times New Roman"/>
      <w:sz w:val="24"/>
    </w:rPr>
  </w:style>
  <w:style w:type="paragraph" w:styleId="BodyTextIndent">
    <w:name w:val="Body Text Indent"/>
    <w:basedOn w:val="Normal"/>
    <w:link w:val="BodyTextIndentChar"/>
    <w:uiPriority w:val="99"/>
    <w:semiHidden/>
    <w:unhideWhenUsed/>
    <w:rsid w:val="00BF6F36"/>
    <w:pPr>
      <w:spacing w:after="120" w:line="240" w:lineRule="auto"/>
      <w:ind w:left="360"/>
    </w:pPr>
  </w:style>
  <w:style w:type="character" w:customStyle="1" w:styleId="BodyTextIndentChar">
    <w:name w:val="Body Text Indent Char"/>
    <w:link w:val="BodyTextIndent"/>
    <w:uiPriority w:val="99"/>
    <w:semiHidden/>
    <w:rsid w:val="00BF6F36"/>
    <w:rPr>
      <w:rFonts w:ascii="Times New Roman" w:hAnsi="Times New Roman"/>
      <w:sz w:val="24"/>
      <w:szCs w:val="22"/>
    </w:rPr>
  </w:style>
  <w:style w:type="paragraph" w:styleId="BodyTextIndent3">
    <w:name w:val="Body Text Indent 3"/>
    <w:basedOn w:val="Normal"/>
    <w:link w:val="BodyTextIndent3Char"/>
    <w:uiPriority w:val="99"/>
    <w:semiHidden/>
    <w:unhideWhenUsed/>
    <w:rsid w:val="00BF6F36"/>
    <w:pPr>
      <w:spacing w:after="120" w:line="240" w:lineRule="auto"/>
      <w:ind w:left="360"/>
    </w:pPr>
    <w:rPr>
      <w:szCs w:val="16"/>
    </w:rPr>
  </w:style>
  <w:style w:type="character" w:customStyle="1" w:styleId="BodyTextIndent3Char">
    <w:name w:val="Body Text Indent 3 Char"/>
    <w:link w:val="BodyTextIndent3"/>
    <w:uiPriority w:val="99"/>
    <w:semiHidden/>
    <w:rsid w:val="00BF6F36"/>
    <w:rPr>
      <w:rFonts w:ascii="Times New Roman" w:hAnsi="Times New Roman"/>
      <w:sz w:val="24"/>
      <w:szCs w:val="16"/>
    </w:rPr>
  </w:style>
  <w:style w:type="table" w:customStyle="1" w:styleId="MediumGrid11">
    <w:name w:val="Medium Grid 11"/>
    <w:basedOn w:val="TableNormal"/>
    <w:uiPriority w:val="67"/>
    <w:rsid w:val="00B45A3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Heading1Char">
    <w:name w:val="Heading 1 Char"/>
    <w:link w:val="Heading1"/>
    <w:uiPriority w:val="9"/>
    <w:rsid w:val="00256B20"/>
    <w:rPr>
      <w:rFonts w:ascii="Cambria" w:eastAsia="Times New Roman" w:hAnsi="Cambria" w:cs="Times New Roman"/>
      <w:b/>
      <w:bCs/>
      <w:kern w:val="32"/>
      <w:sz w:val="32"/>
      <w:szCs w:val="32"/>
    </w:rPr>
  </w:style>
  <w:style w:type="paragraph" w:styleId="TOCHeading">
    <w:name w:val="TOC Heading"/>
    <w:basedOn w:val="Heading1"/>
    <w:next w:val="Normal"/>
    <w:uiPriority w:val="39"/>
    <w:unhideWhenUsed/>
    <w:qFormat/>
    <w:rsid w:val="00256B20"/>
    <w:pPr>
      <w:keepLines/>
      <w:spacing w:before="480" w:after="0"/>
      <w:outlineLvl w:val="9"/>
    </w:pPr>
    <w:rPr>
      <w:color w:val="365F91"/>
      <w:kern w:val="0"/>
      <w:sz w:val="28"/>
      <w:szCs w:val="28"/>
    </w:rPr>
  </w:style>
  <w:style w:type="paragraph" w:styleId="TOC1">
    <w:name w:val="toc 1"/>
    <w:basedOn w:val="Normal"/>
    <w:next w:val="Normal"/>
    <w:autoRedefine/>
    <w:uiPriority w:val="39"/>
    <w:unhideWhenUsed/>
    <w:qFormat/>
    <w:rsid w:val="00F97DF7"/>
    <w:pPr>
      <w:tabs>
        <w:tab w:val="right" w:leader="dot" w:pos="8741"/>
      </w:tabs>
      <w:spacing w:before="60" w:after="60" w:line="240" w:lineRule="auto"/>
      <w:ind w:left="547" w:hanging="547"/>
    </w:pPr>
    <w:rPr>
      <w:smallCaps/>
    </w:rPr>
  </w:style>
  <w:style w:type="paragraph" w:styleId="TOC2">
    <w:name w:val="toc 2"/>
    <w:basedOn w:val="Normal"/>
    <w:next w:val="Normal"/>
    <w:autoRedefine/>
    <w:uiPriority w:val="39"/>
    <w:unhideWhenUsed/>
    <w:qFormat/>
    <w:rsid w:val="00063F2E"/>
    <w:pPr>
      <w:numPr>
        <w:numId w:val="3"/>
      </w:numPr>
      <w:tabs>
        <w:tab w:val="left" w:pos="1152"/>
        <w:tab w:val="right" w:leader="dot" w:pos="8741"/>
      </w:tabs>
      <w:spacing w:after="0" w:line="240" w:lineRule="auto"/>
    </w:pPr>
  </w:style>
  <w:style w:type="character" w:styleId="Hyperlink">
    <w:name w:val="Hyperlink"/>
    <w:unhideWhenUsed/>
    <w:rsid w:val="00256B20"/>
    <w:rPr>
      <w:color w:val="0000FF"/>
      <w:u w:val="single"/>
    </w:rPr>
  </w:style>
  <w:style w:type="paragraph" w:styleId="TOC3">
    <w:name w:val="toc 3"/>
    <w:basedOn w:val="Normal"/>
    <w:next w:val="Normal"/>
    <w:autoRedefine/>
    <w:uiPriority w:val="39"/>
    <w:unhideWhenUsed/>
    <w:qFormat/>
    <w:rsid w:val="00256B20"/>
    <w:pPr>
      <w:tabs>
        <w:tab w:val="left" w:pos="1728"/>
        <w:tab w:val="right" w:leader="dot" w:pos="8741"/>
      </w:tabs>
      <w:spacing w:after="0" w:line="240" w:lineRule="auto"/>
      <w:ind w:left="1714" w:hanging="562"/>
    </w:pPr>
    <w:rPr>
      <w:rFonts w:eastAsia="Times New Roman"/>
    </w:rPr>
  </w:style>
  <w:style w:type="paragraph" w:customStyle="1" w:styleId="FirstHeading">
    <w:name w:val="FirstHeading"/>
    <w:basedOn w:val="Normal"/>
    <w:next w:val="Normal"/>
    <w:link w:val="FirstHeadingChar"/>
    <w:rsid w:val="001C2E22"/>
    <w:pPr>
      <w:tabs>
        <w:tab w:val="left" w:pos="0"/>
        <w:tab w:val="left" w:pos="86"/>
      </w:tabs>
      <w:spacing w:before="120" w:after="120"/>
      <w:ind w:left="720" w:hanging="720"/>
    </w:pPr>
    <w:rPr>
      <w:rFonts w:eastAsia="Times New Roman"/>
      <w:b/>
      <w:smallCaps/>
      <w:sz w:val="22"/>
      <w:szCs w:val="24"/>
    </w:rPr>
  </w:style>
  <w:style w:type="character" w:customStyle="1" w:styleId="NewpageChar">
    <w:name w:val="Newpage Char"/>
    <w:link w:val="Newpage"/>
    <w:rsid w:val="001C2E22"/>
    <w:rPr>
      <w:rFonts w:ascii="Times New Roman" w:eastAsia="Times New Roman" w:hAnsi="Times New Roman"/>
      <w:b/>
      <w:smallCaps/>
      <w:sz w:val="24"/>
    </w:rPr>
  </w:style>
  <w:style w:type="character" w:customStyle="1" w:styleId="FirstHeadingChar">
    <w:name w:val="FirstHeading Char"/>
    <w:link w:val="FirstHeading"/>
    <w:rsid w:val="001C2E22"/>
    <w:rPr>
      <w:rFonts w:ascii="Times New Roman" w:eastAsia="Times New Roman" w:hAnsi="Times New Roman"/>
      <w:b/>
      <w:smallCaps/>
      <w:sz w:val="22"/>
      <w:szCs w:val="24"/>
    </w:rPr>
  </w:style>
  <w:style w:type="paragraph" w:customStyle="1" w:styleId="SecHeading">
    <w:name w:val="SecHeading"/>
    <w:basedOn w:val="Normal"/>
    <w:next w:val="Paragraph"/>
    <w:link w:val="SecHeadingChar"/>
    <w:rsid w:val="001C2E22"/>
    <w:pPr>
      <w:tabs>
        <w:tab w:val="num" w:pos="1296"/>
      </w:tabs>
      <w:spacing w:before="120" w:after="120"/>
      <w:ind w:left="1296" w:hanging="576"/>
    </w:pPr>
    <w:rPr>
      <w:rFonts w:eastAsia="Times New Roman"/>
      <w:b/>
      <w:smallCaps/>
      <w:sz w:val="22"/>
      <w:szCs w:val="24"/>
    </w:rPr>
  </w:style>
  <w:style w:type="character" w:customStyle="1" w:styleId="SecHeadingChar">
    <w:name w:val="SecHeading Char"/>
    <w:link w:val="SecHeading"/>
    <w:rsid w:val="001C2E22"/>
    <w:rPr>
      <w:rFonts w:ascii="Times New Roman" w:eastAsia="Times New Roman" w:hAnsi="Times New Roman"/>
      <w:b/>
      <w:smallCaps/>
      <w:sz w:val="22"/>
      <w:szCs w:val="24"/>
    </w:rPr>
  </w:style>
  <w:style w:type="paragraph" w:customStyle="1" w:styleId="SubHeading1">
    <w:name w:val="SubHeading1"/>
    <w:basedOn w:val="SecHeading"/>
    <w:link w:val="SubHeading1Char"/>
    <w:rsid w:val="001C2E22"/>
    <w:pPr>
      <w:keepNext/>
      <w:tabs>
        <w:tab w:val="clear" w:pos="1296"/>
        <w:tab w:val="num" w:pos="1872"/>
      </w:tabs>
      <w:spacing w:line="240" w:lineRule="auto"/>
      <w:ind w:left="1872"/>
    </w:pPr>
    <w:rPr>
      <w:b w:val="0"/>
    </w:rPr>
  </w:style>
  <w:style w:type="character" w:customStyle="1" w:styleId="SubHeading1Char">
    <w:name w:val="SubHeading1 Char"/>
    <w:link w:val="SubHeading1"/>
    <w:rsid w:val="001C2E22"/>
    <w:rPr>
      <w:rFonts w:ascii="Times New Roman" w:eastAsia="Times New Roman" w:hAnsi="Times New Roman"/>
      <w:b/>
      <w:smallCaps/>
      <w:sz w:val="24"/>
      <w:szCs w:val="24"/>
    </w:rPr>
  </w:style>
  <w:style w:type="paragraph" w:customStyle="1" w:styleId="Subheading2">
    <w:name w:val="Subheading2"/>
    <w:basedOn w:val="SecHeading"/>
    <w:link w:val="Subheading2Char"/>
    <w:rsid w:val="001C2E22"/>
    <w:pPr>
      <w:keepNext/>
      <w:tabs>
        <w:tab w:val="clear" w:pos="1296"/>
        <w:tab w:val="num" w:pos="2376"/>
      </w:tabs>
      <w:spacing w:line="240" w:lineRule="auto"/>
      <w:ind w:left="2376" w:hanging="288"/>
    </w:pPr>
    <w:rPr>
      <w:b w:val="0"/>
    </w:rPr>
  </w:style>
  <w:style w:type="character" w:customStyle="1" w:styleId="Subheading2Char">
    <w:name w:val="Subheading2 Char"/>
    <w:link w:val="Subheading2"/>
    <w:rsid w:val="001C2E22"/>
    <w:rPr>
      <w:rFonts w:ascii="Times New Roman" w:eastAsia="Times New Roman" w:hAnsi="Times New Roman"/>
      <w:b/>
      <w:smallCaps/>
      <w:sz w:val="24"/>
      <w:szCs w:val="24"/>
    </w:rPr>
  </w:style>
  <w:style w:type="paragraph" w:customStyle="1" w:styleId="Regtable">
    <w:name w:val="Regtable"/>
    <w:basedOn w:val="Normal"/>
    <w:link w:val="RegtableChar"/>
    <w:rsid w:val="001C2E22"/>
    <w:pPr>
      <w:keepLines/>
      <w:framePr w:wrap="around" w:vAnchor="text" w:hAnchor="text" w:y="1"/>
      <w:spacing w:before="20" w:after="20"/>
    </w:pPr>
    <w:rPr>
      <w:rFonts w:eastAsia="Times New Roman"/>
      <w:b/>
      <w:smallCaps/>
      <w:szCs w:val="24"/>
    </w:rPr>
  </w:style>
  <w:style w:type="character" w:customStyle="1" w:styleId="RegtableChar">
    <w:name w:val="Regtable Char"/>
    <w:link w:val="Regtable"/>
    <w:rsid w:val="001C2E22"/>
    <w:rPr>
      <w:rFonts w:ascii="Times New Roman" w:eastAsia="Times New Roman" w:hAnsi="Times New Roman"/>
      <w:b/>
      <w:smallCaps/>
      <w:sz w:val="24"/>
      <w:szCs w:val="24"/>
    </w:rPr>
  </w:style>
  <w:style w:type="paragraph" w:customStyle="1" w:styleId="TableTitle">
    <w:name w:val="TableTitle"/>
    <w:basedOn w:val="Normal"/>
    <w:link w:val="TableTitleChar"/>
    <w:rsid w:val="001C2E22"/>
    <w:pPr>
      <w:framePr w:wrap="around" w:vAnchor="text" w:hAnchor="text" w:y="1"/>
      <w:spacing w:before="20" w:after="20"/>
    </w:pPr>
    <w:rPr>
      <w:rFonts w:ascii="Times New Roman Bold" w:eastAsia="Times New Roman" w:hAnsi="Times New Roman Bold"/>
      <w:b/>
      <w:smallCaps/>
      <w:spacing w:val="-3"/>
      <w:szCs w:val="24"/>
    </w:rPr>
  </w:style>
  <w:style w:type="character" w:customStyle="1" w:styleId="TableTitleChar">
    <w:name w:val="TableTitle Char"/>
    <w:link w:val="TableTitle"/>
    <w:rsid w:val="001C2E22"/>
    <w:rPr>
      <w:rFonts w:ascii="Times New Roman Bold" w:eastAsia="Times New Roman" w:hAnsi="Times New Roman Bold" w:cs="Times New Roman Bold"/>
      <w:b/>
      <w:smallCaps/>
      <w:spacing w:val="-3"/>
      <w:sz w:val="24"/>
      <w:szCs w:val="24"/>
    </w:rPr>
  </w:style>
  <w:style w:type="character" w:customStyle="1" w:styleId="Heading2Char">
    <w:name w:val="Heading 2 Char"/>
    <w:link w:val="Heading2"/>
    <w:uiPriority w:val="9"/>
    <w:rsid w:val="007C18C4"/>
    <w:rPr>
      <w:rFonts w:ascii="Times New Roman" w:eastAsia="Times New Roman" w:hAnsi="Times New Roman"/>
      <w:bCs/>
      <w:i/>
      <w:iCs/>
      <w:sz w:val="24"/>
      <w:szCs w:val="28"/>
      <w:u w:val="single"/>
    </w:rPr>
  </w:style>
  <w:style w:type="character" w:customStyle="1" w:styleId="Heading3Char">
    <w:name w:val="Heading 3 Char"/>
    <w:link w:val="Heading3"/>
    <w:uiPriority w:val="9"/>
    <w:semiHidden/>
    <w:rsid w:val="001C2E22"/>
    <w:rPr>
      <w:rFonts w:ascii="Cambria" w:eastAsia="Times New Roman" w:hAnsi="Cambria"/>
      <w:b/>
      <w:bCs/>
      <w:sz w:val="26"/>
      <w:szCs w:val="26"/>
    </w:rPr>
  </w:style>
  <w:style w:type="character" w:customStyle="1" w:styleId="Heading4Char">
    <w:name w:val="Heading 4 Char"/>
    <w:link w:val="Heading4"/>
    <w:uiPriority w:val="9"/>
    <w:semiHidden/>
    <w:rsid w:val="001C2E22"/>
    <w:rPr>
      <w:rFonts w:eastAsia="Times New Roman"/>
      <w:b/>
      <w:bCs/>
      <w:sz w:val="28"/>
      <w:szCs w:val="28"/>
    </w:rPr>
  </w:style>
  <w:style w:type="character" w:customStyle="1" w:styleId="Heading5Char">
    <w:name w:val="Heading 5 Char"/>
    <w:link w:val="Heading5"/>
    <w:uiPriority w:val="9"/>
    <w:semiHidden/>
    <w:rsid w:val="001C2E22"/>
    <w:rPr>
      <w:rFonts w:eastAsia="Times New Roman"/>
      <w:b/>
      <w:bCs/>
      <w:i/>
      <w:iCs/>
      <w:sz w:val="26"/>
      <w:szCs w:val="26"/>
    </w:rPr>
  </w:style>
  <w:style w:type="character" w:customStyle="1" w:styleId="Heading6Char">
    <w:name w:val="Heading 6 Char"/>
    <w:link w:val="Heading6"/>
    <w:uiPriority w:val="9"/>
    <w:semiHidden/>
    <w:rsid w:val="001C2E22"/>
    <w:rPr>
      <w:rFonts w:eastAsia="Times New Roman"/>
      <w:b/>
      <w:bCs/>
      <w:sz w:val="22"/>
      <w:szCs w:val="22"/>
    </w:rPr>
  </w:style>
  <w:style w:type="character" w:customStyle="1" w:styleId="Heading7Char">
    <w:name w:val="Heading 7 Char"/>
    <w:link w:val="Heading7"/>
    <w:uiPriority w:val="9"/>
    <w:semiHidden/>
    <w:rsid w:val="001C2E22"/>
    <w:rPr>
      <w:rFonts w:eastAsia="Times New Roman"/>
      <w:sz w:val="24"/>
      <w:szCs w:val="24"/>
    </w:rPr>
  </w:style>
  <w:style w:type="character" w:customStyle="1" w:styleId="Heading8Char">
    <w:name w:val="Heading 8 Char"/>
    <w:link w:val="Heading8"/>
    <w:uiPriority w:val="9"/>
    <w:semiHidden/>
    <w:rsid w:val="001C2E22"/>
    <w:rPr>
      <w:rFonts w:eastAsia="Times New Roman"/>
      <w:i/>
      <w:iCs/>
      <w:sz w:val="24"/>
      <w:szCs w:val="24"/>
    </w:rPr>
  </w:style>
  <w:style w:type="character" w:customStyle="1" w:styleId="Heading9Char">
    <w:name w:val="Heading 9 Char"/>
    <w:link w:val="Heading9"/>
    <w:uiPriority w:val="9"/>
    <w:semiHidden/>
    <w:rsid w:val="001C2E22"/>
    <w:rPr>
      <w:rFonts w:ascii="Cambria" w:eastAsia="Times New Roman" w:hAnsi="Cambria"/>
      <w:sz w:val="22"/>
      <w:szCs w:val="22"/>
    </w:rPr>
  </w:style>
  <w:style w:type="paragraph" w:customStyle="1" w:styleId="Banknumbered">
    <w:name w:val="Bank numbered"/>
    <w:basedOn w:val="Normal"/>
    <w:link w:val="BanknumberedChar"/>
    <w:qFormat/>
    <w:rsid w:val="00BC3594"/>
    <w:pPr>
      <w:numPr>
        <w:numId w:val="4"/>
      </w:numPr>
      <w:spacing w:before="120" w:after="0" w:line="240" w:lineRule="auto"/>
      <w:ind w:left="0" w:firstLine="0"/>
    </w:pPr>
  </w:style>
  <w:style w:type="character" w:customStyle="1" w:styleId="BanknumberedChar">
    <w:name w:val="Bank numbered Char"/>
    <w:link w:val="Banknumbered"/>
    <w:rsid w:val="00BC3594"/>
    <w:rPr>
      <w:rFonts w:ascii="Times New Roman" w:hAnsi="Times New Roman"/>
      <w:sz w:val="24"/>
      <w:szCs w:val="22"/>
    </w:rPr>
  </w:style>
  <w:style w:type="paragraph" w:customStyle="1" w:styleId="Bullet">
    <w:name w:val="Bullet"/>
    <w:basedOn w:val="Normal"/>
    <w:link w:val="BulletChar"/>
    <w:qFormat/>
    <w:rsid w:val="00BC3594"/>
    <w:pPr>
      <w:numPr>
        <w:numId w:val="5"/>
      </w:numPr>
      <w:spacing w:before="120" w:after="0" w:line="240" w:lineRule="auto"/>
    </w:pPr>
  </w:style>
  <w:style w:type="character" w:customStyle="1" w:styleId="BulletChar">
    <w:name w:val="Bullet Char"/>
    <w:link w:val="Bullet"/>
    <w:rsid w:val="00BC3594"/>
    <w:rPr>
      <w:rFonts w:ascii="Times New Roman" w:hAnsi="Times New Roman"/>
      <w:sz w:val="24"/>
      <w:szCs w:val="22"/>
    </w:rPr>
  </w:style>
  <w:style w:type="paragraph" w:styleId="ListParagraph">
    <w:name w:val="List Paragraph"/>
    <w:basedOn w:val="Normal"/>
    <w:uiPriority w:val="34"/>
    <w:qFormat/>
    <w:rsid w:val="00015B76"/>
    <w:pPr>
      <w:ind w:left="720"/>
      <w:contextualSpacing/>
    </w:pPr>
  </w:style>
  <w:style w:type="table" w:customStyle="1" w:styleId="LightShading-Accent11">
    <w:name w:val="Light Shading - Accent 11"/>
    <w:basedOn w:val="TableNormal"/>
    <w:uiPriority w:val="30"/>
    <w:qFormat/>
    <w:rsid w:val="00D81DE9"/>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ption">
    <w:name w:val="caption"/>
    <w:basedOn w:val="Normal"/>
    <w:next w:val="Normal"/>
    <w:uiPriority w:val="35"/>
    <w:unhideWhenUsed/>
    <w:qFormat/>
    <w:rsid w:val="00F0393C"/>
    <w:pPr>
      <w:spacing w:line="240" w:lineRule="auto"/>
    </w:pPr>
    <w:rPr>
      <w:b/>
      <w:bCs/>
      <w:szCs w:val="18"/>
      <w:u w:val="single"/>
    </w:rPr>
  </w:style>
  <w:style w:type="character" w:styleId="FollowedHyperlink">
    <w:name w:val="FollowedHyperlink"/>
    <w:basedOn w:val="DefaultParagraphFont"/>
    <w:uiPriority w:val="99"/>
    <w:semiHidden/>
    <w:unhideWhenUsed/>
    <w:rsid w:val="00004201"/>
    <w:rPr>
      <w:color w:val="800080" w:themeColor="followedHyperlink"/>
      <w:u w:val="single"/>
    </w:rPr>
  </w:style>
  <w:style w:type="paragraph" w:customStyle="1" w:styleId="Annex">
    <w:name w:val="Annex"/>
    <w:basedOn w:val="Normal"/>
    <w:rsid w:val="00EB5A0E"/>
    <w:pPr>
      <w:spacing w:after="0" w:line="240" w:lineRule="auto"/>
    </w:pPr>
    <w:rPr>
      <w:rFonts w:eastAsia="Times New Roman"/>
      <w:caps/>
      <w:szCs w:val="20"/>
    </w:rPr>
  </w:style>
  <w:style w:type="paragraph" w:styleId="EndnoteText">
    <w:name w:val="endnote text"/>
    <w:basedOn w:val="Normal"/>
    <w:link w:val="EndnoteTextChar"/>
    <w:uiPriority w:val="99"/>
    <w:unhideWhenUsed/>
    <w:rsid w:val="002A3A98"/>
    <w:pPr>
      <w:spacing w:after="0" w:line="240" w:lineRule="auto"/>
    </w:pPr>
    <w:rPr>
      <w:rFonts w:eastAsia="Times New Roman"/>
      <w:sz w:val="20"/>
      <w:szCs w:val="20"/>
    </w:rPr>
  </w:style>
  <w:style w:type="character" w:customStyle="1" w:styleId="EndnoteTextChar">
    <w:name w:val="Endnote Text Char"/>
    <w:basedOn w:val="DefaultParagraphFont"/>
    <w:link w:val="EndnoteText"/>
    <w:uiPriority w:val="99"/>
    <w:rsid w:val="002A3A98"/>
    <w:rPr>
      <w:rFonts w:ascii="Times New Roman" w:eastAsia="Times New Roman" w:hAnsi="Times New Roman"/>
    </w:rPr>
  </w:style>
  <w:style w:type="character" w:styleId="EndnoteReference">
    <w:name w:val="endnote reference"/>
    <w:basedOn w:val="DefaultParagraphFont"/>
    <w:uiPriority w:val="99"/>
    <w:semiHidden/>
    <w:unhideWhenUsed/>
    <w:rsid w:val="002A3A98"/>
    <w:rPr>
      <w:vertAlign w:val="superscript"/>
    </w:rPr>
  </w:style>
  <w:style w:type="character" w:styleId="SubtleEmphasis">
    <w:name w:val="Subtle Emphasis"/>
    <w:basedOn w:val="DefaultParagraphFont"/>
    <w:uiPriority w:val="19"/>
    <w:qFormat/>
    <w:rsid w:val="005D065A"/>
    <w:rPr>
      <w:i/>
      <w:iCs/>
      <w:color w:val="808080" w:themeColor="text1" w:themeTint="7F"/>
    </w:rPr>
  </w:style>
  <w:style w:type="character" w:customStyle="1" w:styleId="DefaultChar">
    <w:name w:val="Default Char"/>
    <w:basedOn w:val="DefaultParagraphFont"/>
    <w:link w:val="Default"/>
    <w:rsid w:val="00357AF4"/>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7583">
      <w:bodyDiv w:val="1"/>
      <w:marLeft w:val="0"/>
      <w:marRight w:val="0"/>
      <w:marTop w:val="0"/>
      <w:marBottom w:val="0"/>
      <w:divBdr>
        <w:top w:val="none" w:sz="0" w:space="0" w:color="auto"/>
        <w:left w:val="none" w:sz="0" w:space="0" w:color="auto"/>
        <w:bottom w:val="none" w:sz="0" w:space="0" w:color="auto"/>
        <w:right w:val="none" w:sz="0" w:space="0" w:color="auto"/>
      </w:divBdr>
    </w:div>
    <w:div w:id="568999477">
      <w:bodyDiv w:val="1"/>
      <w:marLeft w:val="0"/>
      <w:marRight w:val="0"/>
      <w:marTop w:val="0"/>
      <w:marBottom w:val="0"/>
      <w:divBdr>
        <w:top w:val="none" w:sz="0" w:space="0" w:color="auto"/>
        <w:left w:val="none" w:sz="0" w:space="0" w:color="auto"/>
        <w:bottom w:val="none" w:sz="0" w:space="0" w:color="auto"/>
        <w:right w:val="none" w:sz="0" w:space="0" w:color="auto"/>
      </w:divBdr>
    </w:div>
    <w:div w:id="1010450059">
      <w:bodyDiv w:val="1"/>
      <w:marLeft w:val="0"/>
      <w:marRight w:val="0"/>
      <w:marTop w:val="0"/>
      <w:marBottom w:val="0"/>
      <w:divBdr>
        <w:top w:val="none" w:sz="0" w:space="0" w:color="auto"/>
        <w:left w:val="none" w:sz="0" w:space="0" w:color="auto"/>
        <w:bottom w:val="none" w:sz="0" w:space="0" w:color="auto"/>
        <w:right w:val="none" w:sz="0" w:space="0" w:color="auto"/>
      </w:divBdr>
    </w:div>
    <w:div w:id="1057585255">
      <w:bodyDiv w:val="1"/>
      <w:marLeft w:val="0"/>
      <w:marRight w:val="0"/>
      <w:marTop w:val="0"/>
      <w:marBottom w:val="0"/>
      <w:divBdr>
        <w:top w:val="none" w:sz="0" w:space="0" w:color="auto"/>
        <w:left w:val="none" w:sz="0" w:space="0" w:color="auto"/>
        <w:bottom w:val="none" w:sz="0" w:space="0" w:color="auto"/>
        <w:right w:val="none" w:sz="0" w:space="0" w:color="auto"/>
      </w:divBdr>
    </w:div>
    <w:div w:id="1232811989">
      <w:bodyDiv w:val="1"/>
      <w:marLeft w:val="0"/>
      <w:marRight w:val="0"/>
      <w:marTop w:val="0"/>
      <w:marBottom w:val="0"/>
      <w:divBdr>
        <w:top w:val="none" w:sz="0" w:space="0" w:color="auto"/>
        <w:left w:val="none" w:sz="0" w:space="0" w:color="auto"/>
        <w:bottom w:val="none" w:sz="0" w:space="0" w:color="auto"/>
        <w:right w:val="none" w:sz="0" w:space="0" w:color="auto"/>
      </w:divBdr>
    </w:div>
    <w:div w:id="1287659582">
      <w:bodyDiv w:val="1"/>
      <w:marLeft w:val="0"/>
      <w:marRight w:val="0"/>
      <w:marTop w:val="0"/>
      <w:marBottom w:val="0"/>
      <w:divBdr>
        <w:top w:val="none" w:sz="0" w:space="0" w:color="auto"/>
        <w:left w:val="none" w:sz="0" w:space="0" w:color="auto"/>
        <w:bottom w:val="none" w:sz="0" w:space="0" w:color="auto"/>
        <w:right w:val="none" w:sz="0" w:space="0" w:color="auto"/>
      </w:divBdr>
    </w:div>
    <w:div w:id="1327368160">
      <w:bodyDiv w:val="1"/>
      <w:marLeft w:val="0"/>
      <w:marRight w:val="0"/>
      <w:marTop w:val="0"/>
      <w:marBottom w:val="0"/>
      <w:divBdr>
        <w:top w:val="none" w:sz="0" w:space="0" w:color="auto"/>
        <w:left w:val="none" w:sz="0" w:space="0" w:color="auto"/>
        <w:bottom w:val="none" w:sz="0" w:space="0" w:color="auto"/>
        <w:right w:val="none" w:sz="0" w:space="0" w:color="auto"/>
      </w:divBdr>
    </w:div>
    <w:div w:id="1763138262">
      <w:bodyDiv w:val="1"/>
      <w:marLeft w:val="0"/>
      <w:marRight w:val="0"/>
      <w:marTop w:val="0"/>
      <w:marBottom w:val="0"/>
      <w:divBdr>
        <w:top w:val="none" w:sz="0" w:space="0" w:color="auto"/>
        <w:left w:val="none" w:sz="0" w:space="0" w:color="auto"/>
        <w:bottom w:val="none" w:sz="0" w:space="0" w:color="auto"/>
        <w:right w:val="none" w:sz="0" w:space="0" w:color="auto"/>
      </w:divBdr>
    </w:div>
    <w:div w:id="1784691428">
      <w:bodyDiv w:val="1"/>
      <w:marLeft w:val="0"/>
      <w:marRight w:val="0"/>
      <w:marTop w:val="0"/>
      <w:marBottom w:val="0"/>
      <w:divBdr>
        <w:top w:val="none" w:sz="0" w:space="0" w:color="auto"/>
        <w:left w:val="none" w:sz="0" w:space="0" w:color="auto"/>
        <w:bottom w:val="none" w:sz="0" w:space="0" w:color="auto"/>
        <w:right w:val="none" w:sz="0" w:space="0" w:color="auto"/>
      </w:divBdr>
    </w:div>
    <w:div w:id="1814322792">
      <w:bodyDiv w:val="1"/>
      <w:marLeft w:val="0"/>
      <w:marRight w:val="0"/>
      <w:marTop w:val="0"/>
      <w:marBottom w:val="0"/>
      <w:divBdr>
        <w:top w:val="none" w:sz="0" w:space="0" w:color="auto"/>
        <w:left w:val="none" w:sz="0" w:space="0" w:color="auto"/>
        <w:bottom w:val="none" w:sz="0" w:space="0" w:color="auto"/>
        <w:right w:val="none" w:sz="0" w:space="0" w:color="auto"/>
      </w:divBdr>
    </w:div>
    <w:div w:id="1996030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778BE-F833-4C05-A2E5-BAD8819F4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20</Pages>
  <Words>4847</Words>
  <Characters>27630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32413</CharactersWithSpaces>
  <SharedDoc>false</SharedDoc>
  <HLinks>
    <vt:vector size="6" baseType="variant">
      <vt:variant>
        <vt:i4>7667755</vt:i4>
      </vt:variant>
      <vt:variant>
        <vt:i4>42</vt:i4>
      </vt:variant>
      <vt:variant>
        <vt:i4>0</vt:i4>
      </vt:variant>
      <vt:variant>
        <vt:i4>5</vt:i4>
      </vt:variant>
      <vt:variant>
        <vt:lpwstr>http://idbdocs.iadb.org/wsdocs/getDocument.aspx?DOCNUM=36234574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christiaang</dc:creator>
  <cp:lastModifiedBy>Test</cp:lastModifiedBy>
  <cp:revision>4</cp:revision>
  <cp:lastPrinted>2011-04-14T23:49:00Z</cp:lastPrinted>
  <dcterms:created xsi:type="dcterms:W3CDTF">2013-08-28T17:21:00Z</dcterms:created>
  <dcterms:modified xsi:type="dcterms:W3CDTF">2013-09-23T15:06:00Z</dcterms:modified>
</cp:coreProperties>
</file>