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646EB" w14:textId="77777777" w:rsidR="00726C0B" w:rsidRDefault="00BB4E15">
      <w:pPr>
        <w:jc w:val="center"/>
        <w:rPr>
          <w:rFonts w:ascii="Arial" w:eastAsia="Arial" w:hAnsi="Arial" w:cs="Arial"/>
          <w:b/>
          <w:sz w:val="22"/>
          <w:szCs w:val="22"/>
        </w:rPr>
      </w:pPr>
      <w:r>
        <w:rPr>
          <w:rFonts w:ascii="Arial" w:eastAsia="Arial" w:hAnsi="Arial" w:cs="Arial"/>
          <w:b/>
          <w:sz w:val="22"/>
          <w:szCs w:val="22"/>
        </w:rPr>
        <w:t>ARGENTINA</w:t>
      </w:r>
    </w:p>
    <w:p w14:paraId="461BA619" w14:textId="77777777" w:rsidR="00726C0B" w:rsidRDefault="00726C0B">
      <w:pPr>
        <w:jc w:val="center"/>
        <w:rPr>
          <w:rFonts w:ascii="Arial" w:eastAsia="Arial" w:hAnsi="Arial" w:cs="Arial"/>
          <w:b/>
          <w:sz w:val="22"/>
          <w:szCs w:val="22"/>
        </w:rPr>
      </w:pPr>
    </w:p>
    <w:p w14:paraId="2DBFE952" w14:textId="77777777" w:rsidR="00726C0B" w:rsidRDefault="00726C0B">
      <w:pPr>
        <w:jc w:val="center"/>
        <w:rPr>
          <w:rFonts w:ascii="Arial" w:eastAsia="Arial" w:hAnsi="Arial" w:cs="Arial"/>
          <w:b/>
          <w:sz w:val="22"/>
          <w:szCs w:val="22"/>
        </w:rPr>
      </w:pPr>
    </w:p>
    <w:p w14:paraId="3666B945" w14:textId="77777777" w:rsidR="00726C0B" w:rsidRDefault="00726C0B">
      <w:pPr>
        <w:jc w:val="center"/>
        <w:rPr>
          <w:rFonts w:ascii="Arial" w:eastAsia="Arial" w:hAnsi="Arial" w:cs="Arial"/>
          <w:b/>
          <w:sz w:val="22"/>
          <w:szCs w:val="22"/>
        </w:rPr>
      </w:pPr>
    </w:p>
    <w:p w14:paraId="1DDE54AD" w14:textId="77777777" w:rsidR="00726C0B" w:rsidRDefault="00726C0B">
      <w:pPr>
        <w:jc w:val="center"/>
        <w:rPr>
          <w:rFonts w:ascii="Arial" w:eastAsia="Arial" w:hAnsi="Arial" w:cs="Arial"/>
          <w:b/>
          <w:sz w:val="22"/>
          <w:szCs w:val="22"/>
        </w:rPr>
      </w:pPr>
    </w:p>
    <w:p w14:paraId="756324B2" w14:textId="77777777" w:rsidR="00726C0B" w:rsidRDefault="00726C0B">
      <w:pPr>
        <w:jc w:val="center"/>
        <w:rPr>
          <w:rFonts w:ascii="Arial" w:eastAsia="Arial" w:hAnsi="Arial" w:cs="Arial"/>
          <w:b/>
          <w:sz w:val="22"/>
          <w:szCs w:val="22"/>
        </w:rPr>
      </w:pPr>
    </w:p>
    <w:p w14:paraId="7783B52D" w14:textId="77777777" w:rsidR="00726C0B" w:rsidRDefault="00726C0B">
      <w:pPr>
        <w:jc w:val="center"/>
        <w:rPr>
          <w:rFonts w:ascii="Arial" w:eastAsia="Arial" w:hAnsi="Arial" w:cs="Arial"/>
          <w:b/>
          <w:sz w:val="22"/>
          <w:szCs w:val="22"/>
        </w:rPr>
      </w:pPr>
    </w:p>
    <w:p w14:paraId="12CA6A93" w14:textId="77777777" w:rsidR="00726C0B" w:rsidRDefault="00726C0B">
      <w:pPr>
        <w:jc w:val="center"/>
        <w:rPr>
          <w:rFonts w:ascii="Arial" w:eastAsia="Arial" w:hAnsi="Arial" w:cs="Arial"/>
          <w:b/>
          <w:sz w:val="22"/>
          <w:szCs w:val="22"/>
        </w:rPr>
      </w:pPr>
    </w:p>
    <w:p w14:paraId="7A673A2D" w14:textId="77777777" w:rsidR="00726C0B" w:rsidRDefault="00726C0B">
      <w:pPr>
        <w:jc w:val="center"/>
        <w:rPr>
          <w:rFonts w:ascii="Arial" w:eastAsia="Arial" w:hAnsi="Arial" w:cs="Arial"/>
          <w:b/>
          <w:sz w:val="22"/>
          <w:szCs w:val="22"/>
        </w:rPr>
      </w:pPr>
    </w:p>
    <w:p w14:paraId="652FDA10" w14:textId="77777777" w:rsidR="00726C0B" w:rsidRDefault="00726C0B">
      <w:pPr>
        <w:jc w:val="center"/>
        <w:rPr>
          <w:rFonts w:ascii="Arial" w:eastAsia="Arial" w:hAnsi="Arial" w:cs="Arial"/>
          <w:b/>
          <w:sz w:val="22"/>
          <w:szCs w:val="22"/>
        </w:rPr>
      </w:pPr>
    </w:p>
    <w:p w14:paraId="77CD929E" w14:textId="77777777" w:rsidR="00726C0B" w:rsidRDefault="00726C0B">
      <w:pPr>
        <w:jc w:val="center"/>
        <w:rPr>
          <w:rFonts w:ascii="Arial" w:eastAsia="Arial" w:hAnsi="Arial" w:cs="Arial"/>
          <w:b/>
          <w:sz w:val="22"/>
          <w:szCs w:val="22"/>
        </w:rPr>
      </w:pPr>
    </w:p>
    <w:p w14:paraId="247EAC70" w14:textId="77777777" w:rsidR="00726C0B" w:rsidRDefault="00726C0B">
      <w:pPr>
        <w:jc w:val="center"/>
        <w:rPr>
          <w:rFonts w:ascii="Arial" w:eastAsia="Arial" w:hAnsi="Arial" w:cs="Arial"/>
          <w:b/>
          <w:sz w:val="22"/>
          <w:szCs w:val="22"/>
        </w:rPr>
      </w:pPr>
    </w:p>
    <w:p w14:paraId="2AAA140A" w14:textId="77777777" w:rsidR="00726C0B" w:rsidRDefault="00726C0B">
      <w:pPr>
        <w:jc w:val="center"/>
        <w:rPr>
          <w:rFonts w:ascii="Arial" w:eastAsia="Arial" w:hAnsi="Arial" w:cs="Arial"/>
          <w:b/>
          <w:sz w:val="22"/>
          <w:szCs w:val="22"/>
        </w:rPr>
      </w:pPr>
    </w:p>
    <w:p w14:paraId="59CF84D2" w14:textId="77777777" w:rsidR="00726C0B" w:rsidRDefault="00726C0B">
      <w:pPr>
        <w:jc w:val="center"/>
        <w:rPr>
          <w:rFonts w:ascii="Arial" w:eastAsia="Arial" w:hAnsi="Arial" w:cs="Arial"/>
          <w:b/>
          <w:sz w:val="22"/>
          <w:szCs w:val="22"/>
        </w:rPr>
      </w:pPr>
    </w:p>
    <w:p w14:paraId="0927472E" w14:textId="77777777" w:rsidR="00726C0B" w:rsidRDefault="00726C0B">
      <w:pPr>
        <w:jc w:val="center"/>
        <w:rPr>
          <w:rFonts w:ascii="Arial" w:eastAsia="Arial" w:hAnsi="Arial" w:cs="Arial"/>
          <w:b/>
          <w:sz w:val="22"/>
          <w:szCs w:val="22"/>
        </w:rPr>
      </w:pPr>
    </w:p>
    <w:p w14:paraId="42E26FDA" w14:textId="77777777" w:rsidR="00726C0B" w:rsidRDefault="00726C0B">
      <w:pPr>
        <w:jc w:val="center"/>
        <w:rPr>
          <w:rFonts w:ascii="Arial" w:eastAsia="Arial" w:hAnsi="Arial" w:cs="Arial"/>
          <w:b/>
          <w:sz w:val="22"/>
          <w:szCs w:val="22"/>
        </w:rPr>
      </w:pPr>
    </w:p>
    <w:p w14:paraId="03E9C442" w14:textId="77777777" w:rsidR="00726C0B" w:rsidRDefault="00726C0B">
      <w:pPr>
        <w:jc w:val="center"/>
        <w:rPr>
          <w:rFonts w:ascii="Arial" w:eastAsia="Arial" w:hAnsi="Arial" w:cs="Arial"/>
          <w:b/>
          <w:sz w:val="22"/>
          <w:szCs w:val="22"/>
        </w:rPr>
      </w:pPr>
    </w:p>
    <w:p w14:paraId="3A1AC516" w14:textId="77777777" w:rsidR="00726C0B" w:rsidRDefault="00726C0B">
      <w:pPr>
        <w:jc w:val="center"/>
        <w:rPr>
          <w:rFonts w:ascii="Arial" w:eastAsia="Arial" w:hAnsi="Arial" w:cs="Arial"/>
          <w:b/>
          <w:sz w:val="22"/>
          <w:szCs w:val="22"/>
        </w:rPr>
      </w:pPr>
    </w:p>
    <w:p w14:paraId="30079DCE" w14:textId="77777777" w:rsidR="00726C0B" w:rsidRDefault="00726C0B">
      <w:pPr>
        <w:jc w:val="center"/>
        <w:rPr>
          <w:rFonts w:ascii="Arial" w:eastAsia="Arial" w:hAnsi="Arial" w:cs="Arial"/>
          <w:b/>
          <w:sz w:val="22"/>
          <w:szCs w:val="22"/>
        </w:rPr>
      </w:pPr>
    </w:p>
    <w:p w14:paraId="2F3DC63F" w14:textId="77777777" w:rsidR="00726C0B" w:rsidRDefault="00BB4E15">
      <w:pPr>
        <w:jc w:val="center"/>
        <w:rPr>
          <w:rFonts w:ascii="Arial Bold" w:eastAsia="Arial Bold" w:hAnsi="Arial Bold" w:cs="Arial Bold"/>
          <w:b/>
          <w:smallCaps/>
          <w:sz w:val="22"/>
          <w:szCs w:val="22"/>
        </w:rPr>
      </w:pPr>
      <w:r>
        <w:rPr>
          <w:rFonts w:ascii="Arial Bold" w:eastAsia="Arial Bold" w:hAnsi="Arial Bold" w:cs="Arial Bold"/>
          <w:b/>
          <w:smallCaps/>
          <w:sz w:val="22"/>
          <w:szCs w:val="22"/>
        </w:rPr>
        <w:t>PROGRAMA GLOBAL DE CRÉDITO</w:t>
      </w:r>
    </w:p>
    <w:p w14:paraId="6FEB33A1" w14:textId="75FDD00B" w:rsidR="00726C0B" w:rsidRDefault="00BB4E15">
      <w:pPr>
        <w:jc w:val="center"/>
        <w:rPr>
          <w:rFonts w:ascii="Arial Bold" w:eastAsia="Arial Bold" w:hAnsi="Arial Bold" w:cs="Arial Bold"/>
          <w:b/>
          <w:smallCaps/>
          <w:sz w:val="22"/>
          <w:szCs w:val="22"/>
        </w:rPr>
      </w:pPr>
      <w:r>
        <w:rPr>
          <w:rFonts w:ascii="Arial Bold" w:eastAsia="Arial Bold" w:hAnsi="Arial Bold" w:cs="Arial Bold"/>
          <w:b/>
          <w:smallCaps/>
          <w:sz w:val="22"/>
          <w:szCs w:val="22"/>
        </w:rPr>
        <w:t>PARA LA RE</w:t>
      </w:r>
      <w:r w:rsidR="000648B5">
        <w:rPr>
          <w:rFonts w:ascii="Arial Bold" w:eastAsia="Arial Bold" w:hAnsi="Arial Bold" w:cs="Arial Bold"/>
          <w:b/>
          <w:smallCaps/>
          <w:sz w:val="22"/>
          <w:szCs w:val="22"/>
        </w:rPr>
        <w:t>ACTIV</w:t>
      </w:r>
      <w:r w:rsidR="00A522FA">
        <w:rPr>
          <w:rFonts w:ascii="Arial Bold" w:eastAsia="Arial Bold" w:hAnsi="Arial Bold" w:cs="Arial Bold"/>
          <w:b/>
          <w:smallCaps/>
          <w:sz w:val="22"/>
          <w:szCs w:val="22"/>
        </w:rPr>
        <w:t>A</w:t>
      </w:r>
      <w:r>
        <w:rPr>
          <w:rFonts w:ascii="Arial Bold" w:eastAsia="Arial Bold" w:hAnsi="Arial Bold" w:cs="Arial Bold"/>
          <w:b/>
          <w:smallCaps/>
          <w:sz w:val="22"/>
          <w:szCs w:val="22"/>
        </w:rPr>
        <w:t>CIÓN DEL SECTOR PRODUCTIVO</w:t>
      </w:r>
    </w:p>
    <w:p w14:paraId="2D28920A" w14:textId="77777777" w:rsidR="00726C0B" w:rsidRDefault="00726C0B">
      <w:pPr>
        <w:jc w:val="center"/>
        <w:rPr>
          <w:rFonts w:ascii="Arial" w:eastAsia="Arial" w:hAnsi="Arial" w:cs="Arial"/>
          <w:b/>
          <w:sz w:val="22"/>
          <w:szCs w:val="22"/>
        </w:rPr>
      </w:pPr>
    </w:p>
    <w:p w14:paraId="08774880" w14:textId="77777777" w:rsidR="00726C0B" w:rsidRDefault="00726C0B">
      <w:pPr>
        <w:jc w:val="center"/>
        <w:rPr>
          <w:rFonts w:ascii="Arial" w:eastAsia="Arial" w:hAnsi="Arial" w:cs="Arial"/>
          <w:b/>
          <w:sz w:val="22"/>
          <w:szCs w:val="22"/>
        </w:rPr>
      </w:pPr>
    </w:p>
    <w:p w14:paraId="6325192F" w14:textId="77777777" w:rsidR="00726C0B" w:rsidRDefault="00726C0B">
      <w:pPr>
        <w:jc w:val="center"/>
        <w:rPr>
          <w:rFonts w:ascii="Arial" w:eastAsia="Arial" w:hAnsi="Arial" w:cs="Arial"/>
          <w:b/>
          <w:sz w:val="22"/>
          <w:szCs w:val="22"/>
        </w:rPr>
      </w:pPr>
    </w:p>
    <w:p w14:paraId="2144133E" w14:textId="77777777" w:rsidR="00726C0B" w:rsidRDefault="00726C0B">
      <w:pPr>
        <w:jc w:val="center"/>
        <w:rPr>
          <w:rFonts w:ascii="Arial" w:eastAsia="Arial" w:hAnsi="Arial" w:cs="Arial"/>
          <w:b/>
          <w:sz w:val="22"/>
          <w:szCs w:val="22"/>
        </w:rPr>
      </w:pPr>
    </w:p>
    <w:p w14:paraId="4BA2EBF8" w14:textId="6B468100" w:rsidR="00726C0B" w:rsidRPr="00F46BCF" w:rsidRDefault="00BB4E15">
      <w:pPr>
        <w:jc w:val="center"/>
        <w:rPr>
          <w:rFonts w:ascii="Arial" w:eastAsia="Arial" w:hAnsi="Arial" w:cs="Arial"/>
          <w:b/>
          <w:sz w:val="22"/>
          <w:szCs w:val="22"/>
          <w:lang w:val="pt-BR"/>
        </w:rPr>
      </w:pPr>
      <w:r w:rsidRPr="00F46BCF">
        <w:rPr>
          <w:rFonts w:ascii="Arial" w:eastAsia="Arial" w:hAnsi="Arial" w:cs="Arial"/>
          <w:b/>
          <w:sz w:val="22"/>
          <w:szCs w:val="22"/>
          <w:lang w:val="pt-BR"/>
        </w:rPr>
        <w:t>(AR-L</w:t>
      </w:r>
      <w:r w:rsidR="00932568" w:rsidRPr="00F46BCF">
        <w:rPr>
          <w:rFonts w:ascii="Arial" w:eastAsia="Arial" w:hAnsi="Arial" w:cs="Arial"/>
          <w:b/>
          <w:sz w:val="22"/>
          <w:szCs w:val="22"/>
          <w:lang w:val="pt-BR"/>
        </w:rPr>
        <w:t>1328)</w:t>
      </w:r>
    </w:p>
    <w:p w14:paraId="444356A5" w14:textId="77777777" w:rsidR="00726C0B" w:rsidRPr="00F46BCF" w:rsidRDefault="00726C0B">
      <w:pPr>
        <w:jc w:val="center"/>
        <w:rPr>
          <w:rFonts w:ascii="Arial" w:eastAsia="Arial" w:hAnsi="Arial" w:cs="Arial"/>
          <w:b/>
          <w:sz w:val="22"/>
          <w:szCs w:val="22"/>
          <w:lang w:val="pt-BR"/>
        </w:rPr>
      </w:pPr>
    </w:p>
    <w:p w14:paraId="665FD1B4" w14:textId="77777777" w:rsidR="00726C0B" w:rsidRPr="00F46BCF" w:rsidRDefault="00726C0B">
      <w:pPr>
        <w:jc w:val="center"/>
        <w:rPr>
          <w:rFonts w:ascii="Arial" w:eastAsia="Arial" w:hAnsi="Arial" w:cs="Arial"/>
          <w:b/>
          <w:sz w:val="22"/>
          <w:szCs w:val="22"/>
          <w:lang w:val="pt-BR"/>
        </w:rPr>
      </w:pPr>
    </w:p>
    <w:p w14:paraId="04FCD776" w14:textId="77777777" w:rsidR="00726C0B" w:rsidRPr="00F46BCF" w:rsidRDefault="00726C0B">
      <w:pPr>
        <w:jc w:val="center"/>
        <w:rPr>
          <w:rFonts w:ascii="Arial" w:eastAsia="Arial" w:hAnsi="Arial" w:cs="Arial"/>
          <w:b/>
          <w:sz w:val="22"/>
          <w:szCs w:val="22"/>
          <w:lang w:val="pt-BR"/>
        </w:rPr>
      </w:pPr>
    </w:p>
    <w:p w14:paraId="72E28103" w14:textId="77777777" w:rsidR="00726C0B" w:rsidRPr="00F46BCF" w:rsidRDefault="00726C0B">
      <w:pPr>
        <w:jc w:val="center"/>
        <w:rPr>
          <w:rFonts w:ascii="Arial" w:eastAsia="Arial" w:hAnsi="Arial" w:cs="Arial"/>
          <w:b/>
          <w:sz w:val="22"/>
          <w:szCs w:val="22"/>
          <w:lang w:val="pt-BR"/>
        </w:rPr>
      </w:pPr>
    </w:p>
    <w:p w14:paraId="767C444D" w14:textId="5CF6D038" w:rsidR="00726C0B" w:rsidRPr="00F46BCF" w:rsidRDefault="00BB4E15">
      <w:pPr>
        <w:jc w:val="center"/>
        <w:rPr>
          <w:rFonts w:ascii="Arial" w:eastAsia="Arial" w:hAnsi="Arial" w:cs="Arial"/>
          <w:b/>
          <w:sz w:val="22"/>
          <w:szCs w:val="22"/>
          <w:lang w:val="pt-BR"/>
        </w:rPr>
      </w:pPr>
      <w:r w:rsidRPr="00F46BCF">
        <w:rPr>
          <w:rFonts w:ascii="Arial" w:eastAsia="Arial" w:hAnsi="Arial" w:cs="Arial"/>
          <w:b/>
          <w:sz w:val="22"/>
          <w:szCs w:val="22"/>
          <w:lang w:val="pt-BR"/>
        </w:rPr>
        <w:t>REGLAMENTO DE CRÉDITO</w:t>
      </w:r>
    </w:p>
    <w:p w14:paraId="185533B0" w14:textId="77777777" w:rsidR="00726C0B" w:rsidRPr="00F46BCF" w:rsidRDefault="00726C0B">
      <w:pPr>
        <w:jc w:val="center"/>
        <w:rPr>
          <w:rFonts w:ascii="Arial" w:eastAsia="Arial" w:hAnsi="Arial" w:cs="Arial"/>
          <w:b/>
          <w:sz w:val="22"/>
          <w:szCs w:val="22"/>
          <w:lang w:val="pt-BR"/>
        </w:rPr>
      </w:pPr>
    </w:p>
    <w:p w14:paraId="17ACA834" w14:textId="77777777" w:rsidR="00726C0B" w:rsidRPr="00F46BCF" w:rsidRDefault="00726C0B">
      <w:pPr>
        <w:jc w:val="center"/>
        <w:rPr>
          <w:rFonts w:ascii="Arial" w:eastAsia="Arial" w:hAnsi="Arial" w:cs="Arial"/>
          <w:b/>
          <w:sz w:val="22"/>
          <w:szCs w:val="22"/>
          <w:lang w:val="pt-BR"/>
        </w:rPr>
      </w:pPr>
    </w:p>
    <w:p w14:paraId="55BD8E62" w14:textId="77777777" w:rsidR="00726C0B" w:rsidRPr="00F46BCF" w:rsidRDefault="00726C0B">
      <w:pPr>
        <w:jc w:val="center"/>
        <w:rPr>
          <w:rFonts w:ascii="Arial" w:eastAsia="Arial" w:hAnsi="Arial" w:cs="Arial"/>
          <w:b/>
          <w:sz w:val="22"/>
          <w:szCs w:val="22"/>
          <w:lang w:val="pt-BR"/>
        </w:rPr>
      </w:pPr>
    </w:p>
    <w:p w14:paraId="640C27FB" w14:textId="77777777" w:rsidR="00726C0B" w:rsidRPr="00F46BCF" w:rsidRDefault="00726C0B">
      <w:pPr>
        <w:jc w:val="center"/>
        <w:rPr>
          <w:rFonts w:ascii="Arial" w:eastAsia="Arial" w:hAnsi="Arial" w:cs="Arial"/>
          <w:b/>
          <w:sz w:val="22"/>
          <w:szCs w:val="22"/>
          <w:lang w:val="pt-BR"/>
        </w:rPr>
      </w:pPr>
    </w:p>
    <w:p w14:paraId="4166B4FB" w14:textId="77777777" w:rsidR="00726C0B" w:rsidRPr="00F46BCF" w:rsidRDefault="00726C0B">
      <w:pPr>
        <w:jc w:val="center"/>
        <w:rPr>
          <w:rFonts w:ascii="Arial" w:eastAsia="Arial" w:hAnsi="Arial" w:cs="Arial"/>
          <w:b/>
          <w:sz w:val="22"/>
          <w:szCs w:val="22"/>
          <w:lang w:val="pt-BR"/>
        </w:rPr>
      </w:pPr>
    </w:p>
    <w:p w14:paraId="1C39D122" w14:textId="77777777" w:rsidR="00726C0B" w:rsidRPr="00F46BCF" w:rsidRDefault="00726C0B">
      <w:pPr>
        <w:jc w:val="center"/>
        <w:rPr>
          <w:rFonts w:ascii="Arial" w:eastAsia="Arial" w:hAnsi="Arial" w:cs="Arial"/>
          <w:b/>
          <w:sz w:val="22"/>
          <w:szCs w:val="22"/>
          <w:lang w:val="pt-BR"/>
        </w:rPr>
      </w:pPr>
    </w:p>
    <w:p w14:paraId="7118D7EB" w14:textId="77777777" w:rsidR="00726C0B" w:rsidRPr="00F46BCF" w:rsidRDefault="00726C0B">
      <w:pPr>
        <w:jc w:val="center"/>
        <w:rPr>
          <w:rFonts w:ascii="Arial" w:eastAsia="Arial" w:hAnsi="Arial" w:cs="Arial"/>
          <w:b/>
          <w:sz w:val="22"/>
          <w:szCs w:val="22"/>
          <w:lang w:val="pt-BR"/>
        </w:rPr>
      </w:pPr>
    </w:p>
    <w:p w14:paraId="61205904" w14:textId="77777777" w:rsidR="00726C0B" w:rsidRPr="00F46BCF" w:rsidRDefault="00726C0B">
      <w:pPr>
        <w:jc w:val="center"/>
        <w:rPr>
          <w:rFonts w:ascii="Arial" w:eastAsia="Arial" w:hAnsi="Arial" w:cs="Arial"/>
          <w:b/>
          <w:sz w:val="22"/>
          <w:szCs w:val="22"/>
          <w:lang w:val="pt-BR"/>
        </w:rPr>
      </w:pPr>
    </w:p>
    <w:p w14:paraId="3103D807" w14:textId="77777777" w:rsidR="00726C0B" w:rsidRPr="00F46BCF" w:rsidRDefault="00726C0B">
      <w:pPr>
        <w:jc w:val="center"/>
        <w:rPr>
          <w:rFonts w:ascii="Arial" w:eastAsia="Arial" w:hAnsi="Arial" w:cs="Arial"/>
          <w:b/>
          <w:sz w:val="22"/>
          <w:szCs w:val="22"/>
          <w:lang w:val="pt-BR"/>
        </w:rPr>
      </w:pPr>
    </w:p>
    <w:p w14:paraId="7B835BC2" w14:textId="77777777" w:rsidR="00726C0B" w:rsidRPr="00F46BCF" w:rsidRDefault="00726C0B">
      <w:pPr>
        <w:jc w:val="center"/>
        <w:rPr>
          <w:rFonts w:ascii="Arial" w:eastAsia="Arial" w:hAnsi="Arial" w:cs="Arial"/>
          <w:b/>
          <w:sz w:val="22"/>
          <w:szCs w:val="22"/>
          <w:lang w:val="pt-BR"/>
        </w:rPr>
      </w:pPr>
    </w:p>
    <w:p w14:paraId="79640BCC" w14:textId="77777777" w:rsidR="00726C0B" w:rsidRPr="00F46BCF" w:rsidRDefault="00726C0B">
      <w:pPr>
        <w:jc w:val="center"/>
        <w:rPr>
          <w:rFonts w:ascii="Arial" w:eastAsia="Arial" w:hAnsi="Arial" w:cs="Arial"/>
          <w:b/>
          <w:sz w:val="22"/>
          <w:szCs w:val="22"/>
          <w:lang w:val="pt-BR"/>
        </w:rPr>
      </w:pPr>
    </w:p>
    <w:p w14:paraId="0E2587B9" w14:textId="77777777" w:rsidR="00726C0B" w:rsidRPr="00F46BCF" w:rsidRDefault="00726C0B">
      <w:pPr>
        <w:jc w:val="center"/>
        <w:rPr>
          <w:rFonts w:ascii="Arial" w:eastAsia="Arial" w:hAnsi="Arial" w:cs="Arial"/>
          <w:b/>
          <w:sz w:val="22"/>
          <w:szCs w:val="22"/>
          <w:lang w:val="pt-BR"/>
        </w:rPr>
      </w:pPr>
    </w:p>
    <w:p w14:paraId="50D48C5D" w14:textId="77777777" w:rsidR="00726C0B" w:rsidRPr="00F46BCF" w:rsidRDefault="00726C0B">
      <w:pPr>
        <w:jc w:val="center"/>
        <w:rPr>
          <w:rFonts w:ascii="Arial" w:eastAsia="Arial" w:hAnsi="Arial" w:cs="Arial"/>
          <w:b/>
          <w:sz w:val="22"/>
          <w:szCs w:val="22"/>
          <w:lang w:val="pt-BR"/>
        </w:rPr>
      </w:pPr>
    </w:p>
    <w:p w14:paraId="0519A28E" w14:textId="77777777" w:rsidR="00726C0B" w:rsidRPr="00F46BCF" w:rsidRDefault="00726C0B">
      <w:pPr>
        <w:jc w:val="center"/>
        <w:rPr>
          <w:rFonts w:ascii="Arial" w:eastAsia="Arial" w:hAnsi="Arial" w:cs="Arial"/>
          <w:b/>
          <w:sz w:val="22"/>
          <w:szCs w:val="22"/>
          <w:lang w:val="pt-BR"/>
        </w:rPr>
      </w:pPr>
    </w:p>
    <w:p w14:paraId="437DE219" w14:textId="77777777" w:rsidR="00726C0B" w:rsidRPr="00F46BCF" w:rsidRDefault="00726C0B">
      <w:pPr>
        <w:jc w:val="center"/>
        <w:rPr>
          <w:rFonts w:ascii="Arial" w:eastAsia="Arial" w:hAnsi="Arial" w:cs="Arial"/>
          <w:b/>
          <w:sz w:val="22"/>
          <w:szCs w:val="22"/>
          <w:lang w:val="pt-BR"/>
        </w:rPr>
      </w:pPr>
    </w:p>
    <w:p w14:paraId="4F57C1FB" w14:textId="4D37659E" w:rsidR="00726C0B" w:rsidRDefault="000A4AC8">
      <w:pPr>
        <w:jc w:val="center"/>
        <w:rPr>
          <w:rFonts w:ascii="Arial" w:eastAsia="Arial" w:hAnsi="Arial" w:cs="Arial"/>
          <w:b/>
          <w:sz w:val="22"/>
          <w:szCs w:val="22"/>
        </w:rPr>
      </w:pPr>
      <w:r>
        <w:rPr>
          <w:rFonts w:ascii="Arial" w:eastAsia="Arial" w:hAnsi="Arial" w:cs="Arial"/>
          <w:b/>
          <w:sz w:val="22"/>
          <w:szCs w:val="22"/>
        </w:rPr>
        <w:t xml:space="preserve">JUNIO </w:t>
      </w:r>
      <w:r w:rsidR="00BB4E15">
        <w:rPr>
          <w:rFonts w:ascii="Arial" w:eastAsia="Arial" w:hAnsi="Arial" w:cs="Arial"/>
          <w:b/>
          <w:sz w:val="22"/>
          <w:szCs w:val="22"/>
        </w:rPr>
        <w:t>DE 2020</w:t>
      </w:r>
    </w:p>
    <w:p w14:paraId="74B99F69" w14:textId="77777777" w:rsidR="00726C0B" w:rsidRDefault="00726C0B">
      <w:pPr>
        <w:jc w:val="center"/>
        <w:rPr>
          <w:rFonts w:ascii="Arial" w:eastAsia="Arial" w:hAnsi="Arial" w:cs="Arial"/>
          <w:b/>
          <w:sz w:val="22"/>
          <w:szCs w:val="22"/>
        </w:rPr>
      </w:pPr>
    </w:p>
    <w:p w14:paraId="10256832" w14:textId="77777777" w:rsidR="00726C0B" w:rsidRDefault="00726C0B">
      <w:pPr>
        <w:jc w:val="center"/>
        <w:rPr>
          <w:rFonts w:ascii="Arial" w:eastAsia="Arial" w:hAnsi="Arial" w:cs="Arial"/>
          <w:b/>
          <w:sz w:val="22"/>
          <w:szCs w:val="22"/>
        </w:rPr>
        <w:sectPr w:rsidR="00726C0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equalWidth="0">
            <w:col w:w="8838"/>
          </w:cols>
          <w:titlePg/>
        </w:sectPr>
      </w:pPr>
    </w:p>
    <w:p w14:paraId="061B131F" w14:textId="77777777" w:rsidR="00726C0B" w:rsidRDefault="00726C0B">
      <w:pPr>
        <w:rPr>
          <w:rFonts w:ascii="Arial" w:eastAsia="Arial" w:hAnsi="Arial" w:cs="Arial"/>
          <w:b/>
          <w:smallCaps/>
          <w:sz w:val="22"/>
          <w:szCs w:val="22"/>
        </w:rPr>
      </w:pPr>
    </w:p>
    <w:p w14:paraId="57B92E47" w14:textId="77777777" w:rsidR="00726C0B" w:rsidRPr="00E52BD2" w:rsidRDefault="00BB4E15" w:rsidP="00E52BD2">
      <w:pPr>
        <w:keepNext/>
        <w:keepLines/>
        <w:pBdr>
          <w:top w:val="nil"/>
          <w:left w:val="nil"/>
          <w:bottom w:val="nil"/>
          <w:right w:val="nil"/>
          <w:between w:val="nil"/>
        </w:pBdr>
        <w:spacing w:after="120" w:line="259" w:lineRule="auto"/>
        <w:jc w:val="center"/>
        <w:rPr>
          <w:rFonts w:ascii="Arial" w:eastAsia="Arial" w:hAnsi="Arial" w:cs="Arial"/>
          <w:b/>
          <w:color w:val="000000"/>
          <w:sz w:val="22"/>
          <w:szCs w:val="22"/>
        </w:rPr>
      </w:pPr>
      <w:r w:rsidRPr="00E52BD2">
        <w:rPr>
          <w:rFonts w:ascii="Arial" w:eastAsia="Arial" w:hAnsi="Arial" w:cs="Arial"/>
          <w:b/>
          <w:color w:val="000000"/>
          <w:sz w:val="22"/>
          <w:szCs w:val="22"/>
        </w:rPr>
        <w:t>CONTENIDO</w:t>
      </w:r>
    </w:p>
    <w:p w14:paraId="76314576" w14:textId="77777777" w:rsidR="00726C0B" w:rsidRPr="00D57B49" w:rsidRDefault="00726C0B">
      <w:pPr>
        <w:spacing w:after="120"/>
        <w:rPr>
          <w:rFonts w:ascii="Arial" w:hAnsi="Arial" w:cs="Arial"/>
          <w:sz w:val="22"/>
          <w:szCs w:val="22"/>
        </w:rPr>
      </w:pPr>
    </w:p>
    <w:sdt>
      <w:sdtPr>
        <w:rPr>
          <w:rFonts w:ascii="Arial" w:hAnsi="Arial" w:cs="Arial"/>
          <w:sz w:val="22"/>
          <w:szCs w:val="22"/>
        </w:rPr>
        <w:id w:val="-1839683871"/>
        <w:docPartObj>
          <w:docPartGallery w:val="Table of Contents"/>
          <w:docPartUnique/>
        </w:docPartObj>
      </w:sdtPr>
      <w:sdtEndPr/>
      <w:sdtContent>
        <w:p w14:paraId="30F0178F" w14:textId="047CD1A6" w:rsidR="00D57B49" w:rsidRPr="00D57B49" w:rsidRDefault="00BB4E15">
          <w:pPr>
            <w:pStyle w:val="TOC1"/>
            <w:tabs>
              <w:tab w:val="left" w:pos="440"/>
              <w:tab w:val="right" w:pos="8828"/>
            </w:tabs>
            <w:rPr>
              <w:rFonts w:ascii="Arial" w:eastAsiaTheme="minorEastAsia" w:hAnsi="Arial" w:cs="Arial"/>
              <w:noProof/>
              <w:sz w:val="22"/>
              <w:szCs w:val="22"/>
              <w:lang w:val="en-US" w:eastAsia="en-US"/>
            </w:rPr>
          </w:pPr>
          <w:r w:rsidRPr="00D57B49">
            <w:rPr>
              <w:rFonts w:ascii="Arial" w:hAnsi="Arial" w:cs="Arial"/>
              <w:sz w:val="22"/>
              <w:szCs w:val="22"/>
            </w:rPr>
            <w:fldChar w:fldCharType="begin"/>
          </w:r>
          <w:r w:rsidRPr="00D57B49">
            <w:rPr>
              <w:rFonts w:ascii="Arial" w:hAnsi="Arial" w:cs="Arial"/>
              <w:sz w:val="22"/>
              <w:szCs w:val="22"/>
            </w:rPr>
            <w:instrText xml:space="preserve"> TOC \h \u \z </w:instrText>
          </w:r>
          <w:r w:rsidRPr="00D57B49">
            <w:rPr>
              <w:rFonts w:ascii="Arial" w:hAnsi="Arial" w:cs="Arial"/>
              <w:sz w:val="22"/>
              <w:szCs w:val="22"/>
            </w:rPr>
            <w:fldChar w:fldCharType="separate"/>
          </w:r>
          <w:hyperlink w:anchor="_Toc42709748" w:history="1">
            <w:r w:rsidR="00D57B49" w:rsidRPr="00D57B49">
              <w:rPr>
                <w:rStyle w:val="Hyperlink"/>
                <w:rFonts w:ascii="Arial" w:hAnsi="Arial" w:cs="Arial"/>
                <w:noProof/>
                <w:sz w:val="22"/>
                <w:szCs w:val="22"/>
              </w:rPr>
              <w:t>1.</w:t>
            </w:r>
            <w:r w:rsidR="00D57B49" w:rsidRPr="00D57B49">
              <w:rPr>
                <w:rFonts w:ascii="Arial" w:eastAsiaTheme="minorEastAsia" w:hAnsi="Arial" w:cs="Arial"/>
                <w:noProof/>
                <w:sz w:val="22"/>
                <w:szCs w:val="22"/>
                <w:lang w:val="en-US" w:eastAsia="en-US"/>
              </w:rPr>
              <w:tab/>
            </w:r>
            <w:r w:rsidR="00D57B49" w:rsidRPr="00D57B49">
              <w:rPr>
                <w:rStyle w:val="Hyperlink"/>
                <w:rFonts w:ascii="Arial" w:hAnsi="Arial" w:cs="Arial"/>
                <w:noProof/>
                <w:sz w:val="22"/>
                <w:szCs w:val="22"/>
              </w:rPr>
              <w:t>Introducción</w:t>
            </w:r>
            <w:r w:rsidR="00D57B49" w:rsidRPr="00D57B49">
              <w:rPr>
                <w:rFonts w:ascii="Arial" w:hAnsi="Arial" w:cs="Arial"/>
                <w:noProof/>
                <w:webHidden/>
                <w:sz w:val="22"/>
                <w:szCs w:val="22"/>
              </w:rPr>
              <w:tab/>
            </w:r>
            <w:r w:rsidR="00D57B49" w:rsidRPr="00D57B49">
              <w:rPr>
                <w:rFonts w:ascii="Arial" w:hAnsi="Arial" w:cs="Arial"/>
                <w:noProof/>
                <w:webHidden/>
                <w:sz w:val="22"/>
                <w:szCs w:val="22"/>
              </w:rPr>
              <w:fldChar w:fldCharType="begin"/>
            </w:r>
            <w:r w:rsidR="00D57B49" w:rsidRPr="00D57B49">
              <w:rPr>
                <w:rFonts w:ascii="Arial" w:hAnsi="Arial" w:cs="Arial"/>
                <w:noProof/>
                <w:webHidden/>
                <w:sz w:val="22"/>
                <w:szCs w:val="22"/>
              </w:rPr>
              <w:instrText xml:space="preserve"> PAGEREF _Toc42709748 \h </w:instrText>
            </w:r>
            <w:r w:rsidR="00D57B49" w:rsidRPr="00D57B49">
              <w:rPr>
                <w:rFonts w:ascii="Arial" w:hAnsi="Arial" w:cs="Arial"/>
                <w:noProof/>
                <w:webHidden/>
                <w:sz w:val="22"/>
                <w:szCs w:val="22"/>
              </w:rPr>
            </w:r>
            <w:r w:rsidR="00D57B49" w:rsidRPr="00D57B49">
              <w:rPr>
                <w:rFonts w:ascii="Arial" w:hAnsi="Arial" w:cs="Arial"/>
                <w:noProof/>
                <w:webHidden/>
                <w:sz w:val="22"/>
                <w:szCs w:val="22"/>
              </w:rPr>
              <w:fldChar w:fldCharType="separate"/>
            </w:r>
            <w:r w:rsidR="00D57B49" w:rsidRPr="00D57B49">
              <w:rPr>
                <w:rFonts w:ascii="Arial" w:hAnsi="Arial" w:cs="Arial"/>
                <w:noProof/>
                <w:webHidden/>
                <w:sz w:val="22"/>
                <w:szCs w:val="22"/>
              </w:rPr>
              <w:t>3</w:t>
            </w:r>
            <w:r w:rsidR="00D57B49" w:rsidRPr="00D57B49">
              <w:rPr>
                <w:rFonts w:ascii="Arial" w:hAnsi="Arial" w:cs="Arial"/>
                <w:noProof/>
                <w:webHidden/>
                <w:sz w:val="22"/>
                <w:szCs w:val="22"/>
              </w:rPr>
              <w:fldChar w:fldCharType="end"/>
            </w:r>
          </w:hyperlink>
        </w:p>
        <w:p w14:paraId="05C4A4BE" w14:textId="406B1A7E" w:rsidR="00D57B49" w:rsidRPr="00D57B49" w:rsidRDefault="00037490">
          <w:pPr>
            <w:pStyle w:val="TOC1"/>
            <w:tabs>
              <w:tab w:val="left" w:pos="440"/>
              <w:tab w:val="right" w:pos="8828"/>
            </w:tabs>
            <w:rPr>
              <w:rFonts w:ascii="Arial" w:eastAsiaTheme="minorEastAsia" w:hAnsi="Arial" w:cs="Arial"/>
              <w:noProof/>
              <w:sz w:val="22"/>
              <w:szCs w:val="22"/>
              <w:lang w:val="en-US" w:eastAsia="en-US"/>
            </w:rPr>
          </w:pPr>
          <w:hyperlink w:anchor="_Toc42709749" w:history="1">
            <w:r w:rsidR="00D57B49" w:rsidRPr="00D57B49">
              <w:rPr>
                <w:rStyle w:val="Hyperlink"/>
                <w:rFonts w:ascii="Arial" w:hAnsi="Arial" w:cs="Arial"/>
                <w:noProof/>
                <w:sz w:val="22"/>
                <w:szCs w:val="22"/>
              </w:rPr>
              <w:t>2.</w:t>
            </w:r>
            <w:r w:rsidR="00D57B49" w:rsidRPr="00D57B49">
              <w:rPr>
                <w:rFonts w:ascii="Arial" w:eastAsiaTheme="minorEastAsia" w:hAnsi="Arial" w:cs="Arial"/>
                <w:noProof/>
                <w:sz w:val="22"/>
                <w:szCs w:val="22"/>
                <w:lang w:val="en-US" w:eastAsia="en-US"/>
              </w:rPr>
              <w:tab/>
            </w:r>
            <w:r w:rsidR="00D57B49" w:rsidRPr="00D57B49">
              <w:rPr>
                <w:rStyle w:val="Hyperlink"/>
                <w:rFonts w:ascii="Arial" w:hAnsi="Arial" w:cs="Arial"/>
                <w:noProof/>
                <w:sz w:val="22"/>
                <w:szCs w:val="22"/>
              </w:rPr>
              <w:t>Definiciones</w:t>
            </w:r>
            <w:r w:rsidR="00D57B49" w:rsidRPr="00D57B49">
              <w:rPr>
                <w:rFonts w:ascii="Arial" w:hAnsi="Arial" w:cs="Arial"/>
                <w:noProof/>
                <w:webHidden/>
                <w:sz w:val="22"/>
                <w:szCs w:val="22"/>
              </w:rPr>
              <w:tab/>
            </w:r>
            <w:r w:rsidR="00D57B49" w:rsidRPr="00D57B49">
              <w:rPr>
                <w:rFonts w:ascii="Arial" w:hAnsi="Arial" w:cs="Arial"/>
                <w:noProof/>
                <w:webHidden/>
                <w:sz w:val="22"/>
                <w:szCs w:val="22"/>
              </w:rPr>
              <w:fldChar w:fldCharType="begin"/>
            </w:r>
            <w:r w:rsidR="00D57B49" w:rsidRPr="00D57B49">
              <w:rPr>
                <w:rFonts w:ascii="Arial" w:hAnsi="Arial" w:cs="Arial"/>
                <w:noProof/>
                <w:webHidden/>
                <w:sz w:val="22"/>
                <w:szCs w:val="22"/>
              </w:rPr>
              <w:instrText xml:space="preserve"> PAGEREF _Toc42709749 \h </w:instrText>
            </w:r>
            <w:r w:rsidR="00D57B49" w:rsidRPr="00D57B49">
              <w:rPr>
                <w:rFonts w:ascii="Arial" w:hAnsi="Arial" w:cs="Arial"/>
                <w:noProof/>
                <w:webHidden/>
                <w:sz w:val="22"/>
                <w:szCs w:val="22"/>
              </w:rPr>
            </w:r>
            <w:r w:rsidR="00D57B49" w:rsidRPr="00D57B49">
              <w:rPr>
                <w:rFonts w:ascii="Arial" w:hAnsi="Arial" w:cs="Arial"/>
                <w:noProof/>
                <w:webHidden/>
                <w:sz w:val="22"/>
                <w:szCs w:val="22"/>
              </w:rPr>
              <w:fldChar w:fldCharType="separate"/>
            </w:r>
            <w:r w:rsidR="00D57B49" w:rsidRPr="00D57B49">
              <w:rPr>
                <w:rFonts w:ascii="Arial" w:hAnsi="Arial" w:cs="Arial"/>
                <w:noProof/>
                <w:webHidden/>
                <w:sz w:val="22"/>
                <w:szCs w:val="22"/>
              </w:rPr>
              <w:t>3</w:t>
            </w:r>
            <w:r w:rsidR="00D57B49" w:rsidRPr="00D57B49">
              <w:rPr>
                <w:rFonts w:ascii="Arial" w:hAnsi="Arial" w:cs="Arial"/>
                <w:noProof/>
                <w:webHidden/>
                <w:sz w:val="22"/>
                <w:szCs w:val="22"/>
              </w:rPr>
              <w:fldChar w:fldCharType="end"/>
            </w:r>
          </w:hyperlink>
        </w:p>
        <w:p w14:paraId="63F0ADB1" w14:textId="279C03A8" w:rsidR="00D57B49" w:rsidRPr="00D57B49" w:rsidRDefault="00037490">
          <w:pPr>
            <w:pStyle w:val="TOC1"/>
            <w:tabs>
              <w:tab w:val="left" w:pos="440"/>
              <w:tab w:val="right" w:pos="8828"/>
            </w:tabs>
            <w:rPr>
              <w:rFonts w:ascii="Arial" w:eastAsiaTheme="minorEastAsia" w:hAnsi="Arial" w:cs="Arial"/>
              <w:noProof/>
              <w:sz w:val="22"/>
              <w:szCs w:val="22"/>
              <w:lang w:val="en-US" w:eastAsia="en-US"/>
            </w:rPr>
          </w:pPr>
          <w:hyperlink w:anchor="_Toc42709750" w:history="1">
            <w:r w:rsidR="00D57B49" w:rsidRPr="00D57B49">
              <w:rPr>
                <w:rStyle w:val="Hyperlink"/>
                <w:rFonts w:ascii="Arial" w:hAnsi="Arial" w:cs="Arial"/>
                <w:noProof/>
                <w:sz w:val="22"/>
                <w:szCs w:val="22"/>
              </w:rPr>
              <w:t>3.</w:t>
            </w:r>
            <w:r w:rsidR="00D57B49" w:rsidRPr="00D57B49">
              <w:rPr>
                <w:rFonts w:ascii="Arial" w:eastAsiaTheme="minorEastAsia" w:hAnsi="Arial" w:cs="Arial"/>
                <w:noProof/>
                <w:sz w:val="22"/>
                <w:szCs w:val="22"/>
                <w:lang w:val="en-US" w:eastAsia="en-US"/>
              </w:rPr>
              <w:tab/>
            </w:r>
            <w:r w:rsidR="00D57B49" w:rsidRPr="00D57B49">
              <w:rPr>
                <w:rStyle w:val="Hyperlink"/>
                <w:rFonts w:ascii="Arial" w:hAnsi="Arial" w:cs="Arial"/>
                <w:noProof/>
                <w:sz w:val="22"/>
                <w:szCs w:val="22"/>
              </w:rPr>
              <w:t>Responsabilidad de Coordinación del Programa</w:t>
            </w:r>
            <w:r w:rsidR="00D57B49" w:rsidRPr="00D57B49">
              <w:rPr>
                <w:rFonts w:ascii="Arial" w:hAnsi="Arial" w:cs="Arial"/>
                <w:noProof/>
                <w:webHidden/>
                <w:sz w:val="22"/>
                <w:szCs w:val="22"/>
              </w:rPr>
              <w:tab/>
            </w:r>
            <w:r w:rsidR="00D57B49" w:rsidRPr="00D57B49">
              <w:rPr>
                <w:rFonts w:ascii="Arial" w:hAnsi="Arial" w:cs="Arial"/>
                <w:noProof/>
                <w:webHidden/>
                <w:sz w:val="22"/>
                <w:szCs w:val="22"/>
              </w:rPr>
              <w:fldChar w:fldCharType="begin"/>
            </w:r>
            <w:r w:rsidR="00D57B49" w:rsidRPr="00D57B49">
              <w:rPr>
                <w:rFonts w:ascii="Arial" w:hAnsi="Arial" w:cs="Arial"/>
                <w:noProof/>
                <w:webHidden/>
                <w:sz w:val="22"/>
                <w:szCs w:val="22"/>
              </w:rPr>
              <w:instrText xml:space="preserve"> PAGEREF _Toc42709750 \h </w:instrText>
            </w:r>
            <w:r w:rsidR="00D57B49" w:rsidRPr="00D57B49">
              <w:rPr>
                <w:rFonts w:ascii="Arial" w:hAnsi="Arial" w:cs="Arial"/>
                <w:noProof/>
                <w:webHidden/>
                <w:sz w:val="22"/>
                <w:szCs w:val="22"/>
              </w:rPr>
            </w:r>
            <w:r w:rsidR="00D57B49" w:rsidRPr="00D57B49">
              <w:rPr>
                <w:rFonts w:ascii="Arial" w:hAnsi="Arial" w:cs="Arial"/>
                <w:noProof/>
                <w:webHidden/>
                <w:sz w:val="22"/>
                <w:szCs w:val="22"/>
              </w:rPr>
              <w:fldChar w:fldCharType="separate"/>
            </w:r>
            <w:r w:rsidR="00D57B49" w:rsidRPr="00D57B49">
              <w:rPr>
                <w:rFonts w:ascii="Arial" w:hAnsi="Arial" w:cs="Arial"/>
                <w:noProof/>
                <w:webHidden/>
                <w:sz w:val="22"/>
                <w:szCs w:val="22"/>
              </w:rPr>
              <w:t>5</w:t>
            </w:r>
            <w:r w:rsidR="00D57B49" w:rsidRPr="00D57B49">
              <w:rPr>
                <w:rFonts w:ascii="Arial" w:hAnsi="Arial" w:cs="Arial"/>
                <w:noProof/>
                <w:webHidden/>
                <w:sz w:val="22"/>
                <w:szCs w:val="22"/>
              </w:rPr>
              <w:fldChar w:fldCharType="end"/>
            </w:r>
          </w:hyperlink>
        </w:p>
        <w:p w14:paraId="234440A2" w14:textId="326908CD" w:rsidR="00D57B49" w:rsidRPr="00D57B49" w:rsidRDefault="00037490">
          <w:pPr>
            <w:pStyle w:val="TOC1"/>
            <w:tabs>
              <w:tab w:val="left" w:pos="440"/>
              <w:tab w:val="right" w:pos="8828"/>
            </w:tabs>
            <w:rPr>
              <w:rFonts w:ascii="Arial" w:eastAsiaTheme="minorEastAsia" w:hAnsi="Arial" w:cs="Arial"/>
              <w:noProof/>
              <w:sz w:val="22"/>
              <w:szCs w:val="22"/>
              <w:lang w:val="en-US" w:eastAsia="en-US"/>
            </w:rPr>
          </w:pPr>
          <w:hyperlink w:anchor="_Toc42709751" w:history="1">
            <w:r w:rsidR="00D57B49" w:rsidRPr="00D57B49">
              <w:rPr>
                <w:rStyle w:val="Hyperlink"/>
                <w:rFonts w:ascii="Arial" w:hAnsi="Arial" w:cs="Arial"/>
                <w:noProof/>
                <w:sz w:val="22"/>
                <w:szCs w:val="22"/>
              </w:rPr>
              <w:t>4.</w:t>
            </w:r>
            <w:r w:rsidR="00D57B49" w:rsidRPr="00D57B49">
              <w:rPr>
                <w:rFonts w:ascii="Arial" w:eastAsiaTheme="minorEastAsia" w:hAnsi="Arial" w:cs="Arial"/>
                <w:noProof/>
                <w:sz w:val="22"/>
                <w:szCs w:val="22"/>
                <w:lang w:val="en-US" w:eastAsia="en-US"/>
              </w:rPr>
              <w:tab/>
            </w:r>
            <w:r w:rsidR="00D57B49" w:rsidRPr="00D57B49">
              <w:rPr>
                <w:rStyle w:val="Hyperlink"/>
                <w:rFonts w:ascii="Arial" w:hAnsi="Arial" w:cs="Arial"/>
                <w:noProof/>
                <w:sz w:val="22"/>
                <w:szCs w:val="22"/>
              </w:rPr>
              <w:t>Descripción General del Programa</w:t>
            </w:r>
            <w:r w:rsidR="00D57B49" w:rsidRPr="00D57B49">
              <w:rPr>
                <w:rFonts w:ascii="Arial" w:hAnsi="Arial" w:cs="Arial"/>
                <w:noProof/>
                <w:webHidden/>
                <w:sz w:val="22"/>
                <w:szCs w:val="22"/>
              </w:rPr>
              <w:tab/>
            </w:r>
            <w:r w:rsidR="00D57B49" w:rsidRPr="00D57B49">
              <w:rPr>
                <w:rFonts w:ascii="Arial" w:hAnsi="Arial" w:cs="Arial"/>
                <w:noProof/>
                <w:webHidden/>
                <w:sz w:val="22"/>
                <w:szCs w:val="22"/>
              </w:rPr>
              <w:fldChar w:fldCharType="begin"/>
            </w:r>
            <w:r w:rsidR="00D57B49" w:rsidRPr="00D57B49">
              <w:rPr>
                <w:rFonts w:ascii="Arial" w:hAnsi="Arial" w:cs="Arial"/>
                <w:noProof/>
                <w:webHidden/>
                <w:sz w:val="22"/>
                <w:szCs w:val="22"/>
              </w:rPr>
              <w:instrText xml:space="preserve"> PAGEREF _Toc42709751 \h </w:instrText>
            </w:r>
            <w:r w:rsidR="00D57B49" w:rsidRPr="00D57B49">
              <w:rPr>
                <w:rFonts w:ascii="Arial" w:hAnsi="Arial" w:cs="Arial"/>
                <w:noProof/>
                <w:webHidden/>
                <w:sz w:val="22"/>
                <w:szCs w:val="22"/>
              </w:rPr>
            </w:r>
            <w:r w:rsidR="00D57B49" w:rsidRPr="00D57B49">
              <w:rPr>
                <w:rFonts w:ascii="Arial" w:hAnsi="Arial" w:cs="Arial"/>
                <w:noProof/>
                <w:webHidden/>
                <w:sz w:val="22"/>
                <w:szCs w:val="22"/>
              </w:rPr>
              <w:fldChar w:fldCharType="separate"/>
            </w:r>
            <w:r w:rsidR="00D57B49" w:rsidRPr="00D57B49">
              <w:rPr>
                <w:rFonts w:ascii="Arial" w:hAnsi="Arial" w:cs="Arial"/>
                <w:noProof/>
                <w:webHidden/>
                <w:sz w:val="22"/>
                <w:szCs w:val="22"/>
              </w:rPr>
              <w:t>5</w:t>
            </w:r>
            <w:r w:rsidR="00D57B49" w:rsidRPr="00D57B49">
              <w:rPr>
                <w:rFonts w:ascii="Arial" w:hAnsi="Arial" w:cs="Arial"/>
                <w:noProof/>
                <w:webHidden/>
                <w:sz w:val="22"/>
                <w:szCs w:val="22"/>
              </w:rPr>
              <w:fldChar w:fldCharType="end"/>
            </w:r>
          </w:hyperlink>
        </w:p>
        <w:p w14:paraId="0C705ED2" w14:textId="3293C61B" w:rsidR="00D57B49" w:rsidRPr="00D57B49" w:rsidRDefault="00037490">
          <w:pPr>
            <w:pStyle w:val="TOC1"/>
            <w:tabs>
              <w:tab w:val="left" w:pos="440"/>
              <w:tab w:val="right" w:pos="8828"/>
            </w:tabs>
            <w:rPr>
              <w:rFonts w:ascii="Arial" w:eastAsiaTheme="minorEastAsia" w:hAnsi="Arial" w:cs="Arial"/>
              <w:noProof/>
              <w:sz w:val="22"/>
              <w:szCs w:val="22"/>
              <w:lang w:val="en-US" w:eastAsia="en-US"/>
            </w:rPr>
          </w:pPr>
          <w:hyperlink w:anchor="_Toc42709752" w:history="1">
            <w:r w:rsidR="00D57B49" w:rsidRPr="00D57B49">
              <w:rPr>
                <w:rStyle w:val="Hyperlink"/>
                <w:rFonts w:ascii="Arial" w:hAnsi="Arial" w:cs="Arial"/>
                <w:noProof/>
                <w:sz w:val="22"/>
                <w:szCs w:val="22"/>
              </w:rPr>
              <w:t>5.</w:t>
            </w:r>
            <w:r w:rsidR="00D57B49" w:rsidRPr="00D57B49">
              <w:rPr>
                <w:rFonts w:ascii="Arial" w:eastAsiaTheme="minorEastAsia" w:hAnsi="Arial" w:cs="Arial"/>
                <w:noProof/>
                <w:sz w:val="22"/>
                <w:szCs w:val="22"/>
                <w:lang w:val="en-US" w:eastAsia="en-US"/>
              </w:rPr>
              <w:tab/>
            </w:r>
            <w:r w:rsidR="00D57B49" w:rsidRPr="00D57B49">
              <w:rPr>
                <w:rStyle w:val="Hyperlink"/>
                <w:rFonts w:ascii="Arial" w:hAnsi="Arial" w:cs="Arial"/>
                <w:noProof/>
                <w:sz w:val="22"/>
                <w:szCs w:val="22"/>
              </w:rPr>
              <w:t>Uso de los recursos</w:t>
            </w:r>
            <w:r w:rsidR="00D57B49" w:rsidRPr="00D57B49">
              <w:rPr>
                <w:rFonts w:ascii="Arial" w:hAnsi="Arial" w:cs="Arial"/>
                <w:noProof/>
                <w:webHidden/>
                <w:sz w:val="22"/>
                <w:szCs w:val="22"/>
              </w:rPr>
              <w:tab/>
            </w:r>
            <w:r w:rsidR="00D57B49" w:rsidRPr="00D57B49">
              <w:rPr>
                <w:rFonts w:ascii="Arial" w:hAnsi="Arial" w:cs="Arial"/>
                <w:noProof/>
                <w:webHidden/>
                <w:sz w:val="22"/>
                <w:szCs w:val="22"/>
              </w:rPr>
              <w:fldChar w:fldCharType="begin"/>
            </w:r>
            <w:r w:rsidR="00D57B49" w:rsidRPr="00D57B49">
              <w:rPr>
                <w:rFonts w:ascii="Arial" w:hAnsi="Arial" w:cs="Arial"/>
                <w:noProof/>
                <w:webHidden/>
                <w:sz w:val="22"/>
                <w:szCs w:val="22"/>
              </w:rPr>
              <w:instrText xml:space="preserve"> PAGEREF _Toc42709752 \h </w:instrText>
            </w:r>
            <w:r w:rsidR="00D57B49" w:rsidRPr="00D57B49">
              <w:rPr>
                <w:rFonts w:ascii="Arial" w:hAnsi="Arial" w:cs="Arial"/>
                <w:noProof/>
                <w:webHidden/>
                <w:sz w:val="22"/>
                <w:szCs w:val="22"/>
              </w:rPr>
            </w:r>
            <w:r w:rsidR="00D57B49" w:rsidRPr="00D57B49">
              <w:rPr>
                <w:rFonts w:ascii="Arial" w:hAnsi="Arial" w:cs="Arial"/>
                <w:noProof/>
                <w:webHidden/>
                <w:sz w:val="22"/>
                <w:szCs w:val="22"/>
              </w:rPr>
              <w:fldChar w:fldCharType="separate"/>
            </w:r>
            <w:r w:rsidR="00D57B49" w:rsidRPr="00D57B49">
              <w:rPr>
                <w:rFonts w:ascii="Arial" w:hAnsi="Arial" w:cs="Arial"/>
                <w:noProof/>
                <w:webHidden/>
                <w:sz w:val="22"/>
                <w:szCs w:val="22"/>
              </w:rPr>
              <w:t>8</w:t>
            </w:r>
            <w:r w:rsidR="00D57B49" w:rsidRPr="00D57B49">
              <w:rPr>
                <w:rFonts w:ascii="Arial" w:hAnsi="Arial" w:cs="Arial"/>
                <w:noProof/>
                <w:webHidden/>
                <w:sz w:val="22"/>
                <w:szCs w:val="22"/>
              </w:rPr>
              <w:fldChar w:fldCharType="end"/>
            </w:r>
          </w:hyperlink>
        </w:p>
        <w:p w14:paraId="4DF25B35" w14:textId="2D9492BB" w:rsidR="00D57B49" w:rsidRPr="00D57B49" w:rsidRDefault="00037490">
          <w:pPr>
            <w:pStyle w:val="TOC1"/>
            <w:tabs>
              <w:tab w:val="left" w:pos="440"/>
              <w:tab w:val="right" w:pos="8828"/>
            </w:tabs>
            <w:rPr>
              <w:rFonts w:ascii="Arial" w:eastAsiaTheme="minorEastAsia" w:hAnsi="Arial" w:cs="Arial"/>
              <w:noProof/>
              <w:sz w:val="22"/>
              <w:szCs w:val="22"/>
              <w:lang w:val="en-US" w:eastAsia="en-US"/>
            </w:rPr>
          </w:pPr>
          <w:hyperlink w:anchor="_Toc42709753" w:history="1">
            <w:r w:rsidR="00D57B49" w:rsidRPr="00D57B49">
              <w:rPr>
                <w:rStyle w:val="Hyperlink"/>
                <w:rFonts w:ascii="Arial" w:hAnsi="Arial" w:cs="Arial"/>
                <w:noProof/>
                <w:sz w:val="22"/>
                <w:szCs w:val="22"/>
              </w:rPr>
              <w:t>6.</w:t>
            </w:r>
            <w:r w:rsidR="00D57B49" w:rsidRPr="00D57B49">
              <w:rPr>
                <w:rFonts w:ascii="Arial" w:eastAsiaTheme="minorEastAsia" w:hAnsi="Arial" w:cs="Arial"/>
                <w:noProof/>
                <w:sz w:val="22"/>
                <w:szCs w:val="22"/>
                <w:lang w:val="en-US" w:eastAsia="en-US"/>
              </w:rPr>
              <w:tab/>
            </w:r>
            <w:r w:rsidR="00D57B49" w:rsidRPr="00D57B49">
              <w:rPr>
                <w:rStyle w:val="Hyperlink"/>
                <w:rFonts w:ascii="Arial" w:hAnsi="Arial" w:cs="Arial"/>
                <w:noProof/>
                <w:sz w:val="22"/>
                <w:szCs w:val="22"/>
              </w:rPr>
              <w:t>Características específicas de los subpréstamos sujetos a financiación del Programa</w:t>
            </w:r>
            <w:r w:rsidR="00D57B49" w:rsidRPr="00D57B49">
              <w:rPr>
                <w:rFonts w:ascii="Arial" w:hAnsi="Arial" w:cs="Arial"/>
                <w:noProof/>
                <w:webHidden/>
                <w:sz w:val="22"/>
                <w:szCs w:val="22"/>
              </w:rPr>
              <w:tab/>
            </w:r>
            <w:r w:rsidR="00D57B49" w:rsidRPr="00D57B49">
              <w:rPr>
                <w:rFonts w:ascii="Arial" w:hAnsi="Arial" w:cs="Arial"/>
                <w:noProof/>
                <w:webHidden/>
                <w:sz w:val="22"/>
                <w:szCs w:val="22"/>
              </w:rPr>
              <w:fldChar w:fldCharType="begin"/>
            </w:r>
            <w:r w:rsidR="00D57B49" w:rsidRPr="00D57B49">
              <w:rPr>
                <w:rFonts w:ascii="Arial" w:hAnsi="Arial" w:cs="Arial"/>
                <w:noProof/>
                <w:webHidden/>
                <w:sz w:val="22"/>
                <w:szCs w:val="22"/>
              </w:rPr>
              <w:instrText xml:space="preserve"> PAGEREF _Toc42709753 \h </w:instrText>
            </w:r>
            <w:r w:rsidR="00D57B49" w:rsidRPr="00D57B49">
              <w:rPr>
                <w:rFonts w:ascii="Arial" w:hAnsi="Arial" w:cs="Arial"/>
                <w:noProof/>
                <w:webHidden/>
                <w:sz w:val="22"/>
                <w:szCs w:val="22"/>
              </w:rPr>
            </w:r>
            <w:r w:rsidR="00D57B49" w:rsidRPr="00D57B49">
              <w:rPr>
                <w:rFonts w:ascii="Arial" w:hAnsi="Arial" w:cs="Arial"/>
                <w:noProof/>
                <w:webHidden/>
                <w:sz w:val="22"/>
                <w:szCs w:val="22"/>
              </w:rPr>
              <w:fldChar w:fldCharType="separate"/>
            </w:r>
            <w:r w:rsidR="00D57B49" w:rsidRPr="00D57B49">
              <w:rPr>
                <w:rFonts w:ascii="Arial" w:hAnsi="Arial" w:cs="Arial"/>
                <w:noProof/>
                <w:webHidden/>
                <w:sz w:val="22"/>
                <w:szCs w:val="22"/>
              </w:rPr>
              <w:t>9</w:t>
            </w:r>
            <w:r w:rsidR="00D57B49" w:rsidRPr="00D57B49">
              <w:rPr>
                <w:rFonts w:ascii="Arial" w:hAnsi="Arial" w:cs="Arial"/>
                <w:noProof/>
                <w:webHidden/>
                <w:sz w:val="22"/>
                <w:szCs w:val="22"/>
              </w:rPr>
              <w:fldChar w:fldCharType="end"/>
            </w:r>
          </w:hyperlink>
        </w:p>
        <w:p w14:paraId="65A1CD94" w14:textId="63D603FC" w:rsidR="00D57B49" w:rsidRPr="00D57B49" w:rsidRDefault="00037490">
          <w:pPr>
            <w:pStyle w:val="TOC1"/>
            <w:tabs>
              <w:tab w:val="left" w:pos="440"/>
              <w:tab w:val="right" w:pos="8828"/>
            </w:tabs>
            <w:rPr>
              <w:rFonts w:ascii="Arial" w:eastAsiaTheme="minorEastAsia" w:hAnsi="Arial" w:cs="Arial"/>
              <w:noProof/>
              <w:sz w:val="22"/>
              <w:szCs w:val="22"/>
              <w:lang w:val="en-US" w:eastAsia="en-US"/>
            </w:rPr>
          </w:pPr>
          <w:hyperlink w:anchor="_Toc42709754" w:history="1">
            <w:r w:rsidR="00D57B49" w:rsidRPr="00D57B49">
              <w:rPr>
                <w:rStyle w:val="Hyperlink"/>
                <w:rFonts w:ascii="Arial" w:hAnsi="Arial" w:cs="Arial"/>
                <w:noProof/>
                <w:sz w:val="22"/>
                <w:szCs w:val="22"/>
              </w:rPr>
              <w:t>7.</w:t>
            </w:r>
            <w:r w:rsidR="00D57B49" w:rsidRPr="00D57B49">
              <w:rPr>
                <w:rFonts w:ascii="Arial" w:eastAsiaTheme="minorEastAsia" w:hAnsi="Arial" w:cs="Arial"/>
                <w:noProof/>
                <w:sz w:val="22"/>
                <w:szCs w:val="22"/>
                <w:lang w:val="en-US" w:eastAsia="en-US"/>
              </w:rPr>
              <w:tab/>
            </w:r>
            <w:r w:rsidR="00D57B49" w:rsidRPr="00D57B49">
              <w:rPr>
                <w:rStyle w:val="Hyperlink"/>
                <w:rFonts w:ascii="Arial" w:hAnsi="Arial" w:cs="Arial"/>
                <w:noProof/>
                <w:sz w:val="22"/>
                <w:szCs w:val="22"/>
              </w:rPr>
              <w:t>FONDEP - Reglamento de Crédito</w:t>
            </w:r>
            <w:r w:rsidR="00D57B49" w:rsidRPr="00D57B49">
              <w:rPr>
                <w:rFonts w:ascii="Arial" w:hAnsi="Arial" w:cs="Arial"/>
                <w:noProof/>
                <w:webHidden/>
                <w:sz w:val="22"/>
                <w:szCs w:val="22"/>
              </w:rPr>
              <w:tab/>
            </w:r>
            <w:r w:rsidR="00D57B49" w:rsidRPr="00D57B49">
              <w:rPr>
                <w:rFonts w:ascii="Arial" w:hAnsi="Arial" w:cs="Arial"/>
                <w:noProof/>
                <w:webHidden/>
                <w:sz w:val="22"/>
                <w:szCs w:val="22"/>
              </w:rPr>
              <w:fldChar w:fldCharType="begin"/>
            </w:r>
            <w:r w:rsidR="00D57B49" w:rsidRPr="00D57B49">
              <w:rPr>
                <w:rFonts w:ascii="Arial" w:hAnsi="Arial" w:cs="Arial"/>
                <w:noProof/>
                <w:webHidden/>
                <w:sz w:val="22"/>
                <w:szCs w:val="22"/>
              </w:rPr>
              <w:instrText xml:space="preserve"> PAGEREF _Toc42709754 \h </w:instrText>
            </w:r>
            <w:r w:rsidR="00D57B49" w:rsidRPr="00D57B49">
              <w:rPr>
                <w:rFonts w:ascii="Arial" w:hAnsi="Arial" w:cs="Arial"/>
                <w:noProof/>
                <w:webHidden/>
                <w:sz w:val="22"/>
                <w:szCs w:val="22"/>
              </w:rPr>
            </w:r>
            <w:r w:rsidR="00D57B49" w:rsidRPr="00D57B49">
              <w:rPr>
                <w:rFonts w:ascii="Arial" w:hAnsi="Arial" w:cs="Arial"/>
                <w:noProof/>
                <w:webHidden/>
                <w:sz w:val="22"/>
                <w:szCs w:val="22"/>
              </w:rPr>
              <w:fldChar w:fldCharType="separate"/>
            </w:r>
            <w:r w:rsidR="00D57B49" w:rsidRPr="00D57B49">
              <w:rPr>
                <w:rFonts w:ascii="Arial" w:hAnsi="Arial" w:cs="Arial"/>
                <w:noProof/>
                <w:webHidden/>
                <w:sz w:val="22"/>
                <w:szCs w:val="22"/>
              </w:rPr>
              <w:t>9</w:t>
            </w:r>
            <w:r w:rsidR="00D57B49" w:rsidRPr="00D57B49">
              <w:rPr>
                <w:rFonts w:ascii="Arial" w:hAnsi="Arial" w:cs="Arial"/>
                <w:noProof/>
                <w:webHidden/>
                <w:sz w:val="22"/>
                <w:szCs w:val="22"/>
              </w:rPr>
              <w:fldChar w:fldCharType="end"/>
            </w:r>
          </w:hyperlink>
        </w:p>
        <w:p w14:paraId="0B5891FE" w14:textId="33A78DA9" w:rsidR="00D57B49" w:rsidRPr="00D57B49" w:rsidRDefault="00037490">
          <w:pPr>
            <w:pStyle w:val="TOC1"/>
            <w:tabs>
              <w:tab w:val="left" w:pos="440"/>
              <w:tab w:val="right" w:pos="8828"/>
            </w:tabs>
            <w:rPr>
              <w:rFonts w:ascii="Arial" w:eastAsiaTheme="minorEastAsia" w:hAnsi="Arial" w:cs="Arial"/>
              <w:noProof/>
              <w:sz w:val="22"/>
              <w:szCs w:val="22"/>
              <w:lang w:val="en-US" w:eastAsia="en-US"/>
            </w:rPr>
          </w:pPr>
          <w:hyperlink w:anchor="_Toc42709755" w:history="1">
            <w:r w:rsidR="00D57B49" w:rsidRPr="00D57B49">
              <w:rPr>
                <w:rStyle w:val="Hyperlink"/>
                <w:rFonts w:ascii="Arial" w:hAnsi="Arial" w:cs="Arial"/>
                <w:noProof/>
                <w:sz w:val="22"/>
                <w:szCs w:val="22"/>
              </w:rPr>
              <w:t>A.</w:t>
            </w:r>
            <w:r w:rsidR="00D57B49" w:rsidRPr="00D57B49">
              <w:rPr>
                <w:rFonts w:ascii="Arial" w:eastAsiaTheme="minorEastAsia" w:hAnsi="Arial" w:cs="Arial"/>
                <w:noProof/>
                <w:sz w:val="22"/>
                <w:szCs w:val="22"/>
                <w:lang w:val="en-US" w:eastAsia="en-US"/>
              </w:rPr>
              <w:tab/>
            </w:r>
            <w:r w:rsidR="00D57B49" w:rsidRPr="00D57B49">
              <w:rPr>
                <w:rStyle w:val="Hyperlink"/>
                <w:rFonts w:ascii="Arial" w:hAnsi="Arial" w:cs="Arial"/>
                <w:noProof/>
                <w:sz w:val="22"/>
                <w:szCs w:val="22"/>
              </w:rPr>
              <w:t>Características generales del fondeo con recursos del Programa</w:t>
            </w:r>
            <w:r w:rsidR="00D57B49" w:rsidRPr="00D57B49">
              <w:rPr>
                <w:rFonts w:ascii="Arial" w:hAnsi="Arial" w:cs="Arial"/>
                <w:noProof/>
                <w:webHidden/>
                <w:sz w:val="22"/>
                <w:szCs w:val="22"/>
              </w:rPr>
              <w:tab/>
            </w:r>
            <w:r w:rsidR="00D57B49" w:rsidRPr="00D57B49">
              <w:rPr>
                <w:rFonts w:ascii="Arial" w:hAnsi="Arial" w:cs="Arial"/>
                <w:noProof/>
                <w:webHidden/>
                <w:sz w:val="22"/>
                <w:szCs w:val="22"/>
              </w:rPr>
              <w:fldChar w:fldCharType="begin"/>
            </w:r>
            <w:r w:rsidR="00D57B49" w:rsidRPr="00D57B49">
              <w:rPr>
                <w:rFonts w:ascii="Arial" w:hAnsi="Arial" w:cs="Arial"/>
                <w:noProof/>
                <w:webHidden/>
                <w:sz w:val="22"/>
                <w:szCs w:val="22"/>
              </w:rPr>
              <w:instrText xml:space="preserve"> PAGEREF _Toc42709755 \h </w:instrText>
            </w:r>
            <w:r w:rsidR="00D57B49" w:rsidRPr="00D57B49">
              <w:rPr>
                <w:rFonts w:ascii="Arial" w:hAnsi="Arial" w:cs="Arial"/>
                <w:noProof/>
                <w:webHidden/>
                <w:sz w:val="22"/>
                <w:szCs w:val="22"/>
              </w:rPr>
            </w:r>
            <w:r w:rsidR="00D57B49" w:rsidRPr="00D57B49">
              <w:rPr>
                <w:rFonts w:ascii="Arial" w:hAnsi="Arial" w:cs="Arial"/>
                <w:noProof/>
                <w:webHidden/>
                <w:sz w:val="22"/>
                <w:szCs w:val="22"/>
              </w:rPr>
              <w:fldChar w:fldCharType="separate"/>
            </w:r>
            <w:r w:rsidR="00D57B49" w:rsidRPr="00D57B49">
              <w:rPr>
                <w:rFonts w:ascii="Arial" w:hAnsi="Arial" w:cs="Arial"/>
                <w:noProof/>
                <w:webHidden/>
                <w:sz w:val="22"/>
                <w:szCs w:val="22"/>
              </w:rPr>
              <w:t>9</w:t>
            </w:r>
            <w:r w:rsidR="00D57B49" w:rsidRPr="00D57B49">
              <w:rPr>
                <w:rFonts w:ascii="Arial" w:hAnsi="Arial" w:cs="Arial"/>
                <w:noProof/>
                <w:webHidden/>
                <w:sz w:val="22"/>
                <w:szCs w:val="22"/>
              </w:rPr>
              <w:fldChar w:fldCharType="end"/>
            </w:r>
          </w:hyperlink>
        </w:p>
        <w:p w14:paraId="5FE56DFA" w14:textId="670C3579" w:rsidR="00D57B49" w:rsidRPr="00D57B49" w:rsidRDefault="00037490">
          <w:pPr>
            <w:pStyle w:val="TOC1"/>
            <w:tabs>
              <w:tab w:val="left" w:pos="440"/>
              <w:tab w:val="right" w:pos="8828"/>
            </w:tabs>
            <w:rPr>
              <w:rFonts w:ascii="Arial" w:eastAsiaTheme="minorEastAsia" w:hAnsi="Arial" w:cs="Arial"/>
              <w:noProof/>
              <w:sz w:val="22"/>
              <w:szCs w:val="22"/>
              <w:lang w:val="en-US" w:eastAsia="en-US"/>
            </w:rPr>
          </w:pPr>
          <w:hyperlink w:anchor="_Toc42709756" w:history="1">
            <w:r w:rsidR="00D57B49" w:rsidRPr="00D57B49">
              <w:rPr>
                <w:rStyle w:val="Hyperlink"/>
                <w:rFonts w:ascii="Arial" w:hAnsi="Arial" w:cs="Arial"/>
                <w:noProof/>
                <w:sz w:val="22"/>
                <w:szCs w:val="22"/>
              </w:rPr>
              <w:t>B.</w:t>
            </w:r>
            <w:r w:rsidR="00D57B49" w:rsidRPr="00D57B49">
              <w:rPr>
                <w:rFonts w:ascii="Arial" w:eastAsiaTheme="minorEastAsia" w:hAnsi="Arial" w:cs="Arial"/>
                <w:noProof/>
                <w:sz w:val="22"/>
                <w:szCs w:val="22"/>
                <w:lang w:val="en-US" w:eastAsia="en-US"/>
              </w:rPr>
              <w:tab/>
            </w:r>
            <w:r w:rsidR="00D57B49" w:rsidRPr="00D57B49">
              <w:rPr>
                <w:rStyle w:val="Hyperlink"/>
                <w:rFonts w:ascii="Arial" w:hAnsi="Arial" w:cs="Arial"/>
                <w:noProof/>
                <w:sz w:val="22"/>
                <w:szCs w:val="22"/>
              </w:rPr>
              <w:t>Financiamiento de primer piso a través de créditos directos</w:t>
            </w:r>
            <w:r w:rsidR="00D57B49" w:rsidRPr="00D57B49">
              <w:rPr>
                <w:rFonts w:ascii="Arial" w:hAnsi="Arial" w:cs="Arial"/>
                <w:noProof/>
                <w:webHidden/>
                <w:sz w:val="22"/>
                <w:szCs w:val="22"/>
              </w:rPr>
              <w:tab/>
            </w:r>
            <w:r w:rsidR="00D57B49" w:rsidRPr="00D57B49">
              <w:rPr>
                <w:rFonts w:ascii="Arial" w:hAnsi="Arial" w:cs="Arial"/>
                <w:noProof/>
                <w:webHidden/>
                <w:sz w:val="22"/>
                <w:szCs w:val="22"/>
              </w:rPr>
              <w:fldChar w:fldCharType="begin"/>
            </w:r>
            <w:r w:rsidR="00D57B49" w:rsidRPr="00D57B49">
              <w:rPr>
                <w:rFonts w:ascii="Arial" w:hAnsi="Arial" w:cs="Arial"/>
                <w:noProof/>
                <w:webHidden/>
                <w:sz w:val="22"/>
                <w:szCs w:val="22"/>
              </w:rPr>
              <w:instrText xml:space="preserve"> PAGEREF _Toc42709756 \h </w:instrText>
            </w:r>
            <w:r w:rsidR="00D57B49" w:rsidRPr="00D57B49">
              <w:rPr>
                <w:rFonts w:ascii="Arial" w:hAnsi="Arial" w:cs="Arial"/>
                <w:noProof/>
                <w:webHidden/>
                <w:sz w:val="22"/>
                <w:szCs w:val="22"/>
              </w:rPr>
            </w:r>
            <w:r w:rsidR="00D57B49" w:rsidRPr="00D57B49">
              <w:rPr>
                <w:rFonts w:ascii="Arial" w:hAnsi="Arial" w:cs="Arial"/>
                <w:noProof/>
                <w:webHidden/>
                <w:sz w:val="22"/>
                <w:szCs w:val="22"/>
              </w:rPr>
              <w:fldChar w:fldCharType="separate"/>
            </w:r>
            <w:r w:rsidR="00D57B49" w:rsidRPr="00D57B49">
              <w:rPr>
                <w:rFonts w:ascii="Arial" w:hAnsi="Arial" w:cs="Arial"/>
                <w:noProof/>
                <w:webHidden/>
                <w:sz w:val="22"/>
                <w:szCs w:val="22"/>
              </w:rPr>
              <w:t>10</w:t>
            </w:r>
            <w:r w:rsidR="00D57B49" w:rsidRPr="00D57B49">
              <w:rPr>
                <w:rFonts w:ascii="Arial" w:hAnsi="Arial" w:cs="Arial"/>
                <w:noProof/>
                <w:webHidden/>
                <w:sz w:val="22"/>
                <w:szCs w:val="22"/>
              </w:rPr>
              <w:fldChar w:fldCharType="end"/>
            </w:r>
          </w:hyperlink>
        </w:p>
        <w:p w14:paraId="7FB8EC34" w14:textId="36CE885A" w:rsidR="00D57B49" w:rsidRPr="00D57B49" w:rsidRDefault="00037490">
          <w:pPr>
            <w:pStyle w:val="TOC1"/>
            <w:tabs>
              <w:tab w:val="left" w:pos="440"/>
              <w:tab w:val="right" w:pos="8828"/>
            </w:tabs>
            <w:rPr>
              <w:rFonts w:ascii="Arial" w:eastAsiaTheme="minorEastAsia" w:hAnsi="Arial" w:cs="Arial"/>
              <w:noProof/>
              <w:sz w:val="22"/>
              <w:szCs w:val="22"/>
              <w:lang w:val="en-US" w:eastAsia="en-US"/>
            </w:rPr>
          </w:pPr>
          <w:hyperlink w:anchor="_Toc42709757" w:history="1">
            <w:r w:rsidR="00D57B49" w:rsidRPr="00D57B49">
              <w:rPr>
                <w:rStyle w:val="Hyperlink"/>
                <w:rFonts w:ascii="Arial" w:hAnsi="Arial" w:cs="Arial"/>
                <w:noProof/>
                <w:sz w:val="22"/>
                <w:szCs w:val="22"/>
              </w:rPr>
              <w:t>C.</w:t>
            </w:r>
            <w:r w:rsidR="00D57B49" w:rsidRPr="00D57B49">
              <w:rPr>
                <w:rFonts w:ascii="Arial" w:eastAsiaTheme="minorEastAsia" w:hAnsi="Arial" w:cs="Arial"/>
                <w:noProof/>
                <w:sz w:val="22"/>
                <w:szCs w:val="22"/>
                <w:lang w:val="en-US" w:eastAsia="en-US"/>
              </w:rPr>
              <w:tab/>
            </w:r>
            <w:r w:rsidR="00D57B49" w:rsidRPr="00D57B49">
              <w:rPr>
                <w:rStyle w:val="Hyperlink"/>
                <w:rFonts w:ascii="Arial" w:hAnsi="Arial" w:cs="Arial"/>
                <w:noProof/>
                <w:sz w:val="22"/>
                <w:szCs w:val="22"/>
              </w:rPr>
              <w:t>Financiamiento de segundo piso a través de bonificación de tasas</w:t>
            </w:r>
            <w:r w:rsidR="00D57B49" w:rsidRPr="00D57B49">
              <w:rPr>
                <w:rFonts w:ascii="Arial" w:hAnsi="Arial" w:cs="Arial"/>
                <w:noProof/>
                <w:webHidden/>
                <w:sz w:val="22"/>
                <w:szCs w:val="22"/>
              </w:rPr>
              <w:tab/>
            </w:r>
            <w:r w:rsidR="00D57B49" w:rsidRPr="00D57B49">
              <w:rPr>
                <w:rFonts w:ascii="Arial" w:hAnsi="Arial" w:cs="Arial"/>
                <w:noProof/>
                <w:webHidden/>
                <w:sz w:val="22"/>
                <w:szCs w:val="22"/>
              </w:rPr>
              <w:fldChar w:fldCharType="begin"/>
            </w:r>
            <w:r w:rsidR="00D57B49" w:rsidRPr="00D57B49">
              <w:rPr>
                <w:rFonts w:ascii="Arial" w:hAnsi="Arial" w:cs="Arial"/>
                <w:noProof/>
                <w:webHidden/>
                <w:sz w:val="22"/>
                <w:szCs w:val="22"/>
              </w:rPr>
              <w:instrText xml:space="preserve"> PAGEREF _Toc42709757 \h </w:instrText>
            </w:r>
            <w:r w:rsidR="00D57B49" w:rsidRPr="00D57B49">
              <w:rPr>
                <w:rFonts w:ascii="Arial" w:hAnsi="Arial" w:cs="Arial"/>
                <w:noProof/>
                <w:webHidden/>
                <w:sz w:val="22"/>
                <w:szCs w:val="22"/>
              </w:rPr>
            </w:r>
            <w:r w:rsidR="00D57B49" w:rsidRPr="00D57B49">
              <w:rPr>
                <w:rFonts w:ascii="Arial" w:hAnsi="Arial" w:cs="Arial"/>
                <w:noProof/>
                <w:webHidden/>
                <w:sz w:val="22"/>
                <w:szCs w:val="22"/>
              </w:rPr>
              <w:fldChar w:fldCharType="separate"/>
            </w:r>
            <w:r w:rsidR="00D57B49" w:rsidRPr="00D57B49">
              <w:rPr>
                <w:rFonts w:ascii="Arial" w:hAnsi="Arial" w:cs="Arial"/>
                <w:noProof/>
                <w:webHidden/>
                <w:sz w:val="22"/>
                <w:szCs w:val="22"/>
              </w:rPr>
              <w:t>11</w:t>
            </w:r>
            <w:r w:rsidR="00D57B49" w:rsidRPr="00D57B49">
              <w:rPr>
                <w:rFonts w:ascii="Arial" w:hAnsi="Arial" w:cs="Arial"/>
                <w:noProof/>
                <w:webHidden/>
                <w:sz w:val="22"/>
                <w:szCs w:val="22"/>
              </w:rPr>
              <w:fldChar w:fldCharType="end"/>
            </w:r>
          </w:hyperlink>
        </w:p>
        <w:p w14:paraId="744A85AB" w14:textId="1C15FE8D" w:rsidR="00D57B49" w:rsidRPr="00D57B49" w:rsidRDefault="00037490">
          <w:pPr>
            <w:pStyle w:val="TOC1"/>
            <w:tabs>
              <w:tab w:val="left" w:pos="440"/>
              <w:tab w:val="right" w:pos="8828"/>
            </w:tabs>
            <w:rPr>
              <w:rFonts w:ascii="Arial" w:eastAsiaTheme="minorEastAsia" w:hAnsi="Arial" w:cs="Arial"/>
              <w:noProof/>
              <w:sz w:val="22"/>
              <w:szCs w:val="22"/>
              <w:lang w:val="en-US" w:eastAsia="en-US"/>
            </w:rPr>
          </w:pPr>
          <w:hyperlink w:anchor="_Toc42709758" w:history="1">
            <w:r w:rsidR="00D57B49" w:rsidRPr="00D57B49">
              <w:rPr>
                <w:rStyle w:val="Hyperlink"/>
                <w:rFonts w:ascii="Arial" w:hAnsi="Arial" w:cs="Arial"/>
                <w:noProof/>
                <w:sz w:val="22"/>
                <w:szCs w:val="22"/>
              </w:rPr>
              <w:t>8.</w:t>
            </w:r>
            <w:r w:rsidR="00D57B49" w:rsidRPr="00D57B49">
              <w:rPr>
                <w:rFonts w:ascii="Arial" w:eastAsiaTheme="minorEastAsia" w:hAnsi="Arial" w:cs="Arial"/>
                <w:noProof/>
                <w:sz w:val="22"/>
                <w:szCs w:val="22"/>
                <w:lang w:val="en-US" w:eastAsia="en-US"/>
              </w:rPr>
              <w:tab/>
            </w:r>
            <w:r w:rsidR="00D57B49" w:rsidRPr="00D57B49">
              <w:rPr>
                <w:rStyle w:val="Hyperlink"/>
                <w:rFonts w:ascii="Arial" w:hAnsi="Arial" w:cs="Arial"/>
                <w:noProof/>
                <w:sz w:val="22"/>
                <w:szCs w:val="22"/>
              </w:rPr>
              <w:t>FOGAR – Reglamento para la concesión de garantías</w:t>
            </w:r>
            <w:r w:rsidR="00D57B49" w:rsidRPr="00D57B49">
              <w:rPr>
                <w:rFonts w:ascii="Arial" w:hAnsi="Arial" w:cs="Arial"/>
                <w:noProof/>
                <w:webHidden/>
                <w:sz w:val="22"/>
                <w:szCs w:val="22"/>
              </w:rPr>
              <w:tab/>
            </w:r>
            <w:r w:rsidR="00D57B49" w:rsidRPr="00D57B49">
              <w:rPr>
                <w:rFonts w:ascii="Arial" w:hAnsi="Arial" w:cs="Arial"/>
                <w:noProof/>
                <w:webHidden/>
                <w:sz w:val="22"/>
                <w:szCs w:val="22"/>
              </w:rPr>
              <w:fldChar w:fldCharType="begin"/>
            </w:r>
            <w:r w:rsidR="00D57B49" w:rsidRPr="00D57B49">
              <w:rPr>
                <w:rFonts w:ascii="Arial" w:hAnsi="Arial" w:cs="Arial"/>
                <w:noProof/>
                <w:webHidden/>
                <w:sz w:val="22"/>
                <w:szCs w:val="22"/>
              </w:rPr>
              <w:instrText xml:space="preserve"> PAGEREF _Toc42709758 \h </w:instrText>
            </w:r>
            <w:r w:rsidR="00D57B49" w:rsidRPr="00D57B49">
              <w:rPr>
                <w:rFonts w:ascii="Arial" w:hAnsi="Arial" w:cs="Arial"/>
                <w:noProof/>
                <w:webHidden/>
                <w:sz w:val="22"/>
                <w:szCs w:val="22"/>
              </w:rPr>
            </w:r>
            <w:r w:rsidR="00D57B49" w:rsidRPr="00D57B49">
              <w:rPr>
                <w:rFonts w:ascii="Arial" w:hAnsi="Arial" w:cs="Arial"/>
                <w:noProof/>
                <w:webHidden/>
                <w:sz w:val="22"/>
                <w:szCs w:val="22"/>
              </w:rPr>
              <w:fldChar w:fldCharType="separate"/>
            </w:r>
            <w:r w:rsidR="00D57B49" w:rsidRPr="00D57B49">
              <w:rPr>
                <w:rFonts w:ascii="Arial" w:hAnsi="Arial" w:cs="Arial"/>
                <w:noProof/>
                <w:webHidden/>
                <w:sz w:val="22"/>
                <w:szCs w:val="22"/>
              </w:rPr>
              <w:t>12</w:t>
            </w:r>
            <w:r w:rsidR="00D57B49" w:rsidRPr="00D57B49">
              <w:rPr>
                <w:rFonts w:ascii="Arial" w:hAnsi="Arial" w:cs="Arial"/>
                <w:noProof/>
                <w:webHidden/>
                <w:sz w:val="22"/>
                <w:szCs w:val="22"/>
              </w:rPr>
              <w:fldChar w:fldCharType="end"/>
            </w:r>
          </w:hyperlink>
        </w:p>
        <w:p w14:paraId="69F6D7D8" w14:textId="7D1F40BB" w:rsidR="00D57B49" w:rsidRPr="00D57B49" w:rsidRDefault="00037490">
          <w:pPr>
            <w:pStyle w:val="TOC1"/>
            <w:tabs>
              <w:tab w:val="left" w:pos="440"/>
              <w:tab w:val="right" w:pos="8828"/>
            </w:tabs>
            <w:rPr>
              <w:rFonts w:ascii="Arial" w:eastAsiaTheme="minorEastAsia" w:hAnsi="Arial" w:cs="Arial"/>
              <w:noProof/>
              <w:sz w:val="22"/>
              <w:szCs w:val="22"/>
              <w:lang w:val="en-US" w:eastAsia="en-US"/>
            </w:rPr>
          </w:pPr>
          <w:hyperlink w:anchor="_Toc42709759" w:history="1">
            <w:r w:rsidR="00D57B49" w:rsidRPr="00D57B49">
              <w:rPr>
                <w:rStyle w:val="Hyperlink"/>
                <w:rFonts w:ascii="Arial" w:hAnsi="Arial" w:cs="Arial"/>
                <w:noProof/>
                <w:sz w:val="22"/>
                <w:szCs w:val="22"/>
              </w:rPr>
              <w:t>A.</w:t>
            </w:r>
            <w:r w:rsidR="00D57B49" w:rsidRPr="00D57B49">
              <w:rPr>
                <w:rFonts w:ascii="Arial" w:eastAsiaTheme="minorEastAsia" w:hAnsi="Arial" w:cs="Arial"/>
                <w:noProof/>
                <w:sz w:val="22"/>
                <w:szCs w:val="22"/>
                <w:lang w:val="en-US" w:eastAsia="en-US"/>
              </w:rPr>
              <w:tab/>
            </w:r>
            <w:r w:rsidR="00D57B49" w:rsidRPr="00D57B49">
              <w:rPr>
                <w:rStyle w:val="Hyperlink"/>
                <w:rFonts w:ascii="Arial" w:hAnsi="Arial" w:cs="Arial"/>
                <w:noProof/>
                <w:sz w:val="22"/>
                <w:szCs w:val="22"/>
              </w:rPr>
              <w:t>Características de las garantías a ser otorgadas</w:t>
            </w:r>
            <w:r w:rsidR="00D57B49" w:rsidRPr="00D57B49">
              <w:rPr>
                <w:rFonts w:ascii="Arial" w:hAnsi="Arial" w:cs="Arial"/>
                <w:noProof/>
                <w:webHidden/>
                <w:sz w:val="22"/>
                <w:szCs w:val="22"/>
              </w:rPr>
              <w:tab/>
            </w:r>
            <w:r w:rsidR="00D57B49" w:rsidRPr="00D57B49">
              <w:rPr>
                <w:rFonts w:ascii="Arial" w:hAnsi="Arial" w:cs="Arial"/>
                <w:noProof/>
                <w:webHidden/>
                <w:sz w:val="22"/>
                <w:szCs w:val="22"/>
              </w:rPr>
              <w:fldChar w:fldCharType="begin"/>
            </w:r>
            <w:r w:rsidR="00D57B49" w:rsidRPr="00D57B49">
              <w:rPr>
                <w:rFonts w:ascii="Arial" w:hAnsi="Arial" w:cs="Arial"/>
                <w:noProof/>
                <w:webHidden/>
                <w:sz w:val="22"/>
                <w:szCs w:val="22"/>
              </w:rPr>
              <w:instrText xml:space="preserve"> PAGEREF _Toc42709759 \h </w:instrText>
            </w:r>
            <w:r w:rsidR="00D57B49" w:rsidRPr="00D57B49">
              <w:rPr>
                <w:rFonts w:ascii="Arial" w:hAnsi="Arial" w:cs="Arial"/>
                <w:noProof/>
                <w:webHidden/>
                <w:sz w:val="22"/>
                <w:szCs w:val="22"/>
              </w:rPr>
            </w:r>
            <w:r w:rsidR="00D57B49" w:rsidRPr="00D57B49">
              <w:rPr>
                <w:rFonts w:ascii="Arial" w:hAnsi="Arial" w:cs="Arial"/>
                <w:noProof/>
                <w:webHidden/>
                <w:sz w:val="22"/>
                <w:szCs w:val="22"/>
              </w:rPr>
              <w:fldChar w:fldCharType="separate"/>
            </w:r>
            <w:r w:rsidR="00D57B49" w:rsidRPr="00D57B49">
              <w:rPr>
                <w:rFonts w:ascii="Arial" w:hAnsi="Arial" w:cs="Arial"/>
                <w:noProof/>
                <w:webHidden/>
                <w:sz w:val="22"/>
                <w:szCs w:val="22"/>
              </w:rPr>
              <w:t>12</w:t>
            </w:r>
            <w:r w:rsidR="00D57B49" w:rsidRPr="00D57B49">
              <w:rPr>
                <w:rFonts w:ascii="Arial" w:hAnsi="Arial" w:cs="Arial"/>
                <w:noProof/>
                <w:webHidden/>
                <w:sz w:val="22"/>
                <w:szCs w:val="22"/>
              </w:rPr>
              <w:fldChar w:fldCharType="end"/>
            </w:r>
          </w:hyperlink>
        </w:p>
        <w:p w14:paraId="3DC37ADF" w14:textId="46722606" w:rsidR="00D57B49" w:rsidRPr="00D57B49" w:rsidRDefault="00037490">
          <w:pPr>
            <w:pStyle w:val="TOC1"/>
            <w:tabs>
              <w:tab w:val="left" w:pos="440"/>
              <w:tab w:val="right" w:pos="8828"/>
            </w:tabs>
            <w:rPr>
              <w:rFonts w:ascii="Arial" w:eastAsiaTheme="minorEastAsia" w:hAnsi="Arial" w:cs="Arial"/>
              <w:noProof/>
              <w:sz w:val="22"/>
              <w:szCs w:val="22"/>
              <w:lang w:val="en-US" w:eastAsia="en-US"/>
            </w:rPr>
          </w:pPr>
          <w:hyperlink w:anchor="_Toc42709760" w:history="1">
            <w:r w:rsidR="00D57B49" w:rsidRPr="00D57B49">
              <w:rPr>
                <w:rStyle w:val="Hyperlink"/>
                <w:rFonts w:ascii="Arial" w:hAnsi="Arial" w:cs="Arial"/>
                <w:noProof/>
                <w:sz w:val="22"/>
                <w:szCs w:val="22"/>
              </w:rPr>
              <w:t>B.</w:t>
            </w:r>
            <w:r w:rsidR="00D57B49" w:rsidRPr="00D57B49">
              <w:rPr>
                <w:rFonts w:ascii="Arial" w:eastAsiaTheme="minorEastAsia" w:hAnsi="Arial" w:cs="Arial"/>
                <w:noProof/>
                <w:sz w:val="22"/>
                <w:szCs w:val="22"/>
                <w:lang w:val="en-US" w:eastAsia="en-US"/>
              </w:rPr>
              <w:tab/>
            </w:r>
            <w:r w:rsidR="00D57B49" w:rsidRPr="00D57B49">
              <w:rPr>
                <w:rStyle w:val="Hyperlink"/>
                <w:rFonts w:ascii="Arial" w:hAnsi="Arial" w:cs="Arial"/>
                <w:noProof/>
                <w:sz w:val="22"/>
                <w:szCs w:val="22"/>
              </w:rPr>
              <w:t>Instrumentación del convenio</w:t>
            </w:r>
            <w:r w:rsidR="00D57B49" w:rsidRPr="00D57B49">
              <w:rPr>
                <w:rFonts w:ascii="Arial" w:hAnsi="Arial" w:cs="Arial"/>
                <w:noProof/>
                <w:webHidden/>
                <w:sz w:val="22"/>
                <w:szCs w:val="22"/>
              </w:rPr>
              <w:tab/>
            </w:r>
            <w:r w:rsidR="00D57B49" w:rsidRPr="00D57B49">
              <w:rPr>
                <w:rFonts w:ascii="Arial" w:hAnsi="Arial" w:cs="Arial"/>
                <w:noProof/>
                <w:webHidden/>
                <w:sz w:val="22"/>
                <w:szCs w:val="22"/>
              </w:rPr>
              <w:fldChar w:fldCharType="begin"/>
            </w:r>
            <w:r w:rsidR="00D57B49" w:rsidRPr="00D57B49">
              <w:rPr>
                <w:rFonts w:ascii="Arial" w:hAnsi="Arial" w:cs="Arial"/>
                <w:noProof/>
                <w:webHidden/>
                <w:sz w:val="22"/>
                <w:szCs w:val="22"/>
              </w:rPr>
              <w:instrText xml:space="preserve"> PAGEREF _Toc42709760 \h </w:instrText>
            </w:r>
            <w:r w:rsidR="00D57B49" w:rsidRPr="00D57B49">
              <w:rPr>
                <w:rFonts w:ascii="Arial" w:hAnsi="Arial" w:cs="Arial"/>
                <w:noProof/>
                <w:webHidden/>
                <w:sz w:val="22"/>
                <w:szCs w:val="22"/>
              </w:rPr>
            </w:r>
            <w:r w:rsidR="00D57B49" w:rsidRPr="00D57B49">
              <w:rPr>
                <w:rFonts w:ascii="Arial" w:hAnsi="Arial" w:cs="Arial"/>
                <w:noProof/>
                <w:webHidden/>
                <w:sz w:val="22"/>
                <w:szCs w:val="22"/>
              </w:rPr>
              <w:fldChar w:fldCharType="separate"/>
            </w:r>
            <w:r w:rsidR="00D57B49" w:rsidRPr="00D57B49">
              <w:rPr>
                <w:rFonts w:ascii="Arial" w:hAnsi="Arial" w:cs="Arial"/>
                <w:noProof/>
                <w:webHidden/>
                <w:sz w:val="22"/>
                <w:szCs w:val="22"/>
              </w:rPr>
              <w:t>13</w:t>
            </w:r>
            <w:r w:rsidR="00D57B49" w:rsidRPr="00D57B49">
              <w:rPr>
                <w:rFonts w:ascii="Arial" w:hAnsi="Arial" w:cs="Arial"/>
                <w:noProof/>
                <w:webHidden/>
                <w:sz w:val="22"/>
                <w:szCs w:val="22"/>
              </w:rPr>
              <w:fldChar w:fldCharType="end"/>
            </w:r>
          </w:hyperlink>
        </w:p>
        <w:p w14:paraId="0F4D8B17" w14:textId="731579A4" w:rsidR="00D57B49" w:rsidRPr="00D57B49" w:rsidRDefault="00037490">
          <w:pPr>
            <w:pStyle w:val="TOC1"/>
            <w:tabs>
              <w:tab w:val="left" w:pos="440"/>
              <w:tab w:val="right" w:pos="8828"/>
            </w:tabs>
            <w:rPr>
              <w:rFonts w:ascii="Arial" w:eastAsiaTheme="minorEastAsia" w:hAnsi="Arial" w:cs="Arial"/>
              <w:noProof/>
              <w:sz w:val="22"/>
              <w:szCs w:val="22"/>
              <w:lang w:val="en-US" w:eastAsia="en-US"/>
            </w:rPr>
          </w:pPr>
          <w:hyperlink w:anchor="_Toc42709761" w:history="1">
            <w:r w:rsidR="00D57B49" w:rsidRPr="00D57B49">
              <w:rPr>
                <w:rStyle w:val="Hyperlink"/>
                <w:rFonts w:ascii="Arial" w:hAnsi="Arial" w:cs="Arial"/>
                <w:noProof/>
                <w:sz w:val="22"/>
                <w:szCs w:val="22"/>
              </w:rPr>
              <w:t>C.</w:t>
            </w:r>
            <w:r w:rsidR="00D57B49" w:rsidRPr="00D57B49">
              <w:rPr>
                <w:rFonts w:ascii="Arial" w:eastAsiaTheme="minorEastAsia" w:hAnsi="Arial" w:cs="Arial"/>
                <w:noProof/>
                <w:sz w:val="22"/>
                <w:szCs w:val="22"/>
                <w:lang w:val="en-US" w:eastAsia="en-US"/>
              </w:rPr>
              <w:tab/>
            </w:r>
            <w:r w:rsidR="00D57B49" w:rsidRPr="00D57B49">
              <w:rPr>
                <w:rStyle w:val="Hyperlink"/>
                <w:rFonts w:ascii="Arial" w:hAnsi="Arial" w:cs="Arial"/>
                <w:noProof/>
                <w:sz w:val="22"/>
                <w:szCs w:val="22"/>
              </w:rPr>
              <w:t>Operatoria</w:t>
            </w:r>
            <w:r w:rsidR="00D57B49" w:rsidRPr="00D57B49">
              <w:rPr>
                <w:rFonts w:ascii="Arial" w:hAnsi="Arial" w:cs="Arial"/>
                <w:noProof/>
                <w:webHidden/>
                <w:sz w:val="22"/>
                <w:szCs w:val="22"/>
              </w:rPr>
              <w:tab/>
            </w:r>
            <w:r w:rsidR="00D57B49" w:rsidRPr="00D57B49">
              <w:rPr>
                <w:rFonts w:ascii="Arial" w:hAnsi="Arial" w:cs="Arial"/>
                <w:noProof/>
                <w:webHidden/>
                <w:sz w:val="22"/>
                <w:szCs w:val="22"/>
              </w:rPr>
              <w:fldChar w:fldCharType="begin"/>
            </w:r>
            <w:r w:rsidR="00D57B49" w:rsidRPr="00D57B49">
              <w:rPr>
                <w:rFonts w:ascii="Arial" w:hAnsi="Arial" w:cs="Arial"/>
                <w:noProof/>
                <w:webHidden/>
                <w:sz w:val="22"/>
                <w:szCs w:val="22"/>
              </w:rPr>
              <w:instrText xml:space="preserve"> PAGEREF _Toc42709761 \h </w:instrText>
            </w:r>
            <w:r w:rsidR="00D57B49" w:rsidRPr="00D57B49">
              <w:rPr>
                <w:rFonts w:ascii="Arial" w:hAnsi="Arial" w:cs="Arial"/>
                <w:noProof/>
                <w:webHidden/>
                <w:sz w:val="22"/>
                <w:szCs w:val="22"/>
              </w:rPr>
            </w:r>
            <w:r w:rsidR="00D57B49" w:rsidRPr="00D57B49">
              <w:rPr>
                <w:rFonts w:ascii="Arial" w:hAnsi="Arial" w:cs="Arial"/>
                <w:noProof/>
                <w:webHidden/>
                <w:sz w:val="22"/>
                <w:szCs w:val="22"/>
              </w:rPr>
              <w:fldChar w:fldCharType="separate"/>
            </w:r>
            <w:r w:rsidR="00D57B49" w:rsidRPr="00D57B49">
              <w:rPr>
                <w:rFonts w:ascii="Arial" w:hAnsi="Arial" w:cs="Arial"/>
                <w:noProof/>
                <w:webHidden/>
                <w:sz w:val="22"/>
                <w:szCs w:val="22"/>
              </w:rPr>
              <w:t>13</w:t>
            </w:r>
            <w:r w:rsidR="00D57B49" w:rsidRPr="00D57B49">
              <w:rPr>
                <w:rFonts w:ascii="Arial" w:hAnsi="Arial" w:cs="Arial"/>
                <w:noProof/>
                <w:webHidden/>
                <w:sz w:val="22"/>
                <w:szCs w:val="22"/>
              </w:rPr>
              <w:fldChar w:fldCharType="end"/>
            </w:r>
          </w:hyperlink>
        </w:p>
        <w:p w14:paraId="2CDDAF2C" w14:textId="4451E558" w:rsidR="00D57B49" w:rsidRPr="00D57B49" w:rsidRDefault="00037490">
          <w:pPr>
            <w:pStyle w:val="TOC1"/>
            <w:tabs>
              <w:tab w:val="left" w:pos="440"/>
              <w:tab w:val="right" w:pos="8828"/>
            </w:tabs>
            <w:rPr>
              <w:rFonts w:ascii="Arial" w:eastAsiaTheme="minorEastAsia" w:hAnsi="Arial" w:cs="Arial"/>
              <w:noProof/>
              <w:sz w:val="22"/>
              <w:szCs w:val="22"/>
              <w:lang w:val="en-US" w:eastAsia="en-US"/>
            </w:rPr>
          </w:pPr>
          <w:hyperlink w:anchor="_Toc42709762" w:history="1">
            <w:r w:rsidR="00D57B49" w:rsidRPr="00D57B49">
              <w:rPr>
                <w:rStyle w:val="Hyperlink"/>
                <w:rFonts w:ascii="Arial" w:hAnsi="Arial" w:cs="Arial"/>
                <w:noProof/>
                <w:sz w:val="22"/>
                <w:szCs w:val="22"/>
              </w:rPr>
              <w:t>9.</w:t>
            </w:r>
            <w:r w:rsidR="00D57B49" w:rsidRPr="00D57B49">
              <w:rPr>
                <w:rFonts w:ascii="Arial" w:eastAsiaTheme="minorEastAsia" w:hAnsi="Arial" w:cs="Arial"/>
                <w:noProof/>
                <w:sz w:val="22"/>
                <w:szCs w:val="22"/>
                <w:lang w:val="en-US" w:eastAsia="en-US"/>
              </w:rPr>
              <w:tab/>
            </w:r>
            <w:r w:rsidR="00D57B49" w:rsidRPr="00D57B49">
              <w:rPr>
                <w:rStyle w:val="Hyperlink"/>
                <w:rFonts w:ascii="Arial" w:hAnsi="Arial" w:cs="Arial"/>
                <w:noProof/>
                <w:sz w:val="22"/>
                <w:szCs w:val="22"/>
              </w:rPr>
              <w:t>Requerimientos Ambientales y Sociales (“SARAS del Programa”)</w:t>
            </w:r>
            <w:r w:rsidR="00D57B49" w:rsidRPr="00D57B49">
              <w:rPr>
                <w:rFonts w:ascii="Arial" w:hAnsi="Arial" w:cs="Arial"/>
                <w:noProof/>
                <w:webHidden/>
                <w:sz w:val="22"/>
                <w:szCs w:val="22"/>
              </w:rPr>
              <w:tab/>
            </w:r>
            <w:r w:rsidR="00D57B49" w:rsidRPr="00D57B49">
              <w:rPr>
                <w:rFonts w:ascii="Arial" w:hAnsi="Arial" w:cs="Arial"/>
                <w:noProof/>
                <w:webHidden/>
                <w:sz w:val="22"/>
                <w:szCs w:val="22"/>
              </w:rPr>
              <w:fldChar w:fldCharType="begin"/>
            </w:r>
            <w:r w:rsidR="00D57B49" w:rsidRPr="00D57B49">
              <w:rPr>
                <w:rFonts w:ascii="Arial" w:hAnsi="Arial" w:cs="Arial"/>
                <w:noProof/>
                <w:webHidden/>
                <w:sz w:val="22"/>
                <w:szCs w:val="22"/>
              </w:rPr>
              <w:instrText xml:space="preserve"> PAGEREF _Toc42709762 \h </w:instrText>
            </w:r>
            <w:r w:rsidR="00D57B49" w:rsidRPr="00D57B49">
              <w:rPr>
                <w:rFonts w:ascii="Arial" w:hAnsi="Arial" w:cs="Arial"/>
                <w:noProof/>
                <w:webHidden/>
                <w:sz w:val="22"/>
                <w:szCs w:val="22"/>
              </w:rPr>
            </w:r>
            <w:r w:rsidR="00D57B49" w:rsidRPr="00D57B49">
              <w:rPr>
                <w:rFonts w:ascii="Arial" w:hAnsi="Arial" w:cs="Arial"/>
                <w:noProof/>
                <w:webHidden/>
                <w:sz w:val="22"/>
                <w:szCs w:val="22"/>
              </w:rPr>
              <w:fldChar w:fldCharType="separate"/>
            </w:r>
            <w:r w:rsidR="00D57B49" w:rsidRPr="00D57B49">
              <w:rPr>
                <w:rFonts w:ascii="Arial" w:hAnsi="Arial" w:cs="Arial"/>
                <w:noProof/>
                <w:webHidden/>
                <w:sz w:val="22"/>
                <w:szCs w:val="22"/>
              </w:rPr>
              <w:t>16</w:t>
            </w:r>
            <w:r w:rsidR="00D57B49" w:rsidRPr="00D57B49">
              <w:rPr>
                <w:rFonts w:ascii="Arial" w:hAnsi="Arial" w:cs="Arial"/>
                <w:noProof/>
                <w:webHidden/>
                <w:sz w:val="22"/>
                <w:szCs w:val="22"/>
              </w:rPr>
              <w:fldChar w:fldCharType="end"/>
            </w:r>
          </w:hyperlink>
        </w:p>
        <w:p w14:paraId="4F95FF34" w14:textId="0FBD38FC" w:rsidR="00D57B49" w:rsidRPr="00D57B49" w:rsidRDefault="00037490">
          <w:pPr>
            <w:pStyle w:val="TOC1"/>
            <w:tabs>
              <w:tab w:val="left" w:pos="660"/>
              <w:tab w:val="right" w:pos="8828"/>
            </w:tabs>
            <w:rPr>
              <w:rFonts w:ascii="Arial" w:eastAsiaTheme="minorEastAsia" w:hAnsi="Arial" w:cs="Arial"/>
              <w:noProof/>
              <w:sz w:val="22"/>
              <w:szCs w:val="22"/>
              <w:lang w:val="en-US" w:eastAsia="en-US"/>
            </w:rPr>
          </w:pPr>
          <w:hyperlink w:anchor="_Toc42709763" w:history="1">
            <w:r w:rsidR="00D57B49" w:rsidRPr="00D57B49">
              <w:rPr>
                <w:rStyle w:val="Hyperlink"/>
                <w:rFonts w:ascii="Arial" w:hAnsi="Arial" w:cs="Arial"/>
                <w:noProof/>
                <w:sz w:val="22"/>
                <w:szCs w:val="22"/>
              </w:rPr>
              <w:t>10.</w:t>
            </w:r>
            <w:r w:rsidR="00D57B49" w:rsidRPr="00D57B49">
              <w:rPr>
                <w:rFonts w:ascii="Arial" w:eastAsiaTheme="minorEastAsia" w:hAnsi="Arial" w:cs="Arial"/>
                <w:noProof/>
                <w:sz w:val="22"/>
                <w:szCs w:val="22"/>
                <w:lang w:val="en-US" w:eastAsia="en-US"/>
              </w:rPr>
              <w:tab/>
            </w:r>
            <w:r w:rsidR="00D57B49" w:rsidRPr="00D57B49">
              <w:rPr>
                <w:rStyle w:val="Hyperlink"/>
                <w:rFonts w:ascii="Arial" w:hAnsi="Arial" w:cs="Arial"/>
                <w:noProof/>
                <w:sz w:val="22"/>
                <w:szCs w:val="22"/>
              </w:rPr>
              <w:t>Otras condiciones de los subpréstamos y garantías con financiación del Programa</w:t>
            </w:r>
            <w:r w:rsidR="00D57B49" w:rsidRPr="00D57B49">
              <w:rPr>
                <w:rFonts w:ascii="Arial" w:hAnsi="Arial" w:cs="Arial"/>
                <w:noProof/>
                <w:webHidden/>
                <w:sz w:val="22"/>
                <w:szCs w:val="22"/>
              </w:rPr>
              <w:tab/>
            </w:r>
            <w:r w:rsidR="00D57B49" w:rsidRPr="00D57B49">
              <w:rPr>
                <w:rFonts w:ascii="Arial" w:hAnsi="Arial" w:cs="Arial"/>
                <w:noProof/>
                <w:webHidden/>
                <w:sz w:val="22"/>
                <w:szCs w:val="22"/>
              </w:rPr>
              <w:fldChar w:fldCharType="begin"/>
            </w:r>
            <w:r w:rsidR="00D57B49" w:rsidRPr="00D57B49">
              <w:rPr>
                <w:rFonts w:ascii="Arial" w:hAnsi="Arial" w:cs="Arial"/>
                <w:noProof/>
                <w:webHidden/>
                <w:sz w:val="22"/>
                <w:szCs w:val="22"/>
              </w:rPr>
              <w:instrText xml:space="preserve"> PAGEREF _Toc42709763 \h </w:instrText>
            </w:r>
            <w:r w:rsidR="00D57B49" w:rsidRPr="00D57B49">
              <w:rPr>
                <w:rFonts w:ascii="Arial" w:hAnsi="Arial" w:cs="Arial"/>
                <w:noProof/>
                <w:webHidden/>
                <w:sz w:val="22"/>
                <w:szCs w:val="22"/>
              </w:rPr>
            </w:r>
            <w:r w:rsidR="00D57B49" w:rsidRPr="00D57B49">
              <w:rPr>
                <w:rFonts w:ascii="Arial" w:hAnsi="Arial" w:cs="Arial"/>
                <w:noProof/>
                <w:webHidden/>
                <w:sz w:val="22"/>
                <w:szCs w:val="22"/>
              </w:rPr>
              <w:fldChar w:fldCharType="separate"/>
            </w:r>
            <w:r w:rsidR="00D57B49" w:rsidRPr="00D57B49">
              <w:rPr>
                <w:rFonts w:ascii="Arial" w:hAnsi="Arial" w:cs="Arial"/>
                <w:noProof/>
                <w:webHidden/>
                <w:sz w:val="22"/>
                <w:szCs w:val="22"/>
              </w:rPr>
              <w:t>17</w:t>
            </w:r>
            <w:r w:rsidR="00D57B49" w:rsidRPr="00D57B49">
              <w:rPr>
                <w:rFonts w:ascii="Arial" w:hAnsi="Arial" w:cs="Arial"/>
                <w:noProof/>
                <w:webHidden/>
                <w:sz w:val="22"/>
                <w:szCs w:val="22"/>
              </w:rPr>
              <w:fldChar w:fldCharType="end"/>
            </w:r>
          </w:hyperlink>
        </w:p>
        <w:p w14:paraId="486C4E06" w14:textId="3E8C9CEE" w:rsidR="00D57B49" w:rsidRPr="00D57B49" w:rsidRDefault="00037490">
          <w:pPr>
            <w:pStyle w:val="TOC1"/>
            <w:tabs>
              <w:tab w:val="left" w:pos="660"/>
              <w:tab w:val="right" w:pos="8828"/>
            </w:tabs>
            <w:rPr>
              <w:rFonts w:ascii="Arial" w:eastAsiaTheme="minorEastAsia" w:hAnsi="Arial" w:cs="Arial"/>
              <w:noProof/>
              <w:sz w:val="22"/>
              <w:szCs w:val="22"/>
              <w:lang w:val="en-US" w:eastAsia="en-US"/>
            </w:rPr>
          </w:pPr>
          <w:hyperlink w:anchor="_Toc42709764" w:history="1">
            <w:r w:rsidR="00D57B49" w:rsidRPr="00D57B49">
              <w:rPr>
                <w:rStyle w:val="Hyperlink"/>
                <w:rFonts w:ascii="Arial" w:hAnsi="Arial" w:cs="Arial"/>
                <w:noProof/>
                <w:sz w:val="22"/>
                <w:szCs w:val="22"/>
              </w:rPr>
              <w:t>11.</w:t>
            </w:r>
            <w:r w:rsidR="00D57B49" w:rsidRPr="00D57B49">
              <w:rPr>
                <w:rFonts w:ascii="Arial" w:eastAsiaTheme="minorEastAsia" w:hAnsi="Arial" w:cs="Arial"/>
                <w:noProof/>
                <w:sz w:val="22"/>
                <w:szCs w:val="22"/>
                <w:lang w:val="en-US" w:eastAsia="en-US"/>
              </w:rPr>
              <w:tab/>
            </w:r>
            <w:r w:rsidR="00D57B49" w:rsidRPr="00D57B49">
              <w:rPr>
                <w:rStyle w:val="Hyperlink"/>
                <w:rFonts w:ascii="Arial" w:hAnsi="Arial" w:cs="Arial"/>
                <w:noProof/>
                <w:sz w:val="22"/>
                <w:szCs w:val="22"/>
              </w:rPr>
              <w:t>Indicadores de resultados</w:t>
            </w:r>
            <w:r w:rsidR="00D57B49" w:rsidRPr="00D57B49">
              <w:rPr>
                <w:rFonts w:ascii="Arial" w:hAnsi="Arial" w:cs="Arial"/>
                <w:noProof/>
                <w:webHidden/>
                <w:sz w:val="22"/>
                <w:szCs w:val="22"/>
              </w:rPr>
              <w:tab/>
            </w:r>
            <w:r w:rsidR="00D57B49" w:rsidRPr="00D57B49">
              <w:rPr>
                <w:rFonts w:ascii="Arial" w:hAnsi="Arial" w:cs="Arial"/>
                <w:noProof/>
                <w:webHidden/>
                <w:sz w:val="22"/>
                <w:szCs w:val="22"/>
              </w:rPr>
              <w:fldChar w:fldCharType="begin"/>
            </w:r>
            <w:r w:rsidR="00D57B49" w:rsidRPr="00D57B49">
              <w:rPr>
                <w:rFonts w:ascii="Arial" w:hAnsi="Arial" w:cs="Arial"/>
                <w:noProof/>
                <w:webHidden/>
                <w:sz w:val="22"/>
                <w:szCs w:val="22"/>
              </w:rPr>
              <w:instrText xml:space="preserve"> PAGEREF _Toc42709764 \h </w:instrText>
            </w:r>
            <w:r w:rsidR="00D57B49" w:rsidRPr="00D57B49">
              <w:rPr>
                <w:rFonts w:ascii="Arial" w:hAnsi="Arial" w:cs="Arial"/>
                <w:noProof/>
                <w:webHidden/>
                <w:sz w:val="22"/>
                <w:szCs w:val="22"/>
              </w:rPr>
            </w:r>
            <w:r w:rsidR="00D57B49" w:rsidRPr="00D57B49">
              <w:rPr>
                <w:rFonts w:ascii="Arial" w:hAnsi="Arial" w:cs="Arial"/>
                <w:noProof/>
                <w:webHidden/>
                <w:sz w:val="22"/>
                <w:szCs w:val="22"/>
              </w:rPr>
              <w:fldChar w:fldCharType="separate"/>
            </w:r>
            <w:r w:rsidR="00D57B49" w:rsidRPr="00D57B49">
              <w:rPr>
                <w:rFonts w:ascii="Arial" w:hAnsi="Arial" w:cs="Arial"/>
                <w:noProof/>
                <w:webHidden/>
                <w:sz w:val="22"/>
                <w:szCs w:val="22"/>
              </w:rPr>
              <w:t>18</w:t>
            </w:r>
            <w:r w:rsidR="00D57B49" w:rsidRPr="00D57B49">
              <w:rPr>
                <w:rFonts w:ascii="Arial" w:hAnsi="Arial" w:cs="Arial"/>
                <w:noProof/>
                <w:webHidden/>
                <w:sz w:val="22"/>
                <w:szCs w:val="22"/>
              </w:rPr>
              <w:fldChar w:fldCharType="end"/>
            </w:r>
          </w:hyperlink>
        </w:p>
        <w:p w14:paraId="7DFA17BD" w14:textId="1FD1436E" w:rsidR="00D57B49" w:rsidRPr="00D57B49" w:rsidRDefault="00037490">
          <w:pPr>
            <w:pStyle w:val="TOC1"/>
            <w:tabs>
              <w:tab w:val="left" w:pos="660"/>
              <w:tab w:val="right" w:pos="8828"/>
            </w:tabs>
            <w:rPr>
              <w:rFonts w:ascii="Arial" w:eastAsiaTheme="minorEastAsia" w:hAnsi="Arial" w:cs="Arial"/>
              <w:noProof/>
              <w:sz w:val="22"/>
              <w:szCs w:val="22"/>
              <w:lang w:val="en-US" w:eastAsia="en-US"/>
            </w:rPr>
          </w:pPr>
          <w:hyperlink w:anchor="_Toc42709765" w:history="1">
            <w:r w:rsidR="00D57B49" w:rsidRPr="00D57B49">
              <w:rPr>
                <w:rStyle w:val="Hyperlink"/>
                <w:rFonts w:ascii="Arial" w:hAnsi="Arial" w:cs="Arial"/>
                <w:noProof/>
                <w:sz w:val="22"/>
                <w:szCs w:val="22"/>
              </w:rPr>
              <w:t>12.</w:t>
            </w:r>
            <w:r w:rsidR="00D57B49" w:rsidRPr="00D57B49">
              <w:rPr>
                <w:rFonts w:ascii="Arial" w:eastAsiaTheme="minorEastAsia" w:hAnsi="Arial" w:cs="Arial"/>
                <w:noProof/>
                <w:sz w:val="22"/>
                <w:szCs w:val="22"/>
                <w:lang w:val="en-US" w:eastAsia="en-US"/>
              </w:rPr>
              <w:tab/>
            </w:r>
            <w:r w:rsidR="00D57B49" w:rsidRPr="00D57B49">
              <w:rPr>
                <w:rStyle w:val="Hyperlink"/>
                <w:rFonts w:ascii="Arial" w:hAnsi="Arial" w:cs="Arial"/>
                <w:noProof/>
                <w:sz w:val="22"/>
                <w:szCs w:val="22"/>
              </w:rPr>
              <w:t>Reporte y Monitoreo</w:t>
            </w:r>
            <w:r w:rsidR="00D57B49" w:rsidRPr="00D57B49">
              <w:rPr>
                <w:rFonts w:ascii="Arial" w:hAnsi="Arial" w:cs="Arial"/>
                <w:noProof/>
                <w:webHidden/>
                <w:sz w:val="22"/>
                <w:szCs w:val="22"/>
              </w:rPr>
              <w:tab/>
            </w:r>
            <w:r w:rsidR="00D57B49" w:rsidRPr="00D57B49">
              <w:rPr>
                <w:rFonts w:ascii="Arial" w:hAnsi="Arial" w:cs="Arial"/>
                <w:noProof/>
                <w:webHidden/>
                <w:sz w:val="22"/>
                <w:szCs w:val="22"/>
              </w:rPr>
              <w:fldChar w:fldCharType="begin"/>
            </w:r>
            <w:r w:rsidR="00D57B49" w:rsidRPr="00D57B49">
              <w:rPr>
                <w:rFonts w:ascii="Arial" w:hAnsi="Arial" w:cs="Arial"/>
                <w:noProof/>
                <w:webHidden/>
                <w:sz w:val="22"/>
                <w:szCs w:val="22"/>
              </w:rPr>
              <w:instrText xml:space="preserve"> PAGEREF _Toc42709765 \h </w:instrText>
            </w:r>
            <w:r w:rsidR="00D57B49" w:rsidRPr="00D57B49">
              <w:rPr>
                <w:rFonts w:ascii="Arial" w:hAnsi="Arial" w:cs="Arial"/>
                <w:noProof/>
                <w:webHidden/>
                <w:sz w:val="22"/>
                <w:szCs w:val="22"/>
              </w:rPr>
            </w:r>
            <w:r w:rsidR="00D57B49" w:rsidRPr="00D57B49">
              <w:rPr>
                <w:rFonts w:ascii="Arial" w:hAnsi="Arial" w:cs="Arial"/>
                <w:noProof/>
                <w:webHidden/>
                <w:sz w:val="22"/>
                <w:szCs w:val="22"/>
              </w:rPr>
              <w:fldChar w:fldCharType="separate"/>
            </w:r>
            <w:r w:rsidR="00D57B49" w:rsidRPr="00D57B49">
              <w:rPr>
                <w:rFonts w:ascii="Arial" w:hAnsi="Arial" w:cs="Arial"/>
                <w:noProof/>
                <w:webHidden/>
                <w:sz w:val="22"/>
                <w:szCs w:val="22"/>
              </w:rPr>
              <w:t>18</w:t>
            </w:r>
            <w:r w:rsidR="00D57B49" w:rsidRPr="00D57B49">
              <w:rPr>
                <w:rFonts w:ascii="Arial" w:hAnsi="Arial" w:cs="Arial"/>
                <w:noProof/>
                <w:webHidden/>
                <w:sz w:val="22"/>
                <w:szCs w:val="22"/>
              </w:rPr>
              <w:fldChar w:fldCharType="end"/>
            </w:r>
          </w:hyperlink>
        </w:p>
        <w:p w14:paraId="7E6DAC83" w14:textId="505F7A5D" w:rsidR="00D57B49" w:rsidRPr="00D57B49" w:rsidRDefault="00037490">
          <w:pPr>
            <w:pStyle w:val="TOC1"/>
            <w:tabs>
              <w:tab w:val="left" w:pos="660"/>
              <w:tab w:val="right" w:pos="8828"/>
            </w:tabs>
            <w:rPr>
              <w:rFonts w:ascii="Arial" w:eastAsiaTheme="minorEastAsia" w:hAnsi="Arial" w:cs="Arial"/>
              <w:noProof/>
              <w:sz w:val="22"/>
              <w:szCs w:val="22"/>
              <w:lang w:val="en-US" w:eastAsia="en-US"/>
            </w:rPr>
          </w:pPr>
          <w:hyperlink w:anchor="_Toc42709766" w:history="1">
            <w:r w:rsidR="00D57B49" w:rsidRPr="00D57B49">
              <w:rPr>
                <w:rStyle w:val="Hyperlink"/>
                <w:rFonts w:ascii="Arial" w:hAnsi="Arial" w:cs="Arial"/>
                <w:noProof/>
                <w:sz w:val="22"/>
                <w:szCs w:val="22"/>
              </w:rPr>
              <w:t>13.</w:t>
            </w:r>
            <w:r w:rsidR="00D57B49" w:rsidRPr="00D57B49">
              <w:rPr>
                <w:rFonts w:ascii="Arial" w:eastAsiaTheme="minorEastAsia" w:hAnsi="Arial" w:cs="Arial"/>
                <w:noProof/>
                <w:sz w:val="22"/>
                <w:szCs w:val="22"/>
                <w:lang w:val="en-US" w:eastAsia="en-US"/>
              </w:rPr>
              <w:tab/>
            </w:r>
            <w:r w:rsidR="00D57B49" w:rsidRPr="00D57B49">
              <w:rPr>
                <w:rStyle w:val="Hyperlink"/>
                <w:rFonts w:ascii="Arial" w:hAnsi="Arial" w:cs="Arial"/>
                <w:noProof/>
                <w:sz w:val="22"/>
                <w:szCs w:val="22"/>
              </w:rPr>
              <w:t>Acuerdos para la gestión financiera del Programa</w:t>
            </w:r>
            <w:r w:rsidR="00D57B49" w:rsidRPr="00D57B49">
              <w:rPr>
                <w:rFonts w:ascii="Arial" w:hAnsi="Arial" w:cs="Arial"/>
                <w:noProof/>
                <w:webHidden/>
                <w:sz w:val="22"/>
                <w:szCs w:val="22"/>
              </w:rPr>
              <w:tab/>
            </w:r>
            <w:r w:rsidR="00D57B49" w:rsidRPr="00D57B49">
              <w:rPr>
                <w:rFonts w:ascii="Arial" w:hAnsi="Arial" w:cs="Arial"/>
                <w:noProof/>
                <w:webHidden/>
                <w:sz w:val="22"/>
                <w:szCs w:val="22"/>
              </w:rPr>
              <w:fldChar w:fldCharType="begin"/>
            </w:r>
            <w:r w:rsidR="00D57B49" w:rsidRPr="00D57B49">
              <w:rPr>
                <w:rFonts w:ascii="Arial" w:hAnsi="Arial" w:cs="Arial"/>
                <w:noProof/>
                <w:webHidden/>
                <w:sz w:val="22"/>
                <w:szCs w:val="22"/>
              </w:rPr>
              <w:instrText xml:space="preserve"> PAGEREF _Toc42709766 \h </w:instrText>
            </w:r>
            <w:r w:rsidR="00D57B49" w:rsidRPr="00D57B49">
              <w:rPr>
                <w:rFonts w:ascii="Arial" w:hAnsi="Arial" w:cs="Arial"/>
                <w:noProof/>
                <w:webHidden/>
                <w:sz w:val="22"/>
                <w:szCs w:val="22"/>
              </w:rPr>
            </w:r>
            <w:r w:rsidR="00D57B49" w:rsidRPr="00D57B49">
              <w:rPr>
                <w:rFonts w:ascii="Arial" w:hAnsi="Arial" w:cs="Arial"/>
                <w:noProof/>
                <w:webHidden/>
                <w:sz w:val="22"/>
                <w:szCs w:val="22"/>
              </w:rPr>
              <w:fldChar w:fldCharType="separate"/>
            </w:r>
            <w:r w:rsidR="00D57B49" w:rsidRPr="00D57B49">
              <w:rPr>
                <w:rFonts w:ascii="Arial" w:hAnsi="Arial" w:cs="Arial"/>
                <w:noProof/>
                <w:webHidden/>
                <w:sz w:val="22"/>
                <w:szCs w:val="22"/>
              </w:rPr>
              <w:t>19</w:t>
            </w:r>
            <w:r w:rsidR="00D57B49" w:rsidRPr="00D57B49">
              <w:rPr>
                <w:rFonts w:ascii="Arial" w:hAnsi="Arial" w:cs="Arial"/>
                <w:noProof/>
                <w:webHidden/>
                <w:sz w:val="22"/>
                <w:szCs w:val="22"/>
              </w:rPr>
              <w:fldChar w:fldCharType="end"/>
            </w:r>
          </w:hyperlink>
        </w:p>
        <w:p w14:paraId="50800B5C" w14:textId="6512380A" w:rsidR="00D57B49" w:rsidRPr="00D57B49" w:rsidRDefault="00037490">
          <w:pPr>
            <w:pStyle w:val="TOC1"/>
            <w:tabs>
              <w:tab w:val="left" w:pos="660"/>
              <w:tab w:val="right" w:pos="8828"/>
            </w:tabs>
            <w:rPr>
              <w:rFonts w:ascii="Arial" w:eastAsiaTheme="minorEastAsia" w:hAnsi="Arial" w:cs="Arial"/>
              <w:noProof/>
              <w:sz w:val="22"/>
              <w:szCs w:val="22"/>
              <w:lang w:val="en-US" w:eastAsia="en-US"/>
            </w:rPr>
          </w:pPr>
          <w:hyperlink w:anchor="_Toc42709767" w:history="1">
            <w:r w:rsidR="00D57B49" w:rsidRPr="00D57B49">
              <w:rPr>
                <w:rStyle w:val="Hyperlink"/>
                <w:rFonts w:ascii="Arial" w:hAnsi="Arial" w:cs="Arial"/>
                <w:noProof/>
                <w:sz w:val="22"/>
                <w:szCs w:val="22"/>
              </w:rPr>
              <w:t>14.</w:t>
            </w:r>
            <w:r w:rsidR="00D57B49" w:rsidRPr="00D57B49">
              <w:rPr>
                <w:rFonts w:ascii="Arial" w:eastAsiaTheme="minorEastAsia" w:hAnsi="Arial" w:cs="Arial"/>
                <w:noProof/>
                <w:sz w:val="22"/>
                <w:szCs w:val="22"/>
                <w:lang w:val="en-US" w:eastAsia="en-US"/>
              </w:rPr>
              <w:tab/>
            </w:r>
            <w:r w:rsidR="00D57B49" w:rsidRPr="00D57B49">
              <w:rPr>
                <w:rStyle w:val="Hyperlink"/>
                <w:rFonts w:ascii="Arial" w:hAnsi="Arial" w:cs="Arial"/>
                <w:noProof/>
                <w:sz w:val="22"/>
                <w:szCs w:val="22"/>
              </w:rPr>
              <w:t>Modificación de disposiciones legales y del presente RC</w:t>
            </w:r>
            <w:r w:rsidR="00D57B49" w:rsidRPr="00D57B49">
              <w:rPr>
                <w:rFonts w:ascii="Arial" w:hAnsi="Arial" w:cs="Arial"/>
                <w:noProof/>
                <w:webHidden/>
                <w:sz w:val="22"/>
                <w:szCs w:val="22"/>
              </w:rPr>
              <w:tab/>
            </w:r>
            <w:r w:rsidR="00D57B49" w:rsidRPr="00D57B49">
              <w:rPr>
                <w:rFonts w:ascii="Arial" w:hAnsi="Arial" w:cs="Arial"/>
                <w:noProof/>
                <w:webHidden/>
                <w:sz w:val="22"/>
                <w:szCs w:val="22"/>
              </w:rPr>
              <w:fldChar w:fldCharType="begin"/>
            </w:r>
            <w:r w:rsidR="00D57B49" w:rsidRPr="00D57B49">
              <w:rPr>
                <w:rFonts w:ascii="Arial" w:hAnsi="Arial" w:cs="Arial"/>
                <w:noProof/>
                <w:webHidden/>
                <w:sz w:val="22"/>
                <w:szCs w:val="22"/>
              </w:rPr>
              <w:instrText xml:space="preserve"> PAGEREF _Toc42709767 \h </w:instrText>
            </w:r>
            <w:r w:rsidR="00D57B49" w:rsidRPr="00D57B49">
              <w:rPr>
                <w:rFonts w:ascii="Arial" w:hAnsi="Arial" w:cs="Arial"/>
                <w:noProof/>
                <w:webHidden/>
                <w:sz w:val="22"/>
                <w:szCs w:val="22"/>
              </w:rPr>
            </w:r>
            <w:r w:rsidR="00D57B49" w:rsidRPr="00D57B49">
              <w:rPr>
                <w:rFonts w:ascii="Arial" w:hAnsi="Arial" w:cs="Arial"/>
                <w:noProof/>
                <w:webHidden/>
                <w:sz w:val="22"/>
                <w:szCs w:val="22"/>
              </w:rPr>
              <w:fldChar w:fldCharType="separate"/>
            </w:r>
            <w:r w:rsidR="00D57B49" w:rsidRPr="00D57B49">
              <w:rPr>
                <w:rFonts w:ascii="Arial" w:hAnsi="Arial" w:cs="Arial"/>
                <w:noProof/>
                <w:webHidden/>
                <w:sz w:val="22"/>
                <w:szCs w:val="22"/>
              </w:rPr>
              <w:t>21</w:t>
            </w:r>
            <w:r w:rsidR="00D57B49" w:rsidRPr="00D57B49">
              <w:rPr>
                <w:rFonts w:ascii="Arial" w:hAnsi="Arial" w:cs="Arial"/>
                <w:noProof/>
                <w:webHidden/>
                <w:sz w:val="22"/>
                <w:szCs w:val="22"/>
              </w:rPr>
              <w:fldChar w:fldCharType="end"/>
            </w:r>
          </w:hyperlink>
        </w:p>
        <w:p w14:paraId="5B40A64E" w14:textId="435C0B1A" w:rsidR="00D57B49" w:rsidRPr="00D57B49" w:rsidRDefault="00037490">
          <w:pPr>
            <w:pStyle w:val="TOC1"/>
            <w:tabs>
              <w:tab w:val="right" w:pos="8828"/>
            </w:tabs>
            <w:rPr>
              <w:rFonts w:ascii="Arial" w:eastAsiaTheme="minorEastAsia" w:hAnsi="Arial" w:cs="Arial"/>
              <w:noProof/>
              <w:sz w:val="22"/>
              <w:szCs w:val="22"/>
              <w:lang w:val="en-US" w:eastAsia="en-US"/>
            </w:rPr>
          </w:pPr>
          <w:hyperlink w:anchor="_Toc42709768" w:history="1">
            <w:r w:rsidR="00D57B49" w:rsidRPr="00D57B49">
              <w:rPr>
                <w:rStyle w:val="Hyperlink"/>
                <w:rFonts w:ascii="Arial" w:hAnsi="Arial" w:cs="Arial"/>
                <w:noProof/>
                <w:sz w:val="22"/>
                <w:szCs w:val="22"/>
                <w:lang w:val="es-NI"/>
              </w:rPr>
              <w:t>ANEXOS</w:t>
            </w:r>
            <w:r w:rsidR="00D57B49" w:rsidRPr="00D57B49">
              <w:rPr>
                <w:rFonts w:ascii="Arial" w:hAnsi="Arial" w:cs="Arial"/>
                <w:noProof/>
                <w:webHidden/>
                <w:sz w:val="22"/>
                <w:szCs w:val="22"/>
              </w:rPr>
              <w:tab/>
            </w:r>
            <w:r w:rsidR="00D57B49" w:rsidRPr="00D57B49">
              <w:rPr>
                <w:rFonts w:ascii="Arial" w:hAnsi="Arial" w:cs="Arial"/>
                <w:noProof/>
                <w:webHidden/>
                <w:sz w:val="22"/>
                <w:szCs w:val="22"/>
              </w:rPr>
              <w:fldChar w:fldCharType="begin"/>
            </w:r>
            <w:r w:rsidR="00D57B49" w:rsidRPr="00D57B49">
              <w:rPr>
                <w:rFonts w:ascii="Arial" w:hAnsi="Arial" w:cs="Arial"/>
                <w:noProof/>
                <w:webHidden/>
                <w:sz w:val="22"/>
                <w:szCs w:val="22"/>
              </w:rPr>
              <w:instrText xml:space="preserve"> PAGEREF _Toc42709768 \h </w:instrText>
            </w:r>
            <w:r w:rsidR="00D57B49" w:rsidRPr="00D57B49">
              <w:rPr>
                <w:rFonts w:ascii="Arial" w:hAnsi="Arial" w:cs="Arial"/>
                <w:noProof/>
                <w:webHidden/>
                <w:sz w:val="22"/>
                <w:szCs w:val="22"/>
              </w:rPr>
            </w:r>
            <w:r w:rsidR="00D57B49" w:rsidRPr="00D57B49">
              <w:rPr>
                <w:rFonts w:ascii="Arial" w:hAnsi="Arial" w:cs="Arial"/>
                <w:noProof/>
                <w:webHidden/>
                <w:sz w:val="22"/>
                <w:szCs w:val="22"/>
              </w:rPr>
              <w:fldChar w:fldCharType="separate"/>
            </w:r>
            <w:r w:rsidR="00D57B49" w:rsidRPr="00D57B49">
              <w:rPr>
                <w:rFonts w:ascii="Arial" w:hAnsi="Arial" w:cs="Arial"/>
                <w:noProof/>
                <w:webHidden/>
                <w:sz w:val="22"/>
                <w:szCs w:val="22"/>
              </w:rPr>
              <w:t>22</w:t>
            </w:r>
            <w:r w:rsidR="00D57B49" w:rsidRPr="00D57B49">
              <w:rPr>
                <w:rFonts w:ascii="Arial" w:hAnsi="Arial" w:cs="Arial"/>
                <w:noProof/>
                <w:webHidden/>
                <w:sz w:val="22"/>
                <w:szCs w:val="22"/>
              </w:rPr>
              <w:fldChar w:fldCharType="end"/>
            </w:r>
          </w:hyperlink>
        </w:p>
        <w:p w14:paraId="5A38EF07" w14:textId="75582FF4" w:rsidR="00D57B49" w:rsidRPr="00D57B49" w:rsidRDefault="00037490">
          <w:pPr>
            <w:pStyle w:val="TOC2"/>
            <w:rPr>
              <w:rFonts w:ascii="Arial" w:eastAsiaTheme="minorEastAsia" w:hAnsi="Arial" w:cs="Arial"/>
              <w:noProof/>
              <w:sz w:val="22"/>
              <w:szCs w:val="22"/>
              <w:lang w:val="en-US" w:eastAsia="en-US"/>
            </w:rPr>
          </w:pPr>
          <w:hyperlink w:anchor="_Toc42709769" w:history="1">
            <w:r w:rsidR="00D57B49" w:rsidRPr="00D57B49">
              <w:rPr>
                <w:rStyle w:val="Hyperlink"/>
                <w:rFonts w:ascii="Arial" w:hAnsi="Arial" w:cs="Arial"/>
                <w:noProof/>
                <w:sz w:val="22"/>
                <w:szCs w:val="22"/>
                <w:lang w:val="es-419"/>
              </w:rPr>
              <w:t>Anexo 1: Lista de exclusión</w:t>
            </w:r>
            <w:r w:rsidR="00D57B49" w:rsidRPr="00D57B49">
              <w:rPr>
                <w:rFonts w:ascii="Arial" w:hAnsi="Arial" w:cs="Arial"/>
                <w:noProof/>
                <w:webHidden/>
                <w:sz w:val="22"/>
                <w:szCs w:val="22"/>
              </w:rPr>
              <w:tab/>
            </w:r>
            <w:r w:rsidR="00D57B49" w:rsidRPr="00D57B49">
              <w:rPr>
                <w:rFonts w:ascii="Arial" w:hAnsi="Arial" w:cs="Arial"/>
                <w:noProof/>
                <w:webHidden/>
                <w:sz w:val="22"/>
                <w:szCs w:val="22"/>
              </w:rPr>
              <w:fldChar w:fldCharType="begin"/>
            </w:r>
            <w:r w:rsidR="00D57B49" w:rsidRPr="00D57B49">
              <w:rPr>
                <w:rFonts w:ascii="Arial" w:hAnsi="Arial" w:cs="Arial"/>
                <w:noProof/>
                <w:webHidden/>
                <w:sz w:val="22"/>
                <w:szCs w:val="22"/>
              </w:rPr>
              <w:instrText xml:space="preserve"> PAGEREF _Toc42709769 \h </w:instrText>
            </w:r>
            <w:r w:rsidR="00D57B49" w:rsidRPr="00D57B49">
              <w:rPr>
                <w:rFonts w:ascii="Arial" w:hAnsi="Arial" w:cs="Arial"/>
                <w:noProof/>
                <w:webHidden/>
                <w:sz w:val="22"/>
                <w:szCs w:val="22"/>
              </w:rPr>
            </w:r>
            <w:r w:rsidR="00D57B49" w:rsidRPr="00D57B49">
              <w:rPr>
                <w:rFonts w:ascii="Arial" w:hAnsi="Arial" w:cs="Arial"/>
                <w:noProof/>
                <w:webHidden/>
                <w:sz w:val="22"/>
                <w:szCs w:val="22"/>
              </w:rPr>
              <w:fldChar w:fldCharType="separate"/>
            </w:r>
            <w:r w:rsidR="00D57B49" w:rsidRPr="00D57B49">
              <w:rPr>
                <w:rFonts w:ascii="Arial" w:hAnsi="Arial" w:cs="Arial"/>
                <w:noProof/>
                <w:webHidden/>
                <w:sz w:val="22"/>
                <w:szCs w:val="22"/>
              </w:rPr>
              <w:t>23</w:t>
            </w:r>
            <w:r w:rsidR="00D57B49" w:rsidRPr="00D57B49">
              <w:rPr>
                <w:rFonts w:ascii="Arial" w:hAnsi="Arial" w:cs="Arial"/>
                <w:noProof/>
                <w:webHidden/>
                <w:sz w:val="22"/>
                <w:szCs w:val="22"/>
              </w:rPr>
              <w:fldChar w:fldCharType="end"/>
            </w:r>
          </w:hyperlink>
        </w:p>
        <w:p w14:paraId="5536C093" w14:textId="310EC3E4" w:rsidR="00D57B49" w:rsidRPr="00D57B49" w:rsidRDefault="00037490">
          <w:pPr>
            <w:pStyle w:val="TOC2"/>
            <w:rPr>
              <w:rFonts w:ascii="Arial" w:eastAsiaTheme="minorEastAsia" w:hAnsi="Arial" w:cs="Arial"/>
              <w:noProof/>
              <w:sz w:val="22"/>
              <w:szCs w:val="22"/>
              <w:lang w:val="en-US" w:eastAsia="en-US"/>
            </w:rPr>
          </w:pPr>
          <w:hyperlink w:anchor="_Toc42709770" w:history="1">
            <w:r w:rsidR="00D57B49" w:rsidRPr="00D57B49">
              <w:rPr>
                <w:rStyle w:val="Hyperlink"/>
                <w:rFonts w:ascii="Arial" w:hAnsi="Arial" w:cs="Arial"/>
                <w:noProof/>
                <w:sz w:val="22"/>
                <w:szCs w:val="22"/>
                <w:lang w:val="pt-BR"/>
              </w:rPr>
              <w:t xml:space="preserve">Anexo </w:t>
            </w:r>
            <w:r w:rsidR="00D57B49" w:rsidRPr="00D57B49">
              <w:rPr>
                <w:rStyle w:val="Hyperlink"/>
                <w:rFonts w:ascii="Arial" w:hAnsi="Arial" w:cs="Arial"/>
                <w:iCs/>
                <w:noProof/>
                <w:sz w:val="22"/>
                <w:szCs w:val="22"/>
                <w:lang w:val="pt-BR"/>
              </w:rPr>
              <w:t>2</w:t>
            </w:r>
            <w:r w:rsidR="00D57B49" w:rsidRPr="00D57B49">
              <w:rPr>
                <w:rStyle w:val="Hyperlink"/>
                <w:rFonts w:ascii="Arial" w:hAnsi="Arial" w:cs="Arial"/>
                <w:noProof/>
                <w:sz w:val="22"/>
                <w:szCs w:val="22"/>
                <w:lang w:val="pt-BR"/>
              </w:rPr>
              <w:t>: Reporte</w:t>
            </w:r>
            <w:r w:rsidR="00D57B49" w:rsidRPr="00D57B49">
              <w:rPr>
                <w:rStyle w:val="Hyperlink"/>
                <w:rFonts w:ascii="Arial" w:hAnsi="Arial" w:cs="Arial"/>
                <w:iCs/>
                <w:noProof/>
                <w:sz w:val="22"/>
                <w:szCs w:val="22"/>
                <w:lang w:val="pt-BR"/>
              </w:rPr>
              <w:t xml:space="preserve"> de desempeño socioambiental semestral</w:t>
            </w:r>
            <w:r w:rsidR="00D57B49" w:rsidRPr="00D57B49">
              <w:rPr>
                <w:rFonts w:ascii="Arial" w:hAnsi="Arial" w:cs="Arial"/>
                <w:noProof/>
                <w:webHidden/>
                <w:sz w:val="22"/>
                <w:szCs w:val="22"/>
              </w:rPr>
              <w:tab/>
            </w:r>
            <w:r w:rsidR="00D57B49" w:rsidRPr="00D57B49">
              <w:rPr>
                <w:rFonts w:ascii="Arial" w:hAnsi="Arial" w:cs="Arial"/>
                <w:noProof/>
                <w:webHidden/>
                <w:sz w:val="22"/>
                <w:szCs w:val="22"/>
              </w:rPr>
              <w:fldChar w:fldCharType="begin"/>
            </w:r>
            <w:r w:rsidR="00D57B49" w:rsidRPr="00D57B49">
              <w:rPr>
                <w:rFonts w:ascii="Arial" w:hAnsi="Arial" w:cs="Arial"/>
                <w:noProof/>
                <w:webHidden/>
                <w:sz w:val="22"/>
                <w:szCs w:val="22"/>
              </w:rPr>
              <w:instrText xml:space="preserve"> PAGEREF _Toc42709770 \h </w:instrText>
            </w:r>
            <w:r w:rsidR="00D57B49" w:rsidRPr="00D57B49">
              <w:rPr>
                <w:rFonts w:ascii="Arial" w:hAnsi="Arial" w:cs="Arial"/>
                <w:noProof/>
                <w:webHidden/>
                <w:sz w:val="22"/>
                <w:szCs w:val="22"/>
              </w:rPr>
            </w:r>
            <w:r w:rsidR="00D57B49" w:rsidRPr="00D57B49">
              <w:rPr>
                <w:rFonts w:ascii="Arial" w:hAnsi="Arial" w:cs="Arial"/>
                <w:noProof/>
                <w:webHidden/>
                <w:sz w:val="22"/>
                <w:szCs w:val="22"/>
              </w:rPr>
              <w:fldChar w:fldCharType="separate"/>
            </w:r>
            <w:r w:rsidR="00D57B49" w:rsidRPr="00D57B49">
              <w:rPr>
                <w:rFonts w:ascii="Arial" w:hAnsi="Arial" w:cs="Arial"/>
                <w:noProof/>
                <w:webHidden/>
                <w:sz w:val="22"/>
                <w:szCs w:val="22"/>
              </w:rPr>
              <w:t>25</w:t>
            </w:r>
            <w:r w:rsidR="00D57B49" w:rsidRPr="00D57B49">
              <w:rPr>
                <w:rFonts w:ascii="Arial" w:hAnsi="Arial" w:cs="Arial"/>
                <w:noProof/>
                <w:webHidden/>
                <w:sz w:val="22"/>
                <w:szCs w:val="22"/>
              </w:rPr>
              <w:fldChar w:fldCharType="end"/>
            </w:r>
          </w:hyperlink>
        </w:p>
        <w:p w14:paraId="1DEF74EA" w14:textId="3086A9DC" w:rsidR="00726C0B" w:rsidRPr="007160F8" w:rsidRDefault="00BB4E15">
          <w:pPr>
            <w:spacing w:after="120"/>
            <w:rPr>
              <w:rFonts w:ascii="Arial" w:eastAsia="Arial" w:hAnsi="Arial" w:cs="Arial"/>
              <w:sz w:val="22"/>
              <w:szCs w:val="22"/>
            </w:rPr>
          </w:pPr>
          <w:r w:rsidRPr="00D57B49">
            <w:rPr>
              <w:rFonts w:ascii="Arial" w:hAnsi="Arial" w:cs="Arial"/>
              <w:sz w:val="22"/>
              <w:szCs w:val="22"/>
            </w:rPr>
            <w:fldChar w:fldCharType="end"/>
          </w:r>
        </w:p>
      </w:sdtContent>
    </w:sdt>
    <w:p w14:paraId="0664EDBB" w14:textId="77777777" w:rsidR="00726C0B" w:rsidRDefault="00BB4E15">
      <w:pPr>
        <w:spacing w:after="120"/>
        <w:rPr>
          <w:rFonts w:ascii="Arial" w:eastAsia="Arial" w:hAnsi="Arial" w:cs="Arial"/>
          <w:b/>
          <w:smallCaps/>
          <w:sz w:val="22"/>
          <w:szCs w:val="22"/>
        </w:rPr>
      </w:pPr>
      <w:r w:rsidRPr="00BC761E">
        <w:rPr>
          <w:rFonts w:ascii="Arial" w:hAnsi="Arial" w:cs="Arial"/>
          <w:sz w:val="22"/>
          <w:szCs w:val="22"/>
        </w:rPr>
        <w:br w:type="page"/>
      </w:r>
    </w:p>
    <w:p w14:paraId="6900E5AA" w14:textId="77777777" w:rsidR="00726C0B" w:rsidRDefault="00BB4E15">
      <w:pPr>
        <w:jc w:val="center"/>
        <w:rPr>
          <w:rFonts w:ascii="Arial Bold" w:eastAsia="Arial Bold" w:hAnsi="Arial Bold" w:cs="Arial Bold"/>
          <w:b/>
          <w:smallCaps/>
          <w:sz w:val="22"/>
          <w:szCs w:val="22"/>
        </w:rPr>
      </w:pPr>
      <w:r>
        <w:rPr>
          <w:rFonts w:ascii="Arial Bold" w:eastAsia="Arial Bold" w:hAnsi="Arial Bold" w:cs="Arial Bold"/>
          <w:b/>
          <w:smallCaps/>
          <w:sz w:val="22"/>
          <w:szCs w:val="22"/>
        </w:rPr>
        <w:lastRenderedPageBreak/>
        <w:t>PROGRAMA GLOBAL DE CRÉDITO</w:t>
      </w:r>
    </w:p>
    <w:p w14:paraId="62779694" w14:textId="12DA55B2" w:rsidR="00726C0B" w:rsidRDefault="00BB4E15">
      <w:pPr>
        <w:jc w:val="center"/>
        <w:rPr>
          <w:rFonts w:ascii="Arial Bold" w:eastAsia="Arial Bold" w:hAnsi="Arial Bold" w:cs="Arial Bold"/>
          <w:b/>
          <w:smallCaps/>
          <w:sz w:val="22"/>
          <w:szCs w:val="22"/>
        </w:rPr>
      </w:pPr>
      <w:r>
        <w:rPr>
          <w:rFonts w:ascii="Arial Bold" w:eastAsia="Arial Bold" w:hAnsi="Arial Bold" w:cs="Arial Bold"/>
          <w:b/>
          <w:smallCaps/>
          <w:sz w:val="22"/>
          <w:szCs w:val="22"/>
        </w:rPr>
        <w:t>PARA LA RE</w:t>
      </w:r>
      <w:r w:rsidR="000648B5">
        <w:rPr>
          <w:rFonts w:ascii="Arial Bold" w:eastAsia="Arial Bold" w:hAnsi="Arial Bold" w:cs="Arial Bold"/>
          <w:b/>
          <w:smallCaps/>
          <w:sz w:val="22"/>
          <w:szCs w:val="22"/>
        </w:rPr>
        <w:t>ACTIVACIÓN</w:t>
      </w:r>
      <w:r>
        <w:rPr>
          <w:rFonts w:ascii="Arial Bold" w:eastAsia="Arial Bold" w:hAnsi="Arial Bold" w:cs="Arial Bold"/>
          <w:b/>
          <w:smallCaps/>
          <w:sz w:val="22"/>
          <w:szCs w:val="22"/>
        </w:rPr>
        <w:t xml:space="preserve"> DEL SECTOR PRODUCTIVO</w:t>
      </w:r>
    </w:p>
    <w:p w14:paraId="4697EA59" w14:textId="77777777" w:rsidR="00B257D5" w:rsidRDefault="00B257D5" w:rsidP="007160F8">
      <w:pPr>
        <w:keepNext/>
        <w:pBdr>
          <w:top w:val="nil"/>
          <w:left w:val="nil"/>
          <w:bottom w:val="nil"/>
          <w:right w:val="nil"/>
          <w:between w:val="nil"/>
        </w:pBdr>
        <w:spacing w:after="240"/>
        <w:jc w:val="center"/>
        <w:rPr>
          <w:rFonts w:ascii="Arial" w:eastAsia="Arial" w:hAnsi="Arial" w:cs="Arial"/>
          <w:b/>
          <w:smallCaps/>
          <w:color w:val="000000"/>
          <w:sz w:val="22"/>
          <w:szCs w:val="22"/>
        </w:rPr>
      </w:pPr>
    </w:p>
    <w:p w14:paraId="2FBAE3C3" w14:textId="17056F9F" w:rsidR="00726C0B" w:rsidRDefault="00BB4E15" w:rsidP="007160F8">
      <w:pPr>
        <w:keepNext/>
        <w:pBdr>
          <w:top w:val="nil"/>
          <w:left w:val="nil"/>
          <w:bottom w:val="nil"/>
          <w:right w:val="nil"/>
          <w:between w:val="nil"/>
        </w:pBdr>
        <w:spacing w:after="240"/>
        <w:jc w:val="center"/>
        <w:rPr>
          <w:rFonts w:ascii="Arial" w:eastAsia="Arial" w:hAnsi="Arial" w:cs="Arial"/>
          <w:b/>
          <w:smallCaps/>
          <w:color w:val="000000"/>
          <w:sz w:val="22"/>
          <w:szCs w:val="22"/>
        </w:rPr>
      </w:pPr>
      <w:r>
        <w:rPr>
          <w:rFonts w:ascii="Arial" w:eastAsia="Arial" w:hAnsi="Arial" w:cs="Arial"/>
          <w:b/>
          <w:smallCaps/>
          <w:color w:val="000000"/>
          <w:sz w:val="22"/>
          <w:szCs w:val="22"/>
        </w:rPr>
        <w:t>REGLAMENTO DE CRÉDITO</w:t>
      </w:r>
    </w:p>
    <w:p w14:paraId="2FC08B41" w14:textId="77777777" w:rsidR="00726C0B" w:rsidRDefault="00BB4E15">
      <w:pPr>
        <w:pStyle w:val="Heading1"/>
        <w:numPr>
          <w:ilvl w:val="0"/>
          <w:numId w:val="11"/>
        </w:numPr>
        <w:rPr>
          <w:sz w:val="22"/>
          <w:szCs w:val="22"/>
        </w:rPr>
      </w:pPr>
      <w:bookmarkStart w:id="0" w:name="_Toc42709748"/>
      <w:r>
        <w:rPr>
          <w:sz w:val="22"/>
          <w:szCs w:val="22"/>
        </w:rPr>
        <w:t>Introducción</w:t>
      </w:r>
      <w:bookmarkEnd w:id="0"/>
    </w:p>
    <w:p w14:paraId="08AB072C" w14:textId="77777777" w:rsidR="00726C0B" w:rsidRDefault="00726C0B">
      <w:pPr>
        <w:rPr>
          <w:rFonts w:ascii="Arial" w:eastAsia="Arial" w:hAnsi="Arial" w:cs="Arial"/>
          <w:sz w:val="22"/>
          <w:szCs w:val="22"/>
        </w:rPr>
      </w:pPr>
    </w:p>
    <w:p w14:paraId="243ECC32" w14:textId="6AFE704C" w:rsidR="00726C0B" w:rsidRDefault="00BB4E15">
      <w:pPr>
        <w:numPr>
          <w:ilvl w:val="1"/>
          <w:numId w:val="4"/>
        </w:numPr>
        <w:pBdr>
          <w:top w:val="nil"/>
          <w:left w:val="nil"/>
          <w:bottom w:val="nil"/>
          <w:right w:val="nil"/>
          <w:between w:val="nil"/>
        </w:pBdr>
        <w:jc w:val="both"/>
        <w:rPr>
          <w:rFonts w:ascii="Arial" w:eastAsia="Arial" w:hAnsi="Arial" w:cs="Arial"/>
          <w:color w:val="000000"/>
          <w:sz w:val="22"/>
          <w:szCs w:val="22"/>
        </w:rPr>
      </w:pPr>
      <w:bookmarkStart w:id="1" w:name="_30j0zll" w:colFirst="0" w:colLast="0"/>
      <w:bookmarkEnd w:id="1"/>
      <w:r>
        <w:rPr>
          <w:rFonts w:ascii="Arial" w:eastAsia="Arial" w:hAnsi="Arial" w:cs="Arial"/>
          <w:color w:val="000000"/>
          <w:sz w:val="22"/>
          <w:szCs w:val="22"/>
        </w:rPr>
        <w:t xml:space="preserve">Este documento presenta el REGLAMENTO DE CREDITO (RC, El Reglamento) del </w:t>
      </w:r>
      <w:r>
        <w:rPr>
          <w:rFonts w:ascii="Arial" w:eastAsia="Arial" w:hAnsi="Arial" w:cs="Arial"/>
          <w:smallCaps/>
          <w:color w:val="000000"/>
          <w:sz w:val="22"/>
          <w:szCs w:val="22"/>
        </w:rPr>
        <w:t>PROGRAMA GLOBAL</w:t>
      </w:r>
      <w:r w:rsidR="003C6BA6" w:rsidRPr="003C6BA6">
        <w:rPr>
          <w:rFonts w:ascii="Arial" w:eastAsia="Arial" w:hAnsi="Arial" w:cs="Arial"/>
          <w:smallCaps/>
          <w:color w:val="000000"/>
          <w:sz w:val="22"/>
          <w:szCs w:val="22"/>
        </w:rPr>
        <w:t xml:space="preserve"> </w:t>
      </w:r>
      <w:r w:rsidR="003C6BA6">
        <w:rPr>
          <w:rFonts w:ascii="Arial" w:eastAsia="Arial" w:hAnsi="Arial" w:cs="Arial"/>
          <w:smallCaps/>
          <w:color w:val="000000"/>
          <w:sz w:val="22"/>
          <w:szCs w:val="22"/>
        </w:rPr>
        <w:t>DE CRÉDITO</w:t>
      </w:r>
      <w:r>
        <w:rPr>
          <w:rFonts w:ascii="Arial" w:eastAsia="Arial" w:hAnsi="Arial" w:cs="Arial"/>
          <w:smallCaps/>
          <w:color w:val="000000"/>
          <w:sz w:val="22"/>
          <w:szCs w:val="22"/>
        </w:rPr>
        <w:t xml:space="preserve"> PARA LA RE</w:t>
      </w:r>
      <w:r w:rsidR="002F0772">
        <w:rPr>
          <w:rFonts w:ascii="Arial" w:eastAsia="Arial" w:hAnsi="Arial" w:cs="Arial"/>
          <w:smallCaps/>
          <w:color w:val="000000"/>
          <w:sz w:val="22"/>
          <w:szCs w:val="22"/>
        </w:rPr>
        <w:t>ACTIV</w:t>
      </w:r>
      <w:r w:rsidR="00A522FA">
        <w:rPr>
          <w:rFonts w:ascii="Arial" w:eastAsia="Arial" w:hAnsi="Arial" w:cs="Arial"/>
          <w:smallCaps/>
          <w:color w:val="000000"/>
          <w:sz w:val="22"/>
          <w:szCs w:val="22"/>
        </w:rPr>
        <w:t>A</w:t>
      </w:r>
      <w:r>
        <w:rPr>
          <w:rFonts w:ascii="Arial" w:eastAsia="Arial" w:hAnsi="Arial" w:cs="Arial"/>
          <w:smallCaps/>
          <w:color w:val="000000"/>
          <w:sz w:val="22"/>
          <w:szCs w:val="22"/>
        </w:rPr>
        <w:t>CIÓN DEL SECTOR PRODUCTIVO</w:t>
      </w:r>
      <w:r>
        <w:rPr>
          <w:rFonts w:ascii="Arial" w:eastAsia="Arial" w:hAnsi="Arial" w:cs="Arial"/>
          <w:color w:val="000000"/>
          <w:sz w:val="22"/>
          <w:szCs w:val="22"/>
        </w:rPr>
        <w:t xml:space="preserve"> (el programa), entre el Banco Interamericano de Desarrollo (BID, el Banco) y la República Argentina, por un monto total de US$500.000.000, correspondiente a la operación </w:t>
      </w:r>
      <w:r>
        <w:rPr>
          <w:rFonts w:ascii="Arial" w:eastAsia="Arial" w:hAnsi="Arial" w:cs="Arial"/>
          <w:b/>
          <w:color w:val="000000"/>
          <w:sz w:val="22"/>
          <w:szCs w:val="22"/>
        </w:rPr>
        <w:t>AR-L</w:t>
      </w:r>
      <w:r w:rsidR="000421E3">
        <w:rPr>
          <w:rFonts w:ascii="Arial" w:eastAsia="Arial" w:hAnsi="Arial" w:cs="Arial"/>
          <w:b/>
          <w:color w:val="000000"/>
          <w:sz w:val="22"/>
          <w:szCs w:val="22"/>
        </w:rPr>
        <w:t>1328</w:t>
      </w:r>
      <w:r w:rsidR="000421E3">
        <w:rPr>
          <w:rFonts w:ascii="Arial" w:eastAsia="Arial" w:hAnsi="Arial" w:cs="Arial"/>
          <w:color w:val="000000"/>
          <w:sz w:val="22"/>
          <w:szCs w:val="22"/>
        </w:rPr>
        <w:t>.</w:t>
      </w:r>
    </w:p>
    <w:p w14:paraId="182C7042" w14:textId="77777777" w:rsidR="00726C0B" w:rsidRDefault="00726C0B">
      <w:pPr>
        <w:jc w:val="both"/>
        <w:rPr>
          <w:rFonts w:ascii="Arial" w:eastAsia="Arial" w:hAnsi="Arial" w:cs="Arial"/>
          <w:sz w:val="22"/>
          <w:szCs w:val="22"/>
        </w:rPr>
      </w:pPr>
    </w:p>
    <w:p w14:paraId="7BDB6280" w14:textId="630F8EE6" w:rsidR="00726C0B" w:rsidRDefault="00BB4E15">
      <w:pPr>
        <w:numPr>
          <w:ilvl w:val="1"/>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En caso de cualquier inconsistencia o discrepancia entre los términos de este reglamento y del Contrato </w:t>
      </w:r>
      <w:r w:rsidR="001B0655">
        <w:rPr>
          <w:rFonts w:ascii="Arial" w:eastAsia="Arial" w:hAnsi="Arial" w:cs="Arial"/>
          <w:color w:val="000000"/>
          <w:sz w:val="22"/>
          <w:szCs w:val="22"/>
        </w:rPr>
        <w:t>Modificatorio</w:t>
      </w:r>
      <w:r>
        <w:rPr>
          <w:rFonts w:ascii="Arial" w:eastAsia="Arial" w:hAnsi="Arial" w:cs="Arial"/>
          <w:color w:val="000000"/>
          <w:sz w:val="22"/>
          <w:szCs w:val="22"/>
        </w:rPr>
        <w:t xml:space="preserve">, prevalecerá el Contrato </w:t>
      </w:r>
      <w:r w:rsidR="001B0655">
        <w:rPr>
          <w:rFonts w:ascii="Arial" w:eastAsia="Arial" w:hAnsi="Arial" w:cs="Arial"/>
          <w:color w:val="000000"/>
          <w:sz w:val="22"/>
          <w:szCs w:val="22"/>
        </w:rPr>
        <w:t>Modificatorio</w:t>
      </w:r>
      <w:r>
        <w:rPr>
          <w:rFonts w:ascii="Arial" w:eastAsia="Arial" w:hAnsi="Arial" w:cs="Arial"/>
          <w:color w:val="000000"/>
          <w:sz w:val="22"/>
          <w:szCs w:val="22"/>
        </w:rPr>
        <w:t>. El presente reglamento no podrá ser modificado sin el consentimiento previo y por escrito del Jefe de Equipo de la operación. El RC se mantendrá vigente mientras se mantenga vigente el Contrato de Préstamo.</w:t>
      </w:r>
    </w:p>
    <w:p w14:paraId="2A5EB021" w14:textId="77777777" w:rsidR="00726C0B" w:rsidRDefault="00BB4E15">
      <w:pPr>
        <w:pStyle w:val="Heading1"/>
        <w:numPr>
          <w:ilvl w:val="0"/>
          <w:numId w:val="11"/>
        </w:numPr>
        <w:rPr>
          <w:sz w:val="22"/>
          <w:szCs w:val="22"/>
        </w:rPr>
      </w:pPr>
      <w:bookmarkStart w:id="2" w:name="_Toc42709749"/>
      <w:r>
        <w:rPr>
          <w:sz w:val="22"/>
          <w:szCs w:val="22"/>
        </w:rPr>
        <w:t>Definiciones</w:t>
      </w:r>
      <w:bookmarkEnd w:id="2"/>
    </w:p>
    <w:p w14:paraId="0D979D8F" w14:textId="77777777" w:rsidR="00726C0B" w:rsidRDefault="00726C0B">
      <w:pPr>
        <w:rPr>
          <w:rFonts w:ascii="Arial" w:eastAsia="Arial" w:hAnsi="Arial" w:cs="Arial"/>
          <w:sz w:val="22"/>
          <w:szCs w:val="22"/>
        </w:rPr>
      </w:pPr>
    </w:p>
    <w:p w14:paraId="0C8439F0" w14:textId="77777777" w:rsidR="00726C0B" w:rsidRDefault="00BB4E15">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Secretaria de la Pequeña y Mediana Empresa y los Emprendedores (SEPYME):</w:t>
      </w:r>
      <w:r>
        <w:rPr>
          <w:rFonts w:ascii="Arial" w:eastAsia="Arial" w:hAnsi="Arial" w:cs="Arial"/>
          <w:color w:val="000000"/>
          <w:sz w:val="22"/>
          <w:szCs w:val="22"/>
        </w:rPr>
        <w:t xml:space="preserve"> Secretaría del Ministerio de Desarrollo Productivo de Argentina a cargo del diseño y la ejecución de la política y los programas públicos de carácter nacional, orientados al desarrollo y la promoción de la micro, pequeña y mediana empresa (MIPYME).</w:t>
      </w:r>
    </w:p>
    <w:p w14:paraId="47AF6E80" w14:textId="77777777" w:rsidR="00726C0B" w:rsidRDefault="00726C0B">
      <w:pPr>
        <w:pBdr>
          <w:top w:val="nil"/>
          <w:left w:val="nil"/>
          <w:bottom w:val="nil"/>
          <w:right w:val="nil"/>
          <w:between w:val="nil"/>
        </w:pBdr>
        <w:ind w:left="907" w:hanging="720"/>
        <w:jc w:val="both"/>
        <w:rPr>
          <w:rFonts w:ascii="Arial" w:eastAsia="Arial" w:hAnsi="Arial" w:cs="Arial"/>
          <w:color w:val="000000"/>
          <w:sz w:val="22"/>
          <w:szCs w:val="22"/>
        </w:rPr>
      </w:pPr>
    </w:p>
    <w:p w14:paraId="302EF4D3" w14:textId="38C65FF2" w:rsidR="00726C0B" w:rsidRDefault="00BB4E15">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Organismo Ejecutor (OE):</w:t>
      </w:r>
      <w:r>
        <w:rPr>
          <w:rFonts w:ascii="Arial" w:eastAsia="Arial" w:hAnsi="Arial" w:cs="Arial"/>
          <w:color w:val="000000"/>
          <w:sz w:val="22"/>
          <w:szCs w:val="22"/>
        </w:rPr>
        <w:t xml:space="preserve"> El Ministerio de Desarrollo Productivo mediante la SEPYME será el OE del </w:t>
      </w:r>
      <w:r w:rsidR="00BC4A18">
        <w:rPr>
          <w:rFonts w:ascii="Arial" w:eastAsia="Arial" w:hAnsi="Arial" w:cs="Arial"/>
          <w:color w:val="000000"/>
          <w:sz w:val="22"/>
          <w:szCs w:val="22"/>
        </w:rPr>
        <w:t>p</w:t>
      </w:r>
      <w:r>
        <w:rPr>
          <w:rFonts w:ascii="Arial" w:eastAsia="Arial" w:hAnsi="Arial" w:cs="Arial"/>
          <w:color w:val="000000"/>
          <w:sz w:val="22"/>
          <w:szCs w:val="22"/>
        </w:rPr>
        <w:t>rograma y estará a cargo de la ejecución, control y monitoreo de los recursos de la operación.</w:t>
      </w:r>
    </w:p>
    <w:p w14:paraId="147311B4" w14:textId="77777777" w:rsidR="00726C0B" w:rsidRDefault="00726C0B">
      <w:pPr>
        <w:pBdr>
          <w:top w:val="nil"/>
          <w:left w:val="nil"/>
          <w:bottom w:val="nil"/>
          <w:right w:val="nil"/>
          <w:between w:val="nil"/>
        </w:pBdr>
        <w:ind w:left="720"/>
        <w:rPr>
          <w:rFonts w:ascii="Arial" w:eastAsia="Arial" w:hAnsi="Arial" w:cs="Arial"/>
          <w:color w:val="000000"/>
          <w:sz w:val="22"/>
          <w:szCs w:val="22"/>
        </w:rPr>
      </w:pPr>
    </w:p>
    <w:p w14:paraId="1D7AF212" w14:textId="3F0A38F3" w:rsidR="00726C0B" w:rsidRPr="0004394D" w:rsidRDefault="00BB4E15">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Dirección General de Programas y Proyectos Sectoriales y Especiales (DGPPSE</w:t>
      </w:r>
      <w:r w:rsidRPr="0004394D">
        <w:rPr>
          <w:rFonts w:ascii="Arial" w:eastAsia="Arial" w:hAnsi="Arial" w:cs="Arial"/>
          <w:b/>
          <w:color w:val="000000"/>
          <w:sz w:val="22"/>
          <w:szCs w:val="22"/>
        </w:rPr>
        <w:t>):</w:t>
      </w:r>
      <w:r w:rsidRPr="0004394D">
        <w:rPr>
          <w:rFonts w:ascii="Arial" w:eastAsia="Arial" w:hAnsi="Arial" w:cs="Arial"/>
          <w:color w:val="000000"/>
          <w:sz w:val="22"/>
          <w:szCs w:val="22"/>
        </w:rPr>
        <w:t xml:space="preserve"> Instancia del Ministerio de Desarrollo Productivo de Argentina que estará a cargo de la gestión administración y financiera de los recursos del Programa, bajo la coordinación de la SEPYME.</w:t>
      </w:r>
    </w:p>
    <w:p w14:paraId="10A5618D" w14:textId="77777777" w:rsidR="00726C0B" w:rsidRDefault="00726C0B">
      <w:pPr>
        <w:pBdr>
          <w:top w:val="nil"/>
          <w:left w:val="nil"/>
          <w:bottom w:val="nil"/>
          <w:right w:val="nil"/>
          <w:between w:val="nil"/>
        </w:pBdr>
        <w:ind w:left="907" w:hanging="720"/>
        <w:jc w:val="both"/>
        <w:rPr>
          <w:rFonts w:ascii="Arial" w:eastAsia="Arial" w:hAnsi="Arial" w:cs="Arial"/>
          <w:color w:val="000000"/>
          <w:sz w:val="22"/>
          <w:szCs w:val="22"/>
        </w:rPr>
      </w:pPr>
    </w:p>
    <w:p w14:paraId="336DCA33" w14:textId="091CFE8F" w:rsidR="00AC64E4" w:rsidRPr="000658E9" w:rsidRDefault="00AC64E4">
      <w:pPr>
        <w:numPr>
          <w:ilvl w:val="1"/>
          <w:numId w:val="11"/>
        </w:numPr>
        <w:pBdr>
          <w:top w:val="nil"/>
          <w:left w:val="nil"/>
          <w:bottom w:val="nil"/>
          <w:right w:val="nil"/>
          <w:between w:val="nil"/>
        </w:pBdr>
        <w:jc w:val="both"/>
        <w:rPr>
          <w:rFonts w:ascii="Arial" w:eastAsia="Arial" w:hAnsi="Arial" w:cs="Arial"/>
          <w:color w:val="000000"/>
          <w:sz w:val="22"/>
          <w:szCs w:val="22"/>
        </w:rPr>
      </w:pPr>
      <w:r w:rsidRPr="000658E9">
        <w:rPr>
          <w:rFonts w:ascii="Arial" w:eastAsia="Arial" w:hAnsi="Arial" w:cs="Arial"/>
          <w:b/>
          <w:color w:val="000000"/>
          <w:sz w:val="22"/>
          <w:szCs w:val="22"/>
        </w:rPr>
        <w:t>Secretaría de Asu</w:t>
      </w:r>
      <w:r>
        <w:rPr>
          <w:rFonts w:ascii="Arial" w:eastAsia="Arial" w:hAnsi="Arial" w:cs="Arial"/>
          <w:b/>
          <w:bCs/>
          <w:color w:val="000000"/>
          <w:sz w:val="22"/>
          <w:szCs w:val="22"/>
        </w:rPr>
        <w:t>ntos Estratégicos (SAE):</w:t>
      </w:r>
      <w:r>
        <w:rPr>
          <w:rFonts w:ascii="Arial" w:eastAsia="Arial" w:hAnsi="Arial" w:cs="Arial"/>
          <w:color w:val="000000"/>
          <w:sz w:val="22"/>
          <w:szCs w:val="22"/>
        </w:rPr>
        <w:t xml:space="preserve"> Instancia de la Presidencia </w:t>
      </w:r>
      <w:r w:rsidR="00594AAB">
        <w:rPr>
          <w:rFonts w:ascii="Arial" w:eastAsia="Arial" w:hAnsi="Arial" w:cs="Arial"/>
          <w:color w:val="000000"/>
          <w:sz w:val="22"/>
          <w:szCs w:val="22"/>
        </w:rPr>
        <w:t>de la República Argentina que será subejecutor de la evaluación</w:t>
      </w:r>
      <w:r w:rsidR="00A87DC9">
        <w:rPr>
          <w:rFonts w:ascii="Arial" w:eastAsia="Arial" w:hAnsi="Arial" w:cs="Arial"/>
          <w:color w:val="000000"/>
          <w:sz w:val="22"/>
          <w:szCs w:val="22"/>
        </w:rPr>
        <w:t xml:space="preserve"> del Programa.</w:t>
      </w:r>
    </w:p>
    <w:p w14:paraId="15F2CAA4" w14:textId="77777777" w:rsidR="00AC64E4" w:rsidRDefault="00AC64E4" w:rsidP="000658E9">
      <w:pPr>
        <w:pStyle w:val="ListParagraph"/>
        <w:rPr>
          <w:rFonts w:ascii="Arial" w:eastAsia="Arial" w:hAnsi="Arial" w:cs="Arial"/>
          <w:b/>
          <w:color w:val="000000"/>
          <w:sz w:val="22"/>
          <w:szCs w:val="22"/>
        </w:rPr>
      </w:pPr>
    </w:p>
    <w:p w14:paraId="339C1CDD" w14:textId="1FF10B1D" w:rsidR="00726C0B" w:rsidRDefault="00BB4E15">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Fondo Nacional de Desarrollo Productivo (FONDEP):</w:t>
      </w:r>
      <w:r>
        <w:rPr>
          <w:rFonts w:ascii="Arial" w:eastAsia="Arial" w:hAnsi="Arial" w:cs="Arial"/>
          <w:color w:val="000000"/>
          <w:sz w:val="22"/>
          <w:szCs w:val="22"/>
        </w:rPr>
        <w:t xml:space="preserve"> Fondo público en el ámbito del Ministerio de Desarrollo Productivo</w:t>
      </w:r>
      <w:r w:rsidR="006811FF">
        <w:rPr>
          <w:rFonts w:ascii="Arial" w:eastAsia="Arial" w:hAnsi="Arial" w:cs="Arial"/>
          <w:color w:val="000000"/>
          <w:sz w:val="22"/>
          <w:szCs w:val="22"/>
        </w:rPr>
        <w:t xml:space="preserve"> que es </w:t>
      </w:r>
      <w:r>
        <w:rPr>
          <w:rFonts w:ascii="Arial" w:eastAsia="Arial" w:hAnsi="Arial" w:cs="Arial"/>
          <w:color w:val="000000"/>
          <w:sz w:val="22"/>
          <w:szCs w:val="22"/>
        </w:rPr>
        <w:t>gestionado fiduciariamente por BICE</w:t>
      </w:r>
      <w:r w:rsidR="00AF2380">
        <w:rPr>
          <w:rFonts w:ascii="Arial" w:eastAsia="Arial" w:hAnsi="Arial" w:cs="Arial"/>
          <w:color w:val="000000"/>
          <w:sz w:val="22"/>
          <w:szCs w:val="22"/>
        </w:rPr>
        <w:t xml:space="preserve"> Fideicomisos S.A. (BFSA</w:t>
      </w:r>
      <w:r w:rsidR="00AF2380" w:rsidRPr="001069D8">
        <w:rPr>
          <w:rFonts w:ascii="Arial" w:eastAsia="Arial" w:hAnsi="Arial" w:cs="Arial"/>
          <w:color w:val="000000"/>
          <w:sz w:val="22"/>
          <w:szCs w:val="22"/>
          <w:lang w:val="es-419"/>
        </w:rPr>
        <w:t>)</w:t>
      </w:r>
      <w:r w:rsidR="00AF2380">
        <w:rPr>
          <w:rFonts w:ascii="Arial" w:eastAsia="Arial" w:hAnsi="Arial" w:cs="Arial"/>
          <w:color w:val="000000"/>
          <w:sz w:val="22"/>
          <w:szCs w:val="22"/>
          <w:lang w:val="es-419"/>
        </w:rPr>
        <w:t>.</w:t>
      </w:r>
      <w:r w:rsidR="00AF2380" w:rsidRPr="001069D8">
        <w:rPr>
          <w:rFonts w:ascii="Arial" w:eastAsia="Arial" w:hAnsi="Arial" w:cs="Arial"/>
          <w:color w:val="000000"/>
          <w:sz w:val="22"/>
          <w:szCs w:val="22"/>
          <w:lang w:val="es-419"/>
        </w:rPr>
        <w:t xml:space="preserve"> </w:t>
      </w:r>
      <w:r>
        <w:rPr>
          <w:rFonts w:ascii="Arial" w:eastAsia="Arial" w:hAnsi="Arial" w:cs="Arial"/>
          <w:color w:val="000000"/>
          <w:sz w:val="22"/>
          <w:szCs w:val="22"/>
        </w:rPr>
        <w:t xml:space="preserve">Tiene como objeto facilitar el acceso al financiamiento a proyectos que promuevan la inversión en sectores estratégicos, economías regionales y producciones innovadoras, a través de distintos vehículos como préstamos directos, aportes no reembolsables, bonificación de tasas de interés y otros tipos de instrumentos. </w:t>
      </w:r>
    </w:p>
    <w:p w14:paraId="070C1E6F" w14:textId="77777777" w:rsidR="00726C0B" w:rsidRDefault="00726C0B">
      <w:pPr>
        <w:pBdr>
          <w:top w:val="nil"/>
          <w:left w:val="nil"/>
          <w:bottom w:val="nil"/>
          <w:right w:val="nil"/>
          <w:between w:val="nil"/>
        </w:pBdr>
        <w:ind w:left="907" w:hanging="720"/>
        <w:jc w:val="both"/>
        <w:rPr>
          <w:rFonts w:ascii="Arial" w:eastAsia="Arial" w:hAnsi="Arial" w:cs="Arial"/>
          <w:color w:val="000000"/>
          <w:sz w:val="22"/>
          <w:szCs w:val="22"/>
        </w:rPr>
      </w:pPr>
    </w:p>
    <w:p w14:paraId="76F83B1F" w14:textId="7D441DAA" w:rsidR="00726C0B" w:rsidRDefault="00BB4E15">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Fondo de Garantías Argentino (FOGAR):</w:t>
      </w:r>
      <w:r>
        <w:rPr>
          <w:rFonts w:ascii="Arial" w:eastAsia="Arial" w:hAnsi="Arial" w:cs="Arial"/>
          <w:color w:val="000000"/>
          <w:sz w:val="22"/>
          <w:szCs w:val="22"/>
        </w:rPr>
        <w:t xml:space="preserve"> Fondo público en el ámbito del Ministerio de Desarrollo Productivo y gestionado fiduciariamente por el </w:t>
      </w:r>
      <w:r w:rsidR="000446D1">
        <w:rPr>
          <w:rFonts w:ascii="Arial" w:eastAsia="Arial" w:hAnsi="Arial" w:cs="Arial"/>
          <w:color w:val="000000"/>
          <w:sz w:val="22"/>
          <w:szCs w:val="22"/>
        </w:rPr>
        <w:t>BFSA</w:t>
      </w:r>
      <w:r>
        <w:rPr>
          <w:rFonts w:ascii="Arial" w:eastAsia="Arial" w:hAnsi="Arial" w:cs="Arial"/>
          <w:color w:val="000000"/>
          <w:sz w:val="22"/>
          <w:szCs w:val="22"/>
        </w:rPr>
        <w:t xml:space="preserve">. Tiene por objeto </w:t>
      </w:r>
      <w:r w:rsidR="00CB7A8E">
        <w:rPr>
          <w:rFonts w:ascii="Arial" w:eastAsia="Arial" w:hAnsi="Arial" w:cs="Arial"/>
          <w:color w:val="000000"/>
          <w:sz w:val="22"/>
          <w:szCs w:val="22"/>
        </w:rPr>
        <w:t xml:space="preserve">facilitar el </w:t>
      </w:r>
      <w:r>
        <w:rPr>
          <w:rFonts w:ascii="Arial" w:eastAsia="Arial" w:hAnsi="Arial" w:cs="Arial"/>
          <w:color w:val="000000"/>
          <w:sz w:val="22"/>
          <w:szCs w:val="22"/>
        </w:rPr>
        <w:t xml:space="preserve">acceso al crédito mediante el otorgamiento de garantías (Preferidas “A” por el BCRA) parciales o totales, a través de los bancos </w:t>
      </w:r>
      <w:r>
        <w:rPr>
          <w:rFonts w:ascii="Arial" w:eastAsia="Arial" w:hAnsi="Arial" w:cs="Arial"/>
          <w:color w:val="000000"/>
          <w:sz w:val="22"/>
          <w:szCs w:val="22"/>
        </w:rPr>
        <w:lastRenderedPageBreak/>
        <w:t>y sociedades de garantía recíprocas con los que opera. La política de inversiones sigue los lineamientos de la normativa del Banco Central de la República Argentina aplicable a los “Fondos de Garantía de Carácter Público”.</w:t>
      </w:r>
    </w:p>
    <w:p w14:paraId="2C011A4F" w14:textId="77777777" w:rsidR="00726C0B" w:rsidRDefault="00726C0B">
      <w:pPr>
        <w:pBdr>
          <w:top w:val="nil"/>
          <w:left w:val="nil"/>
          <w:bottom w:val="nil"/>
          <w:right w:val="nil"/>
          <w:between w:val="nil"/>
        </w:pBdr>
        <w:ind w:left="792" w:hanging="720"/>
        <w:jc w:val="both"/>
        <w:rPr>
          <w:rFonts w:ascii="Arial" w:eastAsia="Arial" w:hAnsi="Arial" w:cs="Arial"/>
          <w:color w:val="000000"/>
          <w:sz w:val="22"/>
          <w:szCs w:val="22"/>
        </w:rPr>
      </w:pPr>
    </w:p>
    <w:p w14:paraId="415B20E4" w14:textId="6DA916E4" w:rsidR="00726C0B" w:rsidRPr="008D51C2" w:rsidRDefault="00BB4E15">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Banco de Inversión y Comercio Exterior (BICE):</w:t>
      </w:r>
      <w:r>
        <w:rPr>
          <w:rFonts w:ascii="Arial" w:eastAsia="Arial" w:hAnsi="Arial" w:cs="Arial"/>
          <w:color w:val="000000"/>
          <w:sz w:val="22"/>
          <w:szCs w:val="22"/>
        </w:rPr>
        <w:t xml:space="preserve"> Fundado en 1992, </w:t>
      </w:r>
      <w:r w:rsidR="000F2A29">
        <w:rPr>
          <w:rFonts w:ascii="Arial" w:eastAsia="Arial" w:hAnsi="Arial" w:cs="Arial"/>
          <w:color w:val="000000"/>
          <w:sz w:val="22"/>
          <w:szCs w:val="22"/>
        </w:rPr>
        <w:t>Unidad Banco del Grupo BICE</w:t>
      </w:r>
      <w:r w:rsidR="00D32CED">
        <w:rPr>
          <w:rFonts w:ascii="Arial" w:eastAsia="Arial" w:hAnsi="Arial" w:cs="Arial"/>
          <w:color w:val="000000"/>
          <w:sz w:val="22"/>
          <w:szCs w:val="22"/>
        </w:rPr>
        <w:t xml:space="preserve">. Tradicionalmente </w:t>
      </w:r>
      <w:r>
        <w:rPr>
          <w:rFonts w:ascii="Arial" w:eastAsia="Arial" w:hAnsi="Arial" w:cs="Arial"/>
          <w:color w:val="000000"/>
          <w:sz w:val="22"/>
          <w:szCs w:val="22"/>
        </w:rPr>
        <w:t xml:space="preserve">se ha enfocado en la promoción de inversiones y de comercio exterior. Cuenta con amplia experiencia en el financiamiento de MIPYME mediante programas de primer piso, de segundo piso y de fideicomisos. Los préstamos de BICE alcanzan a todas las economías regionales del país. </w:t>
      </w:r>
    </w:p>
    <w:p w14:paraId="34FBF748" w14:textId="77777777" w:rsidR="001C26F6" w:rsidRDefault="001C26F6" w:rsidP="004A26D9">
      <w:pPr>
        <w:pStyle w:val="ListParagraph"/>
        <w:rPr>
          <w:rFonts w:ascii="Arial" w:eastAsia="Arial" w:hAnsi="Arial" w:cs="Arial"/>
          <w:color w:val="000000"/>
        </w:rPr>
      </w:pPr>
    </w:p>
    <w:p w14:paraId="1B9B6EF2" w14:textId="557A9D16" w:rsidR="001C26F6" w:rsidRPr="004A26D9" w:rsidRDefault="0046307B">
      <w:pPr>
        <w:numPr>
          <w:ilvl w:val="1"/>
          <w:numId w:val="11"/>
        </w:numPr>
        <w:pBdr>
          <w:top w:val="nil"/>
          <w:left w:val="nil"/>
          <w:bottom w:val="nil"/>
          <w:right w:val="nil"/>
          <w:between w:val="nil"/>
        </w:pBdr>
        <w:jc w:val="both"/>
        <w:rPr>
          <w:rFonts w:ascii="Arial" w:eastAsia="Arial" w:hAnsi="Arial" w:cs="Arial"/>
          <w:color w:val="000000"/>
          <w:sz w:val="22"/>
          <w:szCs w:val="22"/>
        </w:rPr>
      </w:pPr>
      <w:r w:rsidRPr="004A26D9">
        <w:rPr>
          <w:rFonts w:ascii="Arial" w:eastAsia="Arial" w:hAnsi="Arial" w:cs="Arial"/>
          <w:b/>
          <w:color w:val="000000"/>
          <w:sz w:val="22"/>
          <w:szCs w:val="22"/>
        </w:rPr>
        <w:t xml:space="preserve">BICE </w:t>
      </w:r>
      <w:r w:rsidRPr="004A26D9">
        <w:rPr>
          <w:rFonts w:ascii="Arial" w:eastAsia="Arial" w:hAnsi="Arial" w:cs="Arial"/>
          <w:b/>
          <w:bCs/>
          <w:color w:val="000000"/>
          <w:sz w:val="22"/>
          <w:szCs w:val="22"/>
        </w:rPr>
        <w:t>Fideicomiso</w:t>
      </w:r>
      <w:r w:rsidR="00FA1FA1">
        <w:rPr>
          <w:rFonts w:ascii="Arial" w:eastAsia="Arial" w:hAnsi="Arial" w:cs="Arial"/>
          <w:b/>
          <w:bCs/>
          <w:color w:val="000000"/>
          <w:sz w:val="22"/>
          <w:szCs w:val="22"/>
        </w:rPr>
        <w:t>s</w:t>
      </w:r>
      <w:r w:rsidRPr="004A26D9">
        <w:rPr>
          <w:rFonts w:ascii="Arial" w:eastAsia="Arial" w:hAnsi="Arial" w:cs="Arial"/>
          <w:b/>
          <w:color w:val="000000"/>
          <w:sz w:val="22"/>
          <w:szCs w:val="22"/>
        </w:rPr>
        <w:t xml:space="preserve"> S</w:t>
      </w:r>
      <w:r w:rsidR="00301895">
        <w:rPr>
          <w:rFonts w:ascii="Arial" w:eastAsia="Arial" w:hAnsi="Arial" w:cs="Arial"/>
          <w:b/>
          <w:bCs/>
          <w:color w:val="000000"/>
          <w:sz w:val="22"/>
          <w:szCs w:val="22"/>
        </w:rPr>
        <w:t>.</w:t>
      </w:r>
      <w:r w:rsidRPr="004A26D9">
        <w:rPr>
          <w:rFonts w:ascii="Arial" w:eastAsia="Arial" w:hAnsi="Arial" w:cs="Arial"/>
          <w:b/>
          <w:color w:val="000000"/>
          <w:sz w:val="22"/>
          <w:szCs w:val="22"/>
        </w:rPr>
        <w:t>A</w:t>
      </w:r>
      <w:r w:rsidR="00301895">
        <w:rPr>
          <w:rFonts w:ascii="Arial" w:eastAsia="Arial" w:hAnsi="Arial" w:cs="Arial"/>
          <w:b/>
          <w:bCs/>
          <w:color w:val="000000"/>
          <w:sz w:val="22"/>
          <w:szCs w:val="22"/>
        </w:rPr>
        <w:t>.</w:t>
      </w:r>
      <w:r w:rsidR="000A4AC8">
        <w:rPr>
          <w:rFonts w:ascii="Arial" w:eastAsia="Arial" w:hAnsi="Arial" w:cs="Arial"/>
          <w:b/>
          <w:bCs/>
          <w:color w:val="000000"/>
          <w:sz w:val="22"/>
          <w:szCs w:val="22"/>
        </w:rPr>
        <w:t xml:space="preserve"> (BFSA)</w:t>
      </w:r>
      <w:r w:rsidR="00301895">
        <w:rPr>
          <w:rFonts w:ascii="Arial" w:eastAsia="Arial" w:hAnsi="Arial" w:cs="Arial"/>
          <w:b/>
          <w:bCs/>
          <w:color w:val="000000"/>
          <w:sz w:val="22"/>
          <w:szCs w:val="22"/>
        </w:rPr>
        <w:t>:</w:t>
      </w:r>
      <w:r w:rsidRPr="004A26D9">
        <w:rPr>
          <w:rFonts w:ascii="Arial" w:eastAsia="Arial" w:hAnsi="Arial" w:cs="Arial"/>
          <w:color w:val="000000"/>
          <w:sz w:val="22"/>
          <w:szCs w:val="22"/>
        </w:rPr>
        <w:t xml:space="preserve"> </w:t>
      </w:r>
      <w:r w:rsidR="006C7C82">
        <w:rPr>
          <w:rFonts w:ascii="Arial" w:eastAsia="Arial" w:hAnsi="Arial" w:cs="Arial"/>
          <w:color w:val="000000"/>
          <w:sz w:val="22"/>
          <w:szCs w:val="22"/>
        </w:rPr>
        <w:t>Unidad Fideicomisos</w:t>
      </w:r>
      <w:r w:rsidR="006C7C82" w:rsidRPr="004A26D9" w:rsidDel="006C7C82">
        <w:rPr>
          <w:rFonts w:ascii="Arial" w:eastAsia="Arial" w:hAnsi="Arial" w:cs="Arial"/>
          <w:color w:val="000000"/>
          <w:sz w:val="22"/>
          <w:szCs w:val="22"/>
        </w:rPr>
        <w:t xml:space="preserve"> </w:t>
      </w:r>
      <w:r w:rsidR="00545C67" w:rsidRPr="004A26D9">
        <w:rPr>
          <w:rFonts w:ascii="Arial" w:eastAsia="Arial" w:hAnsi="Arial" w:cs="Arial"/>
          <w:color w:val="000000"/>
          <w:sz w:val="22"/>
          <w:szCs w:val="22"/>
        </w:rPr>
        <w:t>del</w:t>
      </w:r>
      <w:r w:rsidR="006C7C82">
        <w:rPr>
          <w:rFonts w:ascii="Arial" w:eastAsia="Arial" w:hAnsi="Arial" w:cs="Arial"/>
          <w:color w:val="000000"/>
          <w:sz w:val="22"/>
          <w:szCs w:val="22"/>
        </w:rPr>
        <w:t xml:space="preserve"> </w:t>
      </w:r>
      <w:r w:rsidR="000446D1">
        <w:rPr>
          <w:rFonts w:ascii="Arial" w:eastAsia="Arial" w:hAnsi="Arial" w:cs="Arial"/>
          <w:color w:val="000000"/>
          <w:sz w:val="22"/>
          <w:szCs w:val="22"/>
        </w:rPr>
        <w:t xml:space="preserve">Grupo </w:t>
      </w:r>
      <w:r w:rsidR="00545C67" w:rsidRPr="004A26D9">
        <w:rPr>
          <w:rFonts w:ascii="Arial" w:eastAsia="Arial" w:hAnsi="Arial" w:cs="Arial"/>
          <w:color w:val="000000"/>
          <w:sz w:val="22"/>
          <w:szCs w:val="22"/>
        </w:rPr>
        <w:t>BICE</w:t>
      </w:r>
      <w:r w:rsidR="00116CE7" w:rsidRPr="004A26D9">
        <w:rPr>
          <w:rFonts w:ascii="Arial" w:eastAsia="Arial" w:hAnsi="Arial" w:cs="Arial"/>
          <w:color w:val="000000"/>
          <w:sz w:val="22"/>
          <w:szCs w:val="22"/>
        </w:rPr>
        <w:t xml:space="preserve">. </w:t>
      </w:r>
      <w:r w:rsidR="006C7C82">
        <w:rPr>
          <w:rFonts w:ascii="Arial" w:eastAsia="Arial" w:hAnsi="Arial" w:cs="Arial"/>
          <w:color w:val="000000"/>
          <w:sz w:val="22"/>
          <w:szCs w:val="22"/>
        </w:rPr>
        <w:t>Se constituye como fiduciario de contratos de fideicomisos además de administrador de fideicomisos</w:t>
      </w:r>
      <w:r w:rsidR="000F2A29">
        <w:rPr>
          <w:rFonts w:ascii="Arial" w:eastAsia="Arial" w:hAnsi="Arial" w:cs="Arial"/>
          <w:color w:val="000000"/>
          <w:sz w:val="22"/>
          <w:szCs w:val="22"/>
        </w:rPr>
        <w:t>.</w:t>
      </w:r>
      <w:r w:rsidR="006C7C82">
        <w:rPr>
          <w:rFonts w:ascii="Arial" w:eastAsia="Arial" w:hAnsi="Arial" w:cs="Arial"/>
          <w:color w:val="000000"/>
          <w:sz w:val="22"/>
          <w:szCs w:val="22"/>
        </w:rPr>
        <w:t xml:space="preserve"> Dentro de los fideicomisos más representativos de la cartera, se cuenta con el FONDEP y el FOGAR.</w:t>
      </w:r>
      <w:r w:rsidR="000F2A29">
        <w:rPr>
          <w:rFonts w:ascii="Arial" w:eastAsia="Arial" w:hAnsi="Arial" w:cs="Arial"/>
          <w:color w:val="000000"/>
          <w:sz w:val="22"/>
          <w:szCs w:val="22"/>
        </w:rPr>
        <w:t xml:space="preserve"> </w:t>
      </w:r>
      <w:r w:rsidR="007C59D2" w:rsidRPr="004A26D9">
        <w:rPr>
          <w:rFonts w:ascii="Arial" w:eastAsia="Arial" w:hAnsi="Arial" w:cs="Arial"/>
          <w:color w:val="000000"/>
          <w:sz w:val="22"/>
          <w:szCs w:val="22"/>
        </w:rPr>
        <w:t>A fines de este reglament</w:t>
      </w:r>
      <w:r w:rsidR="004A26D9">
        <w:rPr>
          <w:rFonts w:ascii="Arial" w:eastAsia="Arial" w:hAnsi="Arial" w:cs="Arial"/>
          <w:color w:val="000000"/>
          <w:sz w:val="22"/>
          <w:szCs w:val="22"/>
        </w:rPr>
        <w:t>o</w:t>
      </w:r>
      <w:r w:rsidR="007C59D2" w:rsidRPr="004A26D9">
        <w:rPr>
          <w:rFonts w:ascii="Arial" w:eastAsia="Arial" w:hAnsi="Arial" w:cs="Arial"/>
          <w:color w:val="000000"/>
          <w:sz w:val="22"/>
          <w:szCs w:val="22"/>
        </w:rPr>
        <w:t xml:space="preserve"> se utilizará </w:t>
      </w:r>
      <w:r w:rsidR="00BE2973">
        <w:rPr>
          <w:rFonts w:ascii="Arial" w:eastAsia="Arial" w:hAnsi="Arial" w:cs="Arial"/>
          <w:color w:val="000000"/>
          <w:sz w:val="22"/>
          <w:szCs w:val="22"/>
        </w:rPr>
        <w:t xml:space="preserve">BFSA </w:t>
      </w:r>
      <w:r w:rsidR="00775948" w:rsidRPr="004A26D9">
        <w:rPr>
          <w:rFonts w:ascii="Arial" w:eastAsia="Arial" w:hAnsi="Arial" w:cs="Arial"/>
          <w:color w:val="000000"/>
          <w:sz w:val="22"/>
          <w:szCs w:val="22"/>
        </w:rPr>
        <w:t xml:space="preserve">o Fiduciario </w:t>
      </w:r>
      <w:r w:rsidR="007C59D2" w:rsidRPr="004A26D9">
        <w:rPr>
          <w:rFonts w:ascii="Arial" w:eastAsia="Arial" w:hAnsi="Arial" w:cs="Arial"/>
          <w:color w:val="000000"/>
          <w:sz w:val="22"/>
          <w:szCs w:val="22"/>
        </w:rPr>
        <w:t xml:space="preserve">para referirnos al </w:t>
      </w:r>
      <w:r w:rsidR="006A481B" w:rsidRPr="004A26D9">
        <w:rPr>
          <w:rFonts w:ascii="Arial" w:eastAsia="Arial" w:hAnsi="Arial" w:cs="Arial"/>
          <w:color w:val="000000"/>
          <w:sz w:val="22"/>
          <w:szCs w:val="22"/>
        </w:rPr>
        <w:t>BICE Fideicomiso</w:t>
      </w:r>
      <w:r w:rsidR="00BD14BE">
        <w:rPr>
          <w:rFonts w:ascii="Arial" w:eastAsia="Arial" w:hAnsi="Arial" w:cs="Arial"/>
          <w:color w:val="000000"/>
          <w:sz w:val="22"/>
          <w:szCs w:val="22"/>
        </w:rPr>
        <w:t>s</w:t>
      </w:r>
      <w:r w:rsidR="006A481B" w:rsidRPr="004A26D9">
        <w:rPr>
          <w:rFonts w:ascii="Arial" w:eastAsia="Arial" w:hAnsi="Arial" w:cs="Arial"/>
          <w:color w:val="000000"/>
          <w:sz w:val="22"/>
          <w:szCs w:val="22"/>
        </w:rPr>
        <w:t xml:space="preserve"> S</w:t>
      </w:r>
      <w:r w:rsidR="000F2A29">
        <w:rPr>
          <w:rFonts w:ascii="Arial" w:eastAsia="Arial" w:hAnsi="Arial" w:cs="Arial"/>
          <w:color w:val="000000"/>
          <w:sz w:val="22"/>
          <w:szCs w:val="22"/>
        </w:rPr>
        <w:t>.</w:t>
      </w:r>
      <w:r w:rsidR="006A481B" w:rsidRPr="004A26D9">
        <w:rPr>
          <w:rFonts w:ascii="Arial" w:eastAsia="Arial" w:hAnsi="Arial" w:cs="Arial"/>
          <w:color w:val="000000"/>
          <w:sz w:val="22"/>
          <w:szCs w:val="22"/>
        </w:rPr>
        <w:t xml:space="preserve">A. </w:t>
      </w:r>
      <w:r w:rsidR="007C59D2" w:rsidRPr="004A26D9">
        <w:rPr>
          <w:rFonts w:ascii="Arial" w:eastAsia="Arial" w:hAnsi="Arial" w:cs="Arial"/>
          <w:color w:val="000000"/>
          <w:sz w:val="22"/>
          <w:szCs w:val="22"/>
        </w:rPr>
        <w:t xml:space="preserve"> </w:t>
      </w:r>
    </w:p>
    <w:p w14:paraId="300456A4" w14:textId="77777777" w:rsidR="0061027D" w:rsidRPr="00DC7DD3" w:rsidRDefault="0061027D" w:rsidP="00DC7DD3">
      <w:pPr>
        <w:pStyle w:val="ListParagraph"/>
        <w:rPr>
          <w:rFonts w:ascii="Arial" w:eastAsia="Arial" w:hAnsi="Arial" w:cs="Arial"/>
          <w:color w:val="000000"/>
          <w:sz w:val="22"/>
          <w:szCs w:val="22"/>
        </w:rPr>
      </w:pPr>
    </w:p>
    <w:p w14:paraId="39132F24" w14:textId="73FF7173" w:rsidR="0061027D" w:rsidRPr="00DC7DD3" w:rsidRDefault="0061027D">
      <w:pPr>
        <w:numPr>
          <w:ilvl w:val="1"/>
          <w:numId w:val="11"/>
        </w:numPr>
        <w:pBdr>
          <w:top w:val="nil"/>
          <w:left w:val="nil"/>
          <w:bottom w:val="nil"/>
          <w:right w:val="nil"/>
          <w:between w:val="nil"/>
        </w:pBdr>
        <w:jc w:val="both"/>
        <w:rPr>
          <w:rFonts w:ascii="Arial" w:eastAsia="Arial" w:hAnsi="Arial" w:cs="Arial"/>
          <w:color w:val="000000"/>
          <w:sz w:val="22"/>
          <w:szCs w:val="22"/>
        </w:rPr>
      </w:pPr>
      <w:r w:rsidRPr="1024079A">
        <w:rPr>
          <w:rFonts w:ascii="Arial" w:eastAsia="Arial" w:hAnsi="Arial" w:cs="Arial"/>
          <w:b/>
          <w:color w:val="000000" w:themeColor="text1"/>
          <w:sz w:val="22"/>
          <w:szCs w:val="22"/>
        </w:rPr>
        <w:t xml:space="preserve">Banco Central de la República Argentina (BCRA): </w:t>
      </w:r>
      <w:r w:rsidRPr="1024079A">
        <w:rPr>
          <w:rFonts w:ascii="Arial" w:eastAsia="Arial" w:hAnsi="Arial" w:cs="Arial"/>
          <w:color w:val="000000" w:themeColor="text1"/>
          <w:sz w:val="22"/>
          <w:szCs w:val="22"/>
        </w:rPr>
        <w:t>Máximo ente regulador y supervisor del sistema financiero en Argentina.</w:t>
      </w:r>
    </w:p>
    <w:p w14:paraId="60099CA6" w14:textId="77777777" w:rsidR="00726C0B" w:rsidRDefault="00726C0B">
      <w:pPr>
        <w:pBdr>
          <w:top w:val="nil"/>
          <w:left w:val="nil"/>
          <w:bottom w:val="nil"/>
          <w:right w:val="nil"/>
          <w:between w:val="nil"/>
        </w:pBdr>
        <w:ind w:left="720"/>
        <w:rPr>
          <w:rFonts w:ascii="Arial" w:eastAsia="Arial" w:hAnsi="Arial" w:cs="Arial"/>
          <w:b/>
          <w:color w:val="000000"/>
          <w:sz w:val="22"/>
          <w:szCs w:val="22"/>
        </w:rPr>
      </w:pPr>
    </w:p>
    <w:p w14:paraId="6BCB73A1" w14:textId="381F0AD5" w:rsidR="00726C0B" w:rsidRDefault="00BB4E15">
      <w:pPr>
        <w:numPr>
          <w:ilvl w:val="1"/>
          <w:numId w:val="11"/>
        </w:numPr>
        <w:pBdr>
          <w:top w:val="nil"/>
          <w:left w:val="nil"/>
          <w:bottom w:val="nil"/>
          <w:right w:val="nil"/>
          <w:between w:val="nil"/>
        </w:pBdr>
        <w:jc w:val="both"/>
        <w:rPr>
          <w:rFonts w:ascii="Arial" w:eastAsia="Arial" w:hAnsi="Arial" w:cs="Arial"/>
          <w:color w:val="000000"/>
        </w:rPr>
      </w:pPr>
      <w:r w:rsidRPr="1024079A">
        <w:rPr>
          <w:rFonts w:ascii="Arial" w:eastAsia="Arial" w:hAnsi="Arial" w:cs="Arial"/>
          <w:b/>
          <w:color w:val="000000" w:themeColor="text1"/>
          <w:sz w:val="22"/>
          <w:szCs w:val="22"/>
        </w:rPr>
        <w:t>Instituciones Financieras de Intermediación (IFI):</w:t>
      </w:r>
      <w:r w:rsidRPr="1024079A">
        <w:rPr>
          <w:rFonts w:ascii="Arial" w:eastAsia="Arial" w:hAnsi="Arial" w:cs="Arial"/>
          <w:color w:val="000000" w:themeColor="text1"/>
          <w:sz w:val="22"/>
          <w:szCs w:val="22"/>
        </w:rPr>
        <w:t xml:space="preserve"> Serán las instituciones financieras autorizadas y supervisadas por el Banco Central de la República Argentina o, en su defecto, por la entidad de vigilancia y control del sector financiero correspondiente en Argentina y aprobados por el OE para operar bajo el programa, mediante: (i) préstamos del </w:t>
      </w:r>
      <w:r w:rsidRPr="1024079A">
        <w:rPr>
          <w:rFonts w:ascii="Arial" w:eastAsia="Arial" w:hAnsi="Arial" w:cs="Arial"/>
          <w:color w:val="000000" w:themeColor="text1"/>
          <w:sz w:val="22"/>
          <w:szCs w:val="22"/>
          <w:highlight w:val="white"/>
        </w:rPr>
        <w:t xml:space="preserve">FONDEP para </w:t>
      </w:r>
      <w:r w:rsidRPr="1024079A">
        <w:rPr>
          <w:rFonts w:ascii="Arial" w:eastAsia="Arial" w:hAnsi="Arial" w:cs="Arial"/>
          <w:color w:val="000000" w:themeColor="text1"/>
          <w:sz w:val="22"/>
          <w:szCs w:val="22"/>
        </w:rPr>
        <w:t xml:space="preserve">otorgar </w:t>
      </w:r>
      <w:r w:rsidRPr="1024079A">
        <w:rPr>
          <w:rFonts w:ascii="Arial" w:eastAsia="Arial" w:hAnsi="Arial" w:cs="Arial"/>
          <w:color w:val="000000" w:themeColor="text1"/>
          <w:sz w:val="22"/>
          <w:szCs w:val="22"/>
          <w:highlight w:val="white"/>
        </w:rPr>
        <w:t xml:space="preserve">créditos a </w:t>
      </w:r>
      <w:r w:rsidRPr="1024079A">
        <w:rPr>
          <w:rFonts w:ascii="Arial" w:eastAsia="Arial" w:hAnsi="Arial" w:cs="Arial"/>
          <w:color w:val="000000" w:themeColor="text1"/>
          <w:sz w:val="22"/>
          <w:szCs w:val="22"/>
        </w:rPr>
        <w:t xml:space="preserve">beneficiarios finales, identificados en adelante como </w:t>
      </w:r>
      <w:proofErr w:type="spellStart"/>
      <w:r w:rsidRPr="1024079A">
        <w:rPr>
          <w:rFonts w:ascii="Arial" w:eastAsia="Arial" w:hAnsi="Arial" w:cs="Arial"/>
          <w:color w:val="000000" w:themeColor="text1"/>
          <w:sz w:val="22"/>
          <w:szCs w:val="22"/>
        </w:rPr>
        <w:t>subprestatarios</w:t>
      </w:r>
      <w:proofErr w:type="spellEnd"/>
      <w:r w:rsidRPr="1024079A">
        <w:rPr>
          <w:rFonts w:ascii="Arial" w:eastAsia="Arial" w:hAnsi="Arial" w:cs="Arial"/>
          <w:color w:val="000000" w:themeColor="text1"/>
          <w:sz w:val="22"/>
          <w:szCs w:val="22"/>
        </w:rPr>
        <w:t>; y (</w:t>
      </w:r>
      <w:proofErr w:type="spellStart"/>
      <w:r w:rsidRPr="1024079A">
        <w:rPr>
          <w:rFonts w:ascii="Arial" w:eastAsia="Arial" w:hAnsi="Arial" w:cs="Arial"/>
          <w:color w:val="000000" w:themeColor="text1"/>
          <w:sz w:val="22"/>
          <w:szCs w:val="22"/>
        </w:rPr>
        <w:t>ii</w:t>
      </w:r>
      <w:proofErr w:type="spellEnd"/>
      <w:r w:rsidRPr="1024079A">
        <w:rPr>
          <w:rFonts w:ascii="Arial" w:eastAsia="Arial" w:hAnsi="Arial" w:cs="Arial"/>
          <w:color w:val="000000" w:themeColor="text1"/>
          <w:sz w:val="22"/>
          <w:szCs w:val="22"/>
        </w:rPr>
        <w:t>)</w:t>
      </w:r>
      <w:r w:rsidR="00590564">
        <w:rPr>
          <w:rFonts w:ascii="Arial" w:eastAsia="Arial" w:hAnsi="Arial" w:cs="Arial"/>
          <w:color w:val="000000" w:themeColor="text1"/>
          <w:sz w:val="22"/>
          <w:szCs w:val="22"/>
        </w:rPr>
        <w:t> </w:t>
      </w:r>
      <w:r w:rsidRPr="1024079A">
        <w:rPr>
          <w:rFonts w:ascii="Arial" w:eastAsia="Arial" w:hAnsi="Arial" w:cs="Arial"/>
          <w:color w:val="000000" w:themeColor="text1"/>
          <w:sz w:val="22"/>
          <w:szCs w:val="22"/>
        </w:rPr>
        <w:t>mediante garantías del FOGAR para otorgar créditos a beneficiarios finales.</w:t>
      </w:r>
    </w:p>
    <w:p w14:paraId="771FD3D5" w14:textId="77777777" w:rsidR="00726C0B" w:rsidRDefault="00726C0B">
      <w:pPr>
        <w:pBdr>
          <w:top w:val="nil"/>
          <w:left w:val="nil"/>
          <w:bottom w:val="nil"/>
          <w:right w:val="nil"/>
          <w:between w:val="nil"/>
        </w:pBdr>
        <w:ind w:left="720"/>
        <w:rPr>
          <w:rFonts w:ascii="Arial" w:eastAsia="Arial" w:hAnsi="Arial" w:cs="Arial"/>
          <w:color w:val="000000"/>
          <w:sz w:val="22"/>
          <w:szCs w:val="22"/>
        </w:rPr>
      </w:pPr>
    </w:p>
    <w:p w14:paraId="172046A4" w14:textId="499D2D79" w:rsidR="00726C0B" w:rsidRDefault="00BB4E15" w:rsidP="00C06D42">
      <w:pPr>
        <w:numPr>
          <w:ilvl w:val="1"/>
          <w:numId w:val="11"/>
        </w:numPr>
        <w:pBdr>
          <w:top w:val="nil"/>
          <w:left w:val="nil"/>
          <w:bottom w:val="nil"/>
          <w:right w:val="nil"/>
          <w:between w:val="nil"/>
        </w:pBdr>
        <w:jc w:val="both"/>
        <w:rPr>
          <w:rFonts w:ascii="Arial" w:eastAsia="Arial" w:hAnsi="Arial" w:cs="Arial"/>
          <w:color w:val="000000"/>
          <w:sz w:val="22"/>
          <w:szCs w:val="22"/>
        </w:rPr>
      </w:pPr>
      <w:r w:rsidRPr="1024079A">
        <w:rPr>
          <w:rFonts w:ascii="Arial" w:eastAsia="Arial" w:hAnsi="Arial" w:cs="Arial"/>
          <w:b/>
          <w:color w:val="000000" w:themeColor="text1"/>
          <w:sz w:val="22"/>
          <w:szCs w:val="22"/>
        </w:rPr>
        <w:t>Subprestatarios:</w:t>
      </w:r>
      <w:r w:rsidRPr="1024079A">
        <w:rPr>
          <w:rFonts w:ascii="Arial" w:eastAsia="Arial" w:hAnsi="Arial" w:cs="Arial"/>
          <w:color w:val="000000" w:themeColor="text1"/>
          <w:sz w:val="22"/>
          <w:szCs w:val="22"/>
        </w:rPr>
        <w:t xml:space="preserve"> Serán los beneficiarios finales de los recursos, una vez hayan cumplido las condiciones de elegibilidad dispuestas en el presente Reglamento. La intervención dirigirá sus recursos tanto a las micro, pequeñas y medianas empresas (MIPYME) afectadas por la crisis del Coronavirus (CV o COVID-19) como también a empresas ancla </w:t>
      </w:r>
      <w:r w:rsidRPr="00072547">
        <w:rPr>
          <w:rFonts w:ascii="Arial" w:eastAsia="Arial" w:hAnsi="Arial" w:cs="Arial"/>
          <w:color w:val="000000" w:themeColor="text1"/>
          <w:sz w:val="22"/>
          <w:szCs w:val="22"/>
        </w:rPr>
        <w:t>de</w:t>
      </w:r>
      <w:r w:rsidRPr="1024079A">
        <w:rPr>
          <w:rFonts w:ascii="Arial" w:eastAsia="Arial" w:hAnsi="Arial" w:cs="Arial"/>
          <w:color w:val="000000" w:themeColor="text1"/>
          <w:sz w:val="22"/>
          <w:szCs w:val="22"/>
        </w:rPr>
        <w:t xml:space="preserve"> las cadenas estratégicas en las que se integran, priorizando los sectores de las MIPYME por su grado de vulnerabilidad frente a la crisis ocasionada por la pandemia.</w:t>
      </w:r>
    </w:p>
    <w:p w14:paraId="3698C6B7" w14:textId="4BDB984E" w:rsidR="00726C0B" w:rsidRDefault="00726C0B">
      <w:pPr>
        <w:rPr>
          <w:rFonts w:ascii="Arial" w:eastAsia="Arial" w:hAnsi="Arial" w:cs="Arial"/>
          <w:b/>
        </w:rPr>
      </w:pPr>
    </w:p>
    <w:p w14:paraId="1E0C2C9B" w14:textId="2F6B8AC6" w:rsidR="00726C0B" w:rsidRDefault="00BB4E15">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MIPYME:</w:t>
      </w:r>
      <w:r>
        <w:rPr>
          <w:rFonts w:ascii="Arial" w:eastAsia="Arial" w:hAnsi="Arial" w:cs="Arial"/>
          <w:color w:val="000000"/>
          <w:sz w:val="22"/>
          <w:szCs w:val="22"/>
        </w:rPr>
        <w:t xml:space="preserve"> Serán las micro, pequeñas y medianas empresas que sean elegibles como subprestatarios</w:t>
      </w:r>
      <w:r>
        <w:rPr>
          <w:rFonts w:ascii="Arial" w:eastAsia="Arial" w:hAnsi="Arial" w:cs="Arial"/>
          <w:color w:val="000000"/>
          <w:sz w:val="22"/>
          <w:szCs w:val="22"/>
          <w:vertAlign w:val="superscript"/>
        </w:rPr>
        <w:footnoteReference w:id="2"/>
      </w:r>
      <w:r w:rsidR="00675A09" w:rsidRPr="1024079A">
        <w:rPr>
          <w:rFonts w:ascii="Arial" w:eastAsia="Arial" w:hAnsi="Arial" w:cs="Arial"/>
          <w:color w:val="000000" w:themeColor="text1"/>
          <w:sz w:val="22"/>
          <w:szCs w:val="22"/>
        </w:rPr>
        <w:t xml:space="preserve"> y se encuentren inscriptas en el registro de la SEPYME</w:t>
      </w:r>
      <w:r w:rsidRPr="1024079A" w:rsidDel="0061027D">
        <w:rPr>
          <w:rFonts w:ascii="Arial" w:eastAsia="Arial" w:hAnsi="Arial" w:cs="Arial"/>
          <w:color w:val="000000" w:themeColor="text1"/>
          <w:sz w:val="22"/>
          <w:szCs w:val="22"/>
        </w:rPr>
        <w:t>.</w:t>
      </w:r>
    </w:p>
    <w:p w14:paraId="5417ECC8" w14:textId="77777777" w:rsidR="00726C0B" w:rsidRDefault="00726C0B">
      <w:pPr>
        <w:pBdr>
          <w:top w:val="nil"/>
          <w:left w:val="nil"/>
          <w:bottom w:val="nil"/>
          <w:right w:val="nil"/>
          <w:between w:val="nil"/>
        </w:pBdr>
        <w:ind w:left="720"/>
        <w:rPr>
          <w:rFonts w:ascii="Arial" w:eastAsia="Arial" w:hAnsi="Arial" w:cs="Arial"/>
          <w:b/>
          <w:color w:val="000000"/>
          <w:sz w:val="22"/>
          <w:szCs w:val="22"/>
        </w:rPr>
      </w:pPr>
    </w:p>
    <w:p w14:paraId="34E39085" w14:textId="11F2AE86" w:rsidR="00726C0B" w:rsidRPr="008D51C2" w:rsidRDefault="00BB4E15">
      <w:pPr>
        <w:numPr>
          <w:ilvl w:val="1"/>
          <w:numId w:val="11"/>
        </w:numPr>
        <w:pBdr>
          <w:top w:val="nil"/>
          <w:left w:val="nil"/>
          <w:bottom w:val="nil"/>
          <w:right w:val="nil"/>
          <w:between w:val="nil"/>
        </w:pBdr>
        <w:jc w:val="both"/>
        <w:rPr>
          <w:rFonts w:ascii="Arial" w:eastAsia="Arial" w:hAnsi="Arial" w:cs="Arial"/>
          <w:color w:val="000000"/>
        </w:rPr>
      </w:pPr>
      <w:r w:rsidRPr="1024079A">
        <w:rPr>
          <w:rFonts w:ascii="Arial" w:eastAsia="Arial" w:hAnsi="Arial" w:cs="Arial"/>
          <w:b/>
          <w:color w:val="000000" w:themeColor="text1"/>
          <w:sz w:val="22"/>
          <w:szCs w:val="22"/>
        </w:rPr>
        <w:t>Cuenta Operacional:</w:t>
      </w:r>
      <w:r w:rsidRPr="1024079A">
        <w:rPr>
          <w:rFonts w:ascii="Arial" w:eastAsia="Arial" w:hAnsi="Arial" w:cs="Arial"/>
          <w:color w:val="000000" w:themeColor="text1"/>
          <w:sz w:val="22"/>
          <w:szCs w:val="22"/>
        </w:rPr>
        <w:t xml:space="preserve"> Por “cuenta operacional” se entenderá una cuenta bancaria separada establecida para los fondos provenientes del BID, a la cual se asignará un código específico en la contabilidad del Ministerio de Desarrollo Productivo. La cuenta operacional contendrá exclusivamente los fondos del BID del presente programa de </w:t>
      </w:r>
      <w:r w:rsidR="00590564" w:rsidRPr="1024079A">
        <w:rPr>
          <w:rFonts w:ascii="Arial" w:eastAsia="Arial" w:hAnsi="Arial" w:cs="Arial"/>
          <w:color w:val="000000" w:themeColor="text1"/>
          <w:sz w:val="22"/>
          <w:szCs w:val="22"/>
        </w:rPr>
        <w:t>emergencia, y</w:t>
      </w:r>
      <w:r w:rsidRPr="1024079A">
        <w:rPr>
          <w:rFonts w:ascii="Arial" w:eastAsia="Arial" w:hAnsi="Arial" w:cs="Arial"/>
          <w:color w:val="000000" w:themeColor="text1"/>
          <w:sz w:val="22"/>
          <w:szCs w:val="22"/>
        </w:rPr>
        <w:t xml:space="preserve"> cualquier otro movimiento contable hecho con los recursos del BID.</w:t>
      </w:r>
    </w:p>
    <w:p w14:paraId="7886176D" w14:textId="77777777" w:rsidR="00E4772C" w:rsidRDefault="00E4772C" w:rsidP="008634D4">
      <w:pPr>
        <w:pStyle w:val="ListParagraph"/>
        <w:rPr>
          <w:rFonts w:ascii="Arial" w:eastAsia="Arial" w:hAnsi="Arial" w:cs="Arial"/>
          <w:color w:val="000000"/>
        </w:rPr>
      </w:pPr>
    </w:p>
    <w:p w14:paraId="304F97FA" w14:textId="36A0A25F" w:rsidR="00E4772C" w:rsidRPr="0004496C" w:rsidRDefault="00E4772C">
      <w:pPr>
        <w:numPr>
          <w:ilvl w:val="1"/>
          <w:numId w:val="11"/>
        </w:numPr>
        <w:pBdr>
          <w:top w:val="nil"/>
          <w:left w:val="nil"/>
          <w:bottom w:val="nil"/>
          <w:right w:val="nil"/>
          <w:between w:val="nil"/>
        </w:pBdr>
        <w:jc w:val="both"/>
        <w:rPr>
          <w:rFonts w:ascii="Arial" w:eastAsia="Arial" w:hAnsi="Arial" w:cs="Arial"/>
          <w:color w:val="000000"/>
          <w:sz w:val="22"/>
          <w:szCs w:val="22"/>
        </w:rPr>
      </w:pPr>
      <w:r w:rsidRPr="008634D4">
        <w:rPr>
          <w:rFonts w:ascii="Arial" w:eastAsia="Arial" w:hAnsi="Arial" w:cs="Arial"/>
          <w:b/>
          <w:color w:val="000000"/>
          <w:sz w:val="22"/>
          <w:szCs w:val="22"/>
        </w:rPr>
        <w:t xml:space="preserve">Requerimientos de Integridad del </w:t>
      </w:r>
      <w:r w:rsidR="000A0544">
        <w:rPr>
          <w:rFonts w:ascii="Arial" w:eastAsia="Arial" w:hAnsi="Arial" w:cs="Arial"/>
          <w:b/>
          <w:bCs/>
          <w:color w:val="000000"/>
          <w:sz w:val="22"/>
          <w:szCs w:val="22"/>
        </w:rPr>
        <w:t>P</w:t>
      </w:r>
      <w:r w:rsidR="000A0544" w:rsidRPr="008634D4">
        <w:rPr>
          <w:rFonts w:ascii="Arial" w:eastAsia="Arial" w:hAnsi="Arial" w:cs="Arial"/>
          <w:b/>
          <w:bCs/>
          <w:color w:val="000000"/>
          <w:sz w:val="22"/>
          <w:szCs w:val="22"/>
        </w:rPr>
        <w:t>rograma</w:t>
      </w:r>
      <w:r w:rsidRPr="008634D4">
        <w:rPr>
          <w:rFonts w:ascii="Arial" w:eastAsia="Arial" w:hAnsi="Arial" w:cs="Arial"/>
          <w:b/>
          <w:color w:val="000000"/>
          <w:sz w:val="22"/>
          <w:szCs w:val="22"/>
        </w:rPr>
        <w:t>:</w:t>
      </w:r>
      <w:r w:rsidRPr="008634D4">
        <w:rPr>
          <w:rFonts w:ascii="Arial" w:eastAsia="Arial" w:hAnsi="Arial" w:cs="Arial"/>
          <w:color w:val="000000"/>
          <w:sz w:val="22"/>
          <w:szCs w:val="22"/>
        </w:rPr>
        <w:t xml:space="preserve"> Mediante los recursos del Programa no se podrán financiar subprestatarios que: (i) estén vinculados con la realización de prácticas prohibidas, es decir las prácticas que el Banco prohíbe en relación con las actividades que éste financie, definidas por el Directorio o que se </w:t>
      </w:r>
      <w:r w:rsidRPr="008634D4">
        <w:rPr>
          <w:rFonts w:ascii="Arial" w:eastAsia="Arial" w:hAnsi="Arial" w:cs="Arial"/>
          <w:color w:val="000000"/>
          <w:sz w:val="22"/>
          <w:szCs w:val="22"/>
        </w:rPr>
        <w:lastRenderedPageBreak/>
        <w:t>definan en el futuro y se informen al Prestatario, entre otras: práctica corrupta, práctica fraudulenta, práctica coercitiva, práctica colusoria, práctica obstructiva y apropiación indebida; y/o (</w:t>
      </w:r>
      <w:proofErr w:type="spellStart"/>
      <w:r w:rsidRPr="008634D4">
        <w:rPr>
          <w:rFonts w:ascii="Arial" w:eastAsia="Arial" w:hAnsi="Arial" w:cs="Arial"/>
          <w:color w:val="000000"/>
          <w:sz w:val="22"/>
          <w:szCs w:val="22"/>
        </w:rPr>
        <w:t>ii</w:t>
      </w:r>
      <w:proofErr w:type="spellEnd"/>
      <w:r w:rsidRPr="008634D4">
        <w:rPr>
          <w:rFonts w:ascii="Arial" w:eastAsia="Arial" w:hAnsi="Arial" w:cs="Arial"/>
          <w:color w:val="000000"/>
          <w:sz w:val="22"/>
          <w:szCs w:val="22"/>
        </w:rPr>
        <w:t>) estén incluidas e</w:t>
      </w:r>
      <w:r w:rsidRPr="00004C51">
        <w:rPr>
          <w:rFonts w:ascii="Arial" w:eastAsia="Arial" w:hAnsi="Arial" w:cs="Arial"/>
          <w:color w:val="000000"/>
          <w:sz w:val="22"/>
          <w:szCs w:val="22"/>
        </w:rPr>
        <w:t xml:space="preserve">n la </w:t>
      </w:r>
      <w:hyperlink r:id="rId17" w:history="1">
        <w:r w:rsidRPr="0004496C">
          <w:rPr>
            <w:rStyle w:val="Hyperlink"/>
            <w:rFonts w:ascii="Arial" w:eastAsia="Arial" w:hAnsi="Arial" w:cs="Arial"/>
            <w:sz w:val="22"/>
            <w:szCs w:val="22"/>
          </w:rPr>
          <w:t>lista de partes de sancionados del BID</w:t>
        </w:r>
      </w:hyperlink>
      <w:r w:rsidR="00687DFE">
        <w:rPr>
          <w:rFonts w:ascii="Arial" w:eastAsia="Arial" w:hAnsi="Arial" w:cs="Arial"/>
          <w:color w:val="000000"/>
          <w:sz w:val="22"/>
          <w:szCs w:val="22"/>
        </w:rPr>
        <w:t>.</w:t>
      </w:r>
    </w:p>
    <w:p w14:paraId="192C0C52" w14:textId="77777777" w:rsidR="00726C0B" w:rsidRDefault="00BB4E15">
      <w:pPr>
        <w:pStyle w:val="Heading1"/>
        <w:numPr>
          <w:ilvl w:val="0"/>
          <w:numId w:val="11"/>
        </w:numPr>
        <w:rPr>
          <w:sz w:val="22"/>
          <w:szCs w:val="22"/>
        </w:rPr>
      </w:pPr>
      <w:bookmarkStart w:id="3" w:name="_Toc42709750"/>
      <w:r>
        <w:rPr>
          <w:sz w:val="22"/>
          <w:szCs w:val="22"/>
        </w:rPr>
        <w:t>Responsabilidad de Coordinación del Programa</w:t>
      </w:r>
      <w:bookmarkEnd w:id="3"/>
    </w:p>
    <w:p w14:paraId="49E15CA3" w14:textId="77777777" w:rsidR="00726C0B" w:rsidRDefault="00726C0B">
      <w:pPr>
        <w:rPr>
          <w:rFonts w:ascii="Arial" w:eastAsia="Arial" w:hAnsi="Arial" w:cs="Arial"/>
          <w:sz w:val="22"/>
          <w:szCs w:val="22"/>
        </w:rPr>
      </w:pPr>
    </w:p>
    <w:p w14:paraId="65ABB18E" w14:textId="43B6B753" w:rsidR="00726C0B" w:rsidRPr="00FF49DC" w:rsidRDefault="00BB4E15">
      <w:pPr>
        <w:numPr>
          <w:ilvl w:val="1"/>
          <w:numId w:val="1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sz w:val="22"/>
          <w:szCs w:val="22"/>
        </w:rPr>
        <w:t xml:space="preserve">La SEPYME ejecutará el </w:t>
      </w:r>
      <w:r w:rsidR="00861BFE">
        <w:rPr>
          <w:rFonts w:ascii="Arial" w:eastAsia="Arial" w:hAnsi="Arial" w:cs="Arial"/>
          <w:color w:val="000000"/>
          <w:sz w:val="22"/>
          <w:szCs w:val="22"/>
        </w:rPr>
        <w:t>p</w:t>
      </w:r>
      <w:r>
        <w:rPr>
          <w:rFonts w:ascii="Arial" w:eastAsia="Arial" w:hAnsi="Arial" w:cs="Arial"/>
          <w:color w:val="000000"/>
          <w:sz w:val="22"/>
          <w:szCs w:val="22"/>
        </w:rPr>
        <w:t>rograma en el marco de su estructura organizativa, administrativa y financiera. Trabajará con los diferentes órganos administrativos, operativos y financieros del Ministerio de Desarrollo Productivo</w:t>
      </w:r>
      <w:r w:rsidR="000543E6">
        <w:rPr>
          <w:rFonts w:ascii="Arial" w:eastAsia="Arial" w:hAnsi="Arial" w:cs="Arial"/>
          <w:color w:val="000000"/>
          <w:sz w:val="22"/>
          <w:szCs w:val="22"/>
        </w:rPr>
        <w:t>,</w:t>
      </w:r>
      <w:r>
        <w:rPr>
          <w:rFonts w:ascii="Arial" w:eastAsia="Arial" w:hAnsi="Arial" w:cs="Arial"/>
          <w:color w:val="000000"/>
          <w:sz w:val="22"/>
          <w:szCs w:val="22"/>
        </w:rPr>
        <w:t xml:space="preserve"> el BICE </w:t>
      </w:r>
      <w:r w:rsidR="004C0B7A">
        <w:rPr>
          <w:rFonts w:ascii="Arial" w:eastAsia="Arial" w:hAnsi="Arial" w:cs="Arial"/>
          <w:color w:val="000000"/>
          <w:sz w:val="22"/>
          <w:szCs w:val="22"/>
        </w:rPr>
        <w:t xml:space="preserve">y BFSA </w:t>
      </w:r>
      <w:r>
        <w:rPr>
          <w:rFonts w:ascii="Arial" w:eastAsia="Arial" w:hAnsi="Arial" w:cs="Arial"/>
          <w:color w:val="000000"/>
          <w:sz w:val="22"/>
          <w:szCs w:val="22"/>
        </w:rPr>
        <w:t xml:space="preserve">para </w:t>
      </w:r>
      <w:r w:rsidRPr="0004394D">
        <w:rPr>
          <w:rFonts w:ascii="Arial" w:eastAsia="Arial" w:hAnsi="Arial" w:cs="Arial"/>
          <w:color w:val="000000"/>
          <w:sz w:val="22"/>
          <w:szCs w:val="22"/>
        </w:rPr>
        <w:t>asegurar el cumplimiento de las condiciones de este reglamento, de conformidad con los procedimientos internos de la entidad.</w:t>
      </w:r>
    </w:p>
    <w:p w14:paraId="6EF01F0B" w14:textId="77777777" w:rsidR="00FF49DC" w:rsidRPr="0004394D" w:rsidRDefault="00FF49DC" w:rsidP="00FF49DC">
      <w:pPr>
        <w:pBdr>
          <w:top w:val="nil"/>
          <w:left w:val="nil"/>
          <w:bottom w:val="nil"/>
          <w:right w:val="nil"/>
          <w:between w:val="nil"/>
        </w:pBdr>
        <w:spacing w:line="259" w:lineRule="auto"/>
        <w:ind w:left="907"/>
        <w:jc w:val="both"/>
        <w:rPr>
          <w:rFonts w:ascii="Arial" w:eastAsia="Arial" w:hAnsi="Arial" w:cs="Arial"/>
          <w:color w:val="000000"/>
        </w:rPr>
      </w:pPr>
    </w:p>
    <w:p w14:paraId="06C77459" w14:textId="4B4DA704" w:rsidR="00726C0B" w:rsidRPr="0004394D" w:rsidRDefault="00BB4E15">
      <w:pPr>
        <w:numPr>
          <w:ilvl w:val="1"/>
          <w:numId w:val="11"/>
        </w:numPr>
        <w:pBdr>
          <w:top w:val="nil"/>
          <w:left w:val="nil"/>
          <w:bottom w:val="nil"/>
          <w:right w:val="nil"/>
          <w:between w:val="nil"/>
        </w:pBdr>
        <w:jc w:val="both"/>
        <w:rPr>
          <w:rFonts w:ascii="Arial" w:eastAsia="Arial" w:hAnsi="Arial" w:cs="Arial"/>
          <w:color w:val="000000"/>
        </w:rPr>
      </w:pPr>
      <w:r w:rsidRPr="1024079A">
        <w:rPr>
          <w:rFonts w:ascii="Arial" w:eastAsia="Arial" w:hAnsi="Arial" w:cs="Arial"/>
          <w:color w:val="000000" w:themeColor="text1"/>
          <w:sz w:val="22"/>
          <w:szCs w:val="22"/>
        </w:rPr>
        <w:t xml:space="preserve">La SEPYME se apoyará en la DGPPSE para la gestión administrativa y financiera de los recursos del </w:t>
      </w:r>
      <w:r w:rsidR="00BD024F">
        <w:rPr>
          <w:rFonts w:ascii="Arial" w:eastAsia="Arial" w:hAnsi="Arial" w:cs="Arial"/>
          <w:color w:val="000000" w:themeColor="text1"/>
          <w:sz w:val="22"/>
          <w:szCs w:val="22"/>
        </w:rPr>
        <w:t>p</w:t>
      </w:r>
      <w:r w:rsidRPr="1024079A">
        <w:rPr>
          <w:rFonts w:ascii="Arial" w:eastAsia="Arial" w:hAnsi="Arial" w:cs="Arial"/>
          <w:color w:val="000000" w:themeColor="text1"/>
          <w:sz w:val="22"/>
          <w:szCs w:val="22"/>
        </w:rPr>
        <w:t>rograma</w:t>
      </w:r>
      <w:r w:rsidR="00854DE4" w:rsidRPr="1024079A">
        <w:rPr>
          <w:rFonts w:ascii="Arial" w:eastAsia="Arial" w:hAnsi="Arial" w:cs="Arial"/>
          <w:color w:val="000000" w:themeColor="text1"/>
          <w:sz w:val="22"/>
          <w:szCs w:val="22"/>
        </w:rPr>
        <w:t xml:space="preserve">. </w:t>
      </w:r>
      <w:r w:rsidR="008D4356">
        <w:rPr>
          <w:rFonts w:ascii="Arial" w:eastAsia="Arial" w:hAnsi="Arial" w:cs="Arial"/>
          <w:color w:val="000000" w:themeColor="text1"/>
          <w:sz w:val="22"/>
          <w:szCs w:val="22"/>
        </w:rPr>
        <w:t>La DGP</w:t>
      </w:r>
      <w:r w:rsidR="00C13831">
        <w:rPr>
          <w:rFonts w:ascii="Arial" w:eastAsia="Arial" w:hAnsi="Arial" w:cs="Arial"/>
          <w:color w:val="000000" w:themeColor="text1"/>
          <w:sz w:val="22"/>
          <w:szCs w:val="22"/>
        </w:rPr>
        <w:t xml:space="preserve">PSE será la encargada de presentar las </w:t>
      </w:r>
      <w:r w:rsidR="0004496C">
        <w:rPr>
          <w:rFonts w:ascii="Arial" w:eastAsia="Arial" w:hAnsi="Arial" w:cs="Arial"/>
          <w:color w:val="000000" w:themeColor="text1"/>
          <w:sz w:val="22"/>
          <w:szCs w:val="22"/>
        </w:rPr>
        <w:t>solicitudes</w:t>
      </w:r>
      <w:r w:rsidR="00C13831">
        <w:rPr>
          <w:rFonts w:ascii="Arial" w:eastAsia="Arial" w:hAnsi="Arial" w:cs="Arial"/>
          <w:color w:val="000000" w:themeColor="text1"/>
          <w:sz w:val="22"/>
          <w:szCs w:val="22"/>
        </w:rPr>
        <w:t xml:space="preserve"> de desembolsos y justificacione</w:t>
      </w:r>
      <w:r w:rsidR="00A948FA">
        <w:rPr>
          <w:rFonts w:ascii="Arial" w:eastAsia="Arial" w:hAnsi="Arial" w:cs="Arial"/>
          <w:color w:val="000000" w:themeColor="text1"/>
          <w:sz w:val="22"/>
          <w:szCs w:val="22"/>
        </w:rPr>
        <w:t xml:space="preserve">s al Banco, </w:t>
      </w:r>
      <w:r w:rsidR="00BD024F">
        <w:rPr>
          <w:rFonts w:ascii="Arial" w:eastAsia="Arial" w:hAnsi="Arial" w:cs="Arial"/>
          <w:color w:val="000000" w:themeColor="text1"/>
          <w:sz w:val="22"/>
          <w:szCs w:val="22"/>
        </w:rPr>
        <w:t>así</w:t>
      </w:r>
      <w:r w:rsidR="00A948FA">
        <w:rPr>
          <w:rFonts w:ascii="Arial" w:eastAsia="Arial" w:hAnsi="Arial" w:cs="Arial"/>
          <w:color w:val="000000" w:themeColor="text1"/>
          <w:sz w:val="22"/>
          <w:szCs w:val="22"/>
        </w:rPr>
        <w:t xml:space="preserve"> como </w:t>
      </w:r>
      <w:r w:rsidR="00753000">
        <w:rPr>
          <w:rFonts w:ascii="Arial" w:eastAsia="Arial" w:hAnsi="Arial" w:cs="Arial"/>
          <w:color w:val="000000" w:themeColor="text1"/>
          <w:sz w:val="22"/>
          <w:szCs w:val="22"/>
        </w:rPr>
        <w:t>registrar todas las transacciones y revisar la documentación de los créditos.</w:t>
      </w:r>
      <w:r w:rsidR="00753000" w:rsidRPr="1024079A" w:rsidDel="00753000">
        <w:rPr>
          <w:rFonts w:ascii="Arial" w:eastAsia="Arial" w:hAnsi="Arial" w:cs="Arial"/>
          <w:color w:val="000000" w:themeColor="text1"/>
          <w:sz w:val="22"/>
          <w:szCs w:val="22"/>
        </w:rPr>
        <w:t xml:space="preserve"> </w:t>
      </w:r>
    </w:p>
    <w:p w14:paraId="2CC7330E" w14:textId="77777777" w:rsidR="00726C0B" w:rsidRDefault="00726C0B">
      <w:pPr>
        <w:pBdr>
          <w:top w:val="nil"/>
          <w:left w:val="nil"/>
          <w:bottom w:val="nil"/>
          <w:right w:val="nil"/>
          <w:between w:val="nil"/>
        </w:pBdr>
        <w:ind w:left="720"/>
        <w:rPr>
          <w:rFonts w:ascii="Arial" w:eastAsia="Arial" w:hAnsi="Arial" w:cs="Arial"/>
          <w:color w:val="000000"/>
          <w:sz w:val="22"/>
          <w:szCs w:val="22"/>
        </w:rPr>
      </w:pPr>
    </w:p>
    <w:p w14:paraId="70FE66D1" w14:textId="6A7F48A0" w:rsidR="00726C0B" w:rsidRDefault="00BB4E15">
      <w:pPr>
        <w:numPr>
          <w:ilvl w:val="1"/>
          <w:numId w:val="11"/>
        </w:numPr>
        <w:pBdr>
          <w:top w:val="nil"/>
          <w:left w:val="nil"/>
          <w:bottom w:val="nil"/>
          <w:right w:val="nil"/>
          <w:between w:val="nil"/>
        </w:pBdr>
        <w:jc w:val="both"/>
        <w:rPr>
          <w:rFonts w:ascii="Arial" w:eastAsia="Arial" w:hAnsi="Arial" w:cs="Arial"/>
          <w:color w:val="000000"/>
        </w:rPr>
      </w:pPr>
      <w:r w:rsidRPr="1024079A">
        <w:rPr>
          <w:rFonts w:ascii="Arial" w:eastAsia="Arial" w:hAnsi="Arial" w:cs="Arial"/>
          <w:color w:val="000000" w:themeColor="text1"/>
          <w:sz w:val="22"/>
          <w:szCs w:val="22"/>
        </w:rPr>
        <w:t xml:space="preserve">La SEPYME será el último responsable de los aspectos ambientales y sociales de los préstamos. Para ello se apoyará en las capacidades del BICE. </w:t>
      </w:r>
    </w:p>
    <w:p w14:paraId="52671C86" w14:textId="77777777" w:rsidR="00044CDF" w:rsidRDefault="00044CDF" w:rsidP="0004496C">
      <w:pPr>
        <w:pStyle w:val="ListParagraph"/>
        <w:rPr>
          <w:rFonts w:ascii="Arial" w:eastAsia="Arial" w:hAnsi="Arial" w:cs="Arial"/>
          <w:color w:val="000000"/>
        </w:rPr>
      </w:pPr>
    </w:p>
    <w:p w14:paraId="276E48F1" w14:textId="58BE320C" w:rsidR="00044CDF" w:rsidRDefault="00044CDF">
      <w:pPr>
        <w:numPr>
          <w:ilvl w:val="1"/>
          <w:numId w:val="11"/>
        </w:numPr>
        <w:pBdr>
          <w:top w:val="nil"/>
          <w:left w:val="nil"/>
          <w:bottom w:val="nil"/>
          <w:right w:val="nil"/>
          <w:between w:val="nil"/>
        </w:pBdr>
        <w:jc w:val="both"/>
        <w:rPr>
          <w:rFonts w:ascii="Arial" w:eastAsia="Arial" w:hAnsi="Arial" w:cs="Arial"/>
          <w:color w:val="000000"/>
        </w:rPr>
      </w:pPr>
      <w:r w:rsidRPr="1024079A">
        <w:rPr>
          <w:rFonts w:ascii="Arial" w:eastAsia="Arial" w:hAnsi="Arial" w:cs="Arial"/>
          <w:color w:val="000000" w:themeColor="text1"/>
          <w:sz w:val="22"/>
          <w:szCs w:val="22"/>
        </w:rPr>
        <w:t>La ejecución de la agenda de evaluación del Programa estará a cargo de la SAE (ver párrafo 4.3 - Administración del Programa).</w:t>
      </w:r>
    </w:p>
    <w:p w14:paraId="6ABB4BBF" w14:textId="77777777" w:rsidR="00726C0B" w:rsidRDefault="00726C0B">
      <w:pPr>
        <w:pBdr>
          <w:top w:val="nil"/>
          <w:left w:val="nil"/>
          <w:bottom w:val="nil"/>
          <w:right w:val="nil"/>
          <w:between w:val="nil"/>
        </w:pBdr>
        <w:ind w:left="720"/>
        <w:rPr>
          <w:rFonts w:ascii="Arial" w:eastAsia="Arial" w:hAnsi="Arial" w:cs="Arial"/>
          <w:color w:val="000000"/>
          <w:sz w:val="22"/>
          <w:szCs w:val="22"/>
        </w:rPr>
      </w:pPr>
    </w:p>
    <w:p w14:paraId="2E55C6EA" w14:textId="045F693C" w:rsidR="00726C0B" w:rsidRPr="0004394D" w:rsidRDefault="00BB4E15">
      <w:pPr>
        <w:numPr>
          <w:ilvl w:val="1"/>
          <w:numId w:val="11"/>
        </w:numPr>
        <w:pBdr>
          <w:top w:val="nil"/>
          <w:left w:val="nil"/>
          <w:bottom w:val="nil"/>
          <w:right w:val="nil"/>
          <w:between w:val="nil"/>
        </w:pBdr>
        <w:jc w:val="both"/>
        <w:rPr>
          <w:rFonts w:ascii="Arial" w:eastAsia="Arial" w:hAnsi="Arial" w:cs="Arial"/>
          <w:color w:val="000000"/>
        </w:rPr>
      </w:pPr>
      <w:r w:rsidRPr="1024079A">
        <w:rPr>
          <w:rFonts w:ascii="Arial" w:eastAsia="Arial" w:hAnsi="Arial" w:cs="Arial"/>
          <w:color w:val="000000" w:themeColor="text1"/>
          <w:sz w:val="22"/>
          <w:szCs w:val="22"/>
        </w:rPr>
        <w:t>La SEPYME se compromete, a establecer cuáles son los requerimientos para cumplir eficientemente su objetivo en el marco de: (i) apoyar la sostenibilidad financiera de corto plazo de las MIPYME; y (</w:t>
      </w:r>
      <w:proofErr w:type="spellStart"/>
      <w:r w:rsidRPr="1024079A">
        <w:rPr>
          <w:rFonts w:ascii="Arial" w:eastAsia="Arial" w:hAnsi="Arial" w:cs="Arial"/>
          <w:color w:val="000000" w:themeColor="text1"/>
          <w:sz w:val="22"/>
          <w:szCs w:val="22"/>
        </w:rPr>
        <w:t>ii</w:t>
      </w:r>
      <w:proofErr w:type="spellEnd"/>
      <w:r w:rsidRPr="1024079A">
        <w:rPr>
          <w:rFonts w:ascii="Arial" w:eastAsia="Arial" w:hAnsi="Arial" w:cs="Arial"/>
          <w:color w:val="000000" w:themeColor="text1"/>
          <w:sz w:val="22"/>
          <w:szCs w:val="22"/>
        </w:rPr>
        <w:t>) promover la recuperación económica de las MIPYME a través del acceso al financiamiento productivo. En este orden, contemplará las necesidades de personal y recursos para apoyar el otorgamiento de los préstamos y las garantías bajo los criterios de este reglamento.</w:t>
      </w:r>
    </w:p>
    <w:p w14:paraId="2BBCC165" w14:textId="31E12EDC" w:rsidR="00726C0B" w:rsidRDefault="00BB4E15">
      <w:pPr>
        <w:pStyle w:val="Heading1"/>
        <w:numPr>
          <w:ilvl w:val="0"/>
          <w:numId w:val="11"/>
        </w:numPr>
        <w:rPr>
          <w:sz w:val="22"/>
          <w:szCs w:val="22"/>
        </w:rPr>
      </w:pPr>
      <w:bookmarkStart w:id="4" w:name="_Toc42709751"/>
      <w:r>
        <w:rPr>
          <w:sz w:val="22"/>
          <w:szCs w:val="22"/>
        </w:rPr>
        <w:t>Descripción General del Programa</w:t>
      </w:r>
      <w:bookmarkEnd w:id="4"/>
    </w:p>
    <w:p w14:paraId="035416FD" w14:textId="77777777" w:rsidR="00726C0B" w:rsidRDefault="00726C0B">
      <w:pPr>
        <w:rPr>
          <w:rFonts w:ascii="Arial" w:eastAsia="Arial" w:hAnsi="Arial" w:cs="Arial"/>
          <w:sz w:val="22"/>
          <w:szCs w:val="22"/>
        </w:rPr>
      </w:pPr>
    </w:p>
    <w:p w14:paraId="222D61FB" w14:textId="511B475B" w:rsidR="009C0919" w:rsidRPr="009C0919" w:rsidRDefault="00BB4E15" w:rsidP="00FE2595">
      <w:pPr>
        <w:pStyle w:val="ListParagraph"/>
        <w:numPr>
          <w:ilvl w:val="1"/>
          <w:numId w:val="11"/>
        </w:numPr>
        <w:jc w:val="both"/>
        <w:rPr>
          <w:rStyle w:val="normaltextrun"/>
          <w:rFonts w:ascii="Arial" w:hAnsi="Arial" w:cs="Arial"/>
          <w:sz w:val="22"/>
          <w:szCs w:val="22"/>
        </w:rPr>
      </w:pPr>
      <w:r w:rsidRPr="009C0919">
        <w:rPr>
          <w:rFonts w:ascii="Arial" w:eastAsia="Arial" w:hAnsi="Arial" w:cs="Arial"/>
          <w:b/>
          <w:color w:val="000000"/>
          <w:sz w:val="22"/>
          <w:szCs w:val="22"/>
        </w:rPr>
        <w:t xml:space="preserve">Objetivos del Programa. </w:t>
      </w:r>
      <w:r w:rsidRPr="009C0919">
        <w:rPr>
          <w:rFonts w:ascii="Arial" w:eastAsia="Arial" w:hAnsi="Arial" w:cs="Arial"/>
          <w:color w:val="000000"/>
          <w:sz w:val="22"/>
          <w:szCs w:val="22"/>
        </w:rPr>
        <w:t xml:space="preserve">El objetivo general de </w:t>
      </w:r>
      <w:r w:rsidR="00CB7A8E" w:rsidRPr="009C0919">
        <w:rPr>
          <w:rFonts w:ascii="Arial" w:eastAsia="Arial" w:hAnsi="Arial" w:cs="Arial"/>
          <w:color w:val="000000"/>
          <w:sz w:val="22"/>
          <w:szCs w:val="22"/>
        </w:rPr>
        <w:t>esta reformulación</w:t>
      </w:r>
      <w:r w:rsidRPr="009C0919" w:rsidDel="00CB7A8E">
        <w:rPr>
          <w:rFonts w:ascii="Arial" w:eastAsia="Arial" w:hAnsi="Arial" w:cs="Arial"/>
          <w:color w:val="000000"/>
          <w:sz w:val="22"/>
          <w:szCs w:val="22"/>
        </w:rPr>
        <w:t xml:space="preserve"> </w:t>
      </w:r>
      <w:r w:rsidRPr="009C0919">
        <w:rPr>
          <w:rFonts w:ascii="Arial" w:eastAsia="Arial" w:hAnsi="Arial" w:cs="Arial"/>
          <w:color w:val="000000"/>
          <w:sz w:val="22"/>
          <w:szCs w:val="22"/>
        </w:rPr>
        <w:t>es apoyar la sostenibilidad de las MIPYME como sostén del empleo en Argentina en el contexto de crisis generada por la pandemia COVID-19. Los objetivos específicos son: (i)</w:t>
      </w:r>
      <w:r w:rsidR="006451C7" w:rsidRPr="009C0919">
        <w:rPr>
          <w:rFonts w:ascii="Arial" w:eastAsia="Arial" w:hAnsi="Arial" w:cs="Arial"/>
          <w:color w:val="000000"/>
          <w:sz w:val="22"/>
          <w:szCs w:val="22"/>
        </w:rPr>
        <w:t> </w:t>
      </w:r>
      <w:r w:rsidRPr="009C0919">
        <w:rPr>
          <w:rFonts w:ascii="Arial" w:eastAsia="Arial" w:hAnsi="Arial" w:cs="Arial"/>
          <w:color w:val="000000"/>
          <w:sz w:val="22"/>
          <w:szCs w:val="22"/>
        </w:rPr>
        <w:t>apoyar la sostenibilidad financiera de corto plazo de las MIPYME; y (</w:t>
      </w:r>
      <w:proofErr w:type="spellStart"/>
      <w:r w:rsidRPr="009C0919">
        <w:rPr>
          <w:rFonts w:ascii="Arial" w:eastAsia="Arial" w:hAnsi="Arial" w:cs="Arial"/>
          <w:color w:val="000000"/>
          <w:sz w:val="22"/>
          <w:szCs w:val="22"/>
        </w:rPr>
        <w:t>ii</w:t>
      </w:r>
      <w:proofErr w:type="spellEnd"/>
      <w:r w:rsidRPr="009C0919">
        <w:rPr>
          <w:rFonts w:ascii="Arial" w:eastAsia="Arial" w:hAnsi="Arial" w:cs="Arial"/>
          <w:color w:val="000000"/>
          <w:sz w:val="22"/>
          <w:szCs w:val="22"/>
        </w:rPr>
        <w:t>)</w:t>
      </w:r>
      <w:r w:rsidR="006451C7" w:rsidRPr="009C0919">
        <w:rPr>
          <w:rFonts w:ascii="Arial" w:eastAsia="Arial" w:hAnsi="Arial" w:cs="Arial"/>
          <w:color w:val="000000"/>
          <w:sz w:val="22"/>
          <w:szCs w:val="22"/>
        </w:rPr>
        <w:t> </w:t>
      </w:r>
      <w:r w:rsidRPr="009C0919">
        <w:rPr>
          <w:rFonts w:ascii="Arial" w:eastAsia="Arial" w:hAnsi="Arial" w:cs="Arial"/>
          <w:color w:val="000000"/>
          <w:sz w:val="22"/>
          <w:szCs w:val="22"/>
        </w:rPr>
        <w:t xml:space="preserve">promover la recuperación </w:t>
      </w:r>
      <w:r w:rsidRPr="009C0919">
        <w:rPr>
          <w:rFonts w:ascii="Arial" w:eastAsia="Arial" w:hAnsi="Arial" w:cs="Arial"/>
          <w:sz w:val="22"/>
          <w:szCs w:val="22"/>
        </w:rPr>
        <w:t>económica de las MIPYME a través del acceso al financiamiento productivo.</w:t>
      </w:r>
      <w:r w:rsidRPr="009C0919">
        <w:rPr>
          <w:rFonts w:ascii="Arial" w:eastAsia="Arial" w:hAnsi="Arial" w:cs="Arial"/>
          <w:b/>
          <w:sz w:val="22"/>
          <w:szCs w:val="22"/>
        </w:rPr>
        <w:t xml:space="preserve"> </w:t>
      </w:r>
    </w:p>
    <w:p w14:paraId="1015B8B9" w14:textId="5307F212" w:rsidR="00CB7A8E" w:rsidRPr="00666C3D" w:rsidRDefault="00CB7A8E" w:rsidP="00FE2595">
      <w:pPr>
        <w:pBdr>
          <w:top w:val="nil"/>
          <w:left w:val="nil"/>
          <w:bottom w:val="nil"/>
          <w:right w:val="nil"/>
          <w:between w:val="nil"/>
        </w:pBdr>
        <w:ind w:left="360"/>
        <w:jc w:val="both"/>
        <w:rPr>
          <w:rFonts w:ascii="Arial" w:eastAsia="Arial" w:hAnsi="Arial" w:cs="Arial"/>
          <w:sz w:val="22"/>
          <w:szCs w:val="22"/>
          <w:lang w:val="es-419"/>
        </w:rPr>
      </w:pPr>
    </w:p>
    <w:p w14:paraId="1884BF72" w14:textId="5DEB6332" w:rsidR="00CB7A8E" w:rsidRPr="00666C3D" w:rsidRDefault="00BB4E15" w:rsidP="00666C3D">
      <w:pPr>
        <w:numPr>
          <w:ilvl w:val="1"/>
          <w:numId w:val="11"/>
        </w:numPr>
        <w:pBdr>
          <w:top w:val="nil"/>
          <w:left w:val="nil"/>
          <w:bottom w:val="nil"/>
          <w:right w:val="nil"/>
          <w:between w:val="nil"/>
        </w:pBdr>
        <w:jc w:val="both"/>
        <w:rPr>
          <w:rFonts w:eastAsia="Arial"/>
          <w:bCs/>
          <w:color w:val="000000"/>
        </w:rPr>
      </w:pPr>
      <w:r>
        <w:rPr>
          <w:rFonts w:ascii="Arial" w:eastAsia="Arial" w:hAnsi="Arial" w:cs="Arial"/>
          <w:b/>
          <w:color w:val="000000"/>
          <w:sz w:val="22"/>
          <w:szCs w:val="22"/>
        </w:rPr>
        <w:t>Componente único. Apoyo al financiamiento de la MIPYME (US$497 millones).</w:t>
      </w:r>
      <w:r w:rsidRPr="00666C3D">
        <w:rPr>
          <w:rFonts w:ascii="Arial" w:eastAsia="Arial" w:hAnsi="Arial" w:cs="Arial"/>
          <w:b/>
          <w:color w:val="000000"/>
          <w:sz w:val="22"/>
          <w:szCs w:val="22"/>
        </w:rPr>
        <w:t xml:space="preserve"> </w:t>
      </w:r>
      <w:r w:rsidR="007535BE" w:rsidRPr="007535BE">
        <w:rPr>
          <w:rFonts w:ascii="Arial" w:eastAsia="Arial" w:hAnsi="Arial" w:cs="Arial"/>
          <w:bCs/>
          <w:color w:val="000000"/>
          <w:sz w:val="22"/>
          <w:szCs w:val="22"/>
        </w:rPr>
        <w:t>Los recursos reorientados serán empleados para financiar las intervenciones que se describen en los siguientes subcomponentes</w:t>
      </w:r>
      <w:r w:rsidRPr="0055317A">
        <w:rPr>
          <w:rFonts w:ascii="Arial" w:eastAsia="Arial" w:hAnsi="Arial" w:cs="Arial"/>
          <w:color w:val="000000"/>
          <w:sz w:val="22"/>
          <w:szCs w:val="22"/>
        </w:rPr>
        <w:t>:</w:t>
      </w:r>
    </w:p>
    <w:p w14:paraId="57D8F713" w14:textId="77777777" w:rsidR="00CB7A8E" w:rsidRDefault="00CB7A8E" w:rsidP="00666C3D">
      <w:pPr>
        <w:pStyle w:val="paragraph"/>
        <w:spacing w:before="0" w:beforeAutospacing="0" w:after="0" w:afterAutospacing="0"/>
        <w:jc w:val="both"/>
        <w:textAlignment w:val="baseline"/>
        <w:rPr>
          <w:rFonts w:ascii="Arial" w:hAnsi="Arial" w:cs="Arial"/>
          <w:sz w:val="22"/>
          <w:szCs w:val="22"/>
        </w:rPr>
      </w:pPr>
    </w:p>
    <w:p w14:paraId="4DED9A73" w14:textId="0EC1BD51" w:rsidR="00DF0143" w:rsidRPr="00FA40F2" w:rsidRDefault="00CB7A8E" w:rsidP="00DF0143">
      <w:pPr>
        <w:numPr>
          <w:ilvl w:val="0"/>
          <w:numId w:val="7"/>
        </w:numPr>
        <w:pBdr>
          <w:top w:val="nil"/>
          <w:left w:val="nil"/>
          <w:bottom w:val="nil"/>
          <w:right w:val="nil"/>
          <w:between w:val="nil"/>
        </w:pBdr>
        <w:jc w:val="both"/>
        <w:rPr>
          <w:rStyle w:val="normaltextrun"/>
          <w:rFonts w:ascii="Arial" w:eastAsia="Arial" w:hAnsi="Arial" w:cs="Arial"/>
          <w:color w:val="000000"/>
          <w:sz w:val="22"/>
          <w:szCs w:val="22"/>
        </w:rPr>
      </w:pPr>
      <w:r w:rsidRPr="00666C3D">
        <w:rPr>
          <w:rFonts w:ascii="Arial" w:eastAsia="Arial" w:hAnsi="Arial" w:cs="Arial"/>
          <w:b/>
          <w:bCs/>
          <w:color w:val="000000"/>
          <w:sz w:val="22"/>
          <w:szCs w:val="22"/>
        </w:rPr>
        <w:t>Subcomponente 1. Apoyo a la mejora de las capacidades financieras a corto plazo (US$407 millones).</w:t>
      </w:r>
      <w:r w:rsidRPr="00666C3D">
        <w:rPr>
          <w:rFonts w:ascii="Arial" w:eastAsia="Arial" w:hAnsi="Arial" w:cs="Arial"/>
          <w:color w:val="000000"/>
          <w:sz w:val="22"/>
          <w:szCs w:val="22"/>
        </w:rPr>
        <w:t> </w:t>
      </w:r>
      <w:r w:rsidR="00261A86" w:rsidRPr="00261A86">
        <w:rPr>
          <w:rFonts w:ascii="Arial" w:eastAsia="Arial" w:hAnsi="Arial" w:cs="Arial"/>
          <w:color w:val="000000"/>
          <w:sz w:val="22"/>
          <w:szCs w:val="22"/>
        </w:rPr>
        <w:t xml:space="preserve">Los recursos de reorientados se destinarán para contribuir a que las MIPYME afectadas por la crisis generada por la pandemia del COVID-19 superen problemas temporales de liquidez y puedan cumplir con sus obligaciones comerciales y financieras, dando continuidad así a su operación a través de un financiamiento que permita normalizar su ciclo </w:t>
      </w:r>
      <w:r w:rsidR="00261A86" w:rsidRPr="00261A86">
        <w:rPr>
          <w:rFonts w:ascii="Arial" w:eastAsia="Arial" w:hAnsi="Arial" w:cs="Arial"/>
          <w:color w:val="000000"/>
          <w:sz w:val="22"/>
          <w:szCs w:val="22"/>
        </w:rPr>
        <w:lastRenderedPageBreak/>
        <w:t>comercial. Para ello, se podrá financiar: (i) capital de trabajo; y (</w:t>
      </w:r>
      <w:proofErr w:type="spellStart"/>
      <w:r w:rsidR="00261A86" w:rsidRPr="00261A86">
        <w:rPr>
          <w:rFonts w:ascii="Arial" w:eastAsia="Arial" w:hAnsi="Arial" w:cs="Arial"/>
          <w:color w:val="000000"/>
          <w:sz w:val="22"/>
          <w:szCs w:val="22"/>
        </w:rPr>
        <w:t>ii</w:t>
      </w:r>
      <w:proofErr w:type="spellEnd"/>
      <w:r w:rsidR="00261A86" w:rsidRPr="00261A86">
        <w:rPr>
          <w:rFonts w:ascii="Arial" w:eastAsia="Arial" w:hAnsi="Arial" w:cs="Arial"/>
          <w:color w:val="000000"/>
          <w:sz w:val="22"/>
          <w:szCs w:val="22"/>
        </w:rPr>
        <w:t>)</w:t>
      </w:r>
      <w:r w:rsidR="00D10B7F">
        <w:rPr>
          <w:rFonts w:ascii="Arial" w:eastAsia="Arial" w:hAnsi="Arial" w:cs="Arial"/>
          <w:color w:val="000000"/>
          <w:sz w:val="22"/>
          <w:szCs w:val="22"/>
        </w:rPr>
        <w:t> </w:t>
      </w:r>
      <w:r w:rsidR="00261A86" w:rsidRPr="00261A86">
        <w:rPr>
          <w:rFonts w:ascii="Arial" w:eastAsia="Arial" w:hAnsi="Arial" w:cs="Arial"/>
          <w:color w:val="000000"/>
          <w:sz w:val="22"/>
          <w:szCs w:val="22"/>
        </w:rPr>
        <w:t xml:space="preserve">refinanciamiento de créditos vigentes. </w:t>
      </w:r>
      <w:r w:rsidR="00277DB0" w:rsidRPr="00277DB0">
        <w:rPr>
          <w:rFonts w:ascii="Arial" w:eastAsia="Arial" w:hAnsi="Arial" w:cs="Arial"/>
          <w:color w:val="000000"/>
          <w:sz w:val="22"/>
          <w:szCs w:val="22"/>
        </w:rPr>
        <w:t xml:space="preserve">Lo anterior se materializa mediante la mejora de las condiciones de financiamiento y el otorgamiento de créditos a través del Fondo de Desarrollo Productivo (FONDEP), y de la provisión de recursos para garantías para facilitar el acceso a créditos otorgados por Instituciones Financieras Intermediarias (IFI), a través del Fondo de Garantía de Argentina (FOGAR), ambos administrados por </w:t>
      </w:r>
      <w:r w:rsidR="00CD6AD3">
        <w:rPr>
          <w:rFonts w:ascii="Arial" w:eastAsia="Arial" w:hAnsi="Arial" w:cs="Arial"/>
          <w:color w:val="000000"/>
          <w:sz w:val="22"/>
          <w:szCs w:val="22"/>
        </w:rPr>
        <w:t>BFSA</w:t>
      </w:r>
      <w:r w:rsidR="00277DB0" w:rsidRPr="00277DB0">
        <w:rPr>
          <w:rFonts w:ascii="Arial" w:eastAsia="Arial" w:hAnsi="Arial" w:cs="Arial"/>
          <w:color w:val="000000"/>
          <w:sz w:val="22"/>
          <w:szCs w:val="22"/>
        </w:rPr>
        <w:t>. En el caso del FONDEP se contempla: (i) financiamiento de créditos directos; (</w:t>
      </w:r>
      <w:proofErr w:type="spellStart"/>
      <w:r w:rsidR="00277DB0" w:rsidRPr="00277DB0">
        <w:rPr>
          <w:rFonts w:ascii="Arial" w:eastAsia="Arial" w:hAnsi="Arial" w:cs="Arial"/>
          <w:color w:val="000000"/>
          <w:sz w:val="22"/>
          <w:szCs w:val="22"/>
        </w:rPr>
        <w:t>ii</w:t>
      </w:r>
      <w:proofErr w:type="spellEnd"/>
      <w:r w:rsidR="00277DB0" w:rsidRPr="00277DB0">
        <w:rPr>
          <w:rFonts w:ascii="Arial" w:eastAsia="Arial" w:hAnsi="Arial" w:cs="Arial"/>
          <w:color w:val="000000"/>
          <w:sz w:val="22"/>
          <w:szCs w:val="22"/>
        </w:rPr>
        <w:t>)</w:t>
      </w:r>
      <w:r w:rsidR="00277DB0">
        <w:rPr>
          <w:rFonts w:ascii="Arial" w:eastAsia="Arial" w:hAnsi="Arial" w:cs="Arial"/>
          <w:color w:val="000000"/>
          <w:sz w:val="22"/>
          <w:szCs w:val="22"/>
        </w:rPr>
        <w:t> </w:t>
      </w:r>
      <w:r w:rsidR="00277DB0" w:rsidRPr="00277DB0">
        <w:rPr>
          <w:rFonts w:ascii="Arial" w:eastAsia="Arial" w:hAnsi="Arial" w:cs="Arial"/>
          <w:color w:val="000000"/>
          <w:sz w:val="22"/>
          <w:szCs w:val="22"/>
        </w:rPr>
        <w:t>financiamiento indirecto de créditos, a través de las IFI; y (</w:t>
      </w:r>
      <w:proofErr w:type="spellStart"/>
      <w:r w:rsidR="00277DB0" w:rsidRPr="00277DB0">
        <w:rPr>
          <w:rFonts w:ascii="Arial" w:eastAsia="Arial" w:hAnsi="Arial" w:cs="Arial"/>
          <w:color w:val="000000"/>
          <w:sz w:val="22"/>
          <w:szCs w:val="22"/>
        </w:rPr>
        <w:t>iii</w:t>
      </w:r>
      <w:proofErr w:type="spellEnd"/>
      <w:r w:rsidR="00277DB0" w:rsidRPr="00277DB0">
        <w:rPr>
          <w:rFonts w:ascii="Arial" w:eastAsia="Arial" w:hAnsi="Arial" w:cs="Arial"/>
          <w:color w:val="000000"/>
          <w:sz w:val="22"/>
          <w:szCs w:val="22"/>
        </w:rPr>
        <w:t>)</w:t>
      </w:r>
      <w:r w:rsidR="00277DB0">
        <w:rPr>
          <w:rFonts w:ascii="Arial" w:eastAsia="Arial" w:hAnsi="Arial" w:cs="Arial"/>
          <w:color w:val="000000"/>
          <w:sz w:val="22"/>
          <w:szCs w:val="22"/>
        </w:rPr>
        <w:t> </w:t>
      </w:r>
      <w:r w:rsidR="00277DB0" w:rsidRPr="00277DB0">
        <w:rPr>
          <w:rFonts w:ascii="Arial" w:eastAsia="Arial" w:hAnsi="Arial" w:cs="Arial"/>
          <w:color w:val="000000"/>
          <w:sz w:val="22"/>
          <w:szCs w:val="22"/>
        </w:rPr>
        <w:t xml:space="preserve">financiamiento de créditos a empresas ancla en beneficio de MIPYME proveedoras que integran su cadena de valor. </w:t>
      </w:r>
      <w:r w:rsidR="001138DB" w:rsidRPr="001138DB">
        <w:rPr>
          <w:rFonts w:ascii="Arial" w:eastAsia="Arial" w:hAnsi="Arial" w:cs="Arial"/>
          <w:color w:val="000000"/>
          <w:sz w:val="22"/>
          <w:szCs w:val="22"/>
        </w:rPr>
        <w:t>Asimismo, el FONDEP podrá financiar la bonificación de la tasa de interés de créditos otorgados por las IFI y que cuenten con la garantía de FOGAR</w:t>
      </w:r>
      <w:r w:rsidR="00E57460">
        <w:rPr>
          <w:rStyle w:val="FootnoteReference"/>
          <w:rFonts w:ascii="Arial" w:hAnsi="Arial" w:cs="Arial"/>
          <w:sz w:val="22"/>
          <w:szCs w:val="22"/>
        </w:rPr>
        <w:footnoteReference w:id="3"/>
      </w:r>
      <w:r w:rsidR="00E57460">
        <w:rPr>
          <w:rFonts w:ascii="Arial" w:eastAsia="Arial" w:hAnsi="Arial" w:cs="Arial"/>
          <w:color w:val="000000"/>
          <w:sz w:val="22"/>
          <w:szCs w:val="22"/>
        </w:rPr>
        <w:t>.</w:t>
      </w:r>
      <w:r w:rsidR="001138DB" w:rsidRPr="001138DB">
        <w:rPr>
          <w:rFonts w:ascii="Arial" w:eastAsia="Arial" w:hAnsi="Arial" w:cs="Arial"/>
          <w:color w:val="000000"/>
          <w:sz w:val="22"/>
          <w:szCs w:val="22"/>
        </w:rPr>
        <w:t xml:space="preserve"> </w:t>
      </w:r>
      <w:r w:rsidR="00277DB0" w:rsidRPr="00277DB0">
        <w:rPr>
          <w:rFonts w:ascii="Arial" w:eastAsia="Arial" w:hAnsi="Arial" w:cs="Arial"/>
          <w:color w:val="000000"/>
          <w:sz w:val="22"/>
          <w:szCs w:val="22"/>
        </w:rPr>
        <w:t xml:space="preserve">En el caso del FOGAR, los recursos serán utilizados para </w:t>
      </w:r>
      <w:r w:rsidR="00663554" w:rsidRPr="00663554">
        <w:rPr>
          <w:rFonts w:ascii="Arial" w:eastAsia="Arial" w:hAnsi="Arial" w:cs="Arial"/>
          <w:color w:val="000000"/>
          <w:sz w:val="22"/>
          <w:szCs w:val="22"/>
        </w:rPr>
        <w:t>el fortalecimiento de FOGAR mediante el aporte de fondos que oportunamente serán destinados por FOGAR para otorgar garantías para mejorar el acceso al crédito de las</w:t>
      </w:r>
      <w:r w:rsidR="00277DB0" w:rsidRPr="00277DB0">
        <w:rPr>
          <w:rFonts w:ascii="Arial" w:eastAsia="Arial" w:hAnsi="Arial" w:cs="Arial"/>
          <w:color w:val="000000"/>
          <w:sz w:val="22"/>
          <w:szCs w:val="22"/>
        </w:rPr>
        <w:t xml:space="preserve"> MIPYME elegibles</w:t>
      </w:r>
      <w:r w:rsidR="00261A86" w:rsidRPr="00261A86">
        <w:rPr>
          <w:rFonts w:ascii="Arial" w:eastAsia="Arial" w:hAnsi="Arial" w:cs="Arial"/>
          <w:color w:val="000000"/>
          <w:sz w:val="22"/>
          <w:szCs w:val="22"/>
        </w:rPr>
        <w:t xml:space="preserve">. Se asegurará que al menos 20% de las operaciones sean destinadas a MIPYME lideradas o de propiedad de mujeres. Asimismo, se podrán financiar los gastos para administrar los recursos destinados a los créditos y garantías a través del FONDEP </w:t>
      </w:r>
      <w:r w:rsidR="00E57460">
        <w:rPr>
          <w:rFonts w:ascii="Arial" w:eastAsia="Arial" w:hAnsi="Arial" w:cs="Arial"/>
          <w:color w:val="000000"/>
          <w:sz w:val="22"/>
          <w:szCs w:val="22"/>
        </w:rPr>
        <w:t>y</w:t>
      </w:r>
      <w:r w:rsidR="00261A86" w:rsidRPr="00261A86">
        <w:rPr>
          <w:rFonts w:ascii="Arial" w:eastAsia="Arial" w:hAnsi="Arial" w:cs="Arial"/>
          <w:color w:val="000000"/>
          <w:sz w:val="22"/>
          <w:szCs w:val="22"/>
        </w:rPr>
        <w:t xml:space="preserve"> FOGAR, así como el sistema de monitoreo y la coordinación del subcomponente</w:t>
      </w:r>
      <w:r w:rsidR="00C76231">
        <w:rPr>
          <w:rFonts w:ascii="Arial" w:eastAsia="Arial" w:hAnsi="Arial" w:cs="Arial"/>
          <w:color w:val="000000"/>
          <w:sz w:val="22"/>
          <w:szCs w:val="22"/>
        </w:rPr>
        <w:t>.</w:t>
      </w:r>
    </w:p>
    <w:p w14:paraId="72145C7D" w14:textId="77777777" w:rsidR="00DF0143" w:rsidRDefault="00DF0143" w:rsidP="00FA40F2">
      <w:pPr>
        <w:pBdr>
          <w:top w:val="nil"/>
          <w:left w:val="nil"/>
          <w:bottom w:val="nil"/>
          <w:right w:val="nil"/>
          <w:between w:val="nil"/>
        </w:pBdr>
        <w:ind w:left="1152"/>
        <w:jc w:val="both"/>
        <w:rPr>
          <w:rFonts w:ascii="Arial" w:eastAsia="Arial" w:hAnsi="Arial" w:cs="Arial"/>
          <w:color w:val="000000"/>
          <w:sz w:val="22"/>
          <w:szCs w:val="22"/>
        </w:rPr>
      </w:pPr>
    </w:p>
    <w:p w14:paraId="6A0D4A1B" w14:textId="76ACCC45" w:rsidR="00726C0B" w:rsidRDefault="00CB7A8E" w:rsidP="00FA40F2">
      <w:pPr>
        <w:numPr>
          <w:ilvl w:val="0"/>
          <w:numId w:val="7"/>
        </w:numPr>
        <w:pBdr>
          <w:top w:val="nil"/>
          <w:left w:val="nil"/>
          <w:bottom w:val="nil"/>
          <w:right w:val="nil"/>
          <w:between w:val="nil"/>
        </w:pBdr>
        <w:jc w:val="both"/>
        <w:rPr>
          <w:rFonts w:ascii="Arial" w:eastAsia="Arial" w:hAnsi="Arial" w:cs="Arial"/>
          <w:sz w:val="22"/>
          <w:szCs w:val="22"/>
        </w:rPr>
      </w:pPr>
      <w:r w:rsidRPr="0056394E">
        <w:rPr>
          <w:rStyle w:val="normaltextrun"/>
          <w:rFonts w:ascii="Arial" w:hAnsi="Arial" w:cs="Arial"/>
          <w:b/>
          <w:bCs/>
          <w:sz w:val="22"/>
          <w:szCs w:val="22"/>
        </w:rPr>
        <w:t>Subcomponente 2. Acceso al financiamiento productivo para la recuperación económica (US$</w:t>
      </w:r>
      <w:r w:rsidRPr="00F22012">
        <w:rPr>
          <w:rStyle w:val="normaltextrun"/>
          <w:rFonts w:ascii="Arial" w:hAnsi="Arial" w:cs="Arial"/>
          <w:b/>
          <w:bCs/>
          <w:sz w:val="22"/>
          <w:szCs w:val="22"/>
        </w:rPr>
        <w:t>90 </w:t>
      </w:r>
      <w:r w:rsidRPr="0056394E">
        <w:rPr>
          <w:rStyle w:val="normaltextrun"/>
          <w:rFonts w:ascii="Arial" w:hAnsi="Arial" w:cs="Arial"/>
          <w:b/>
          <w:bCs/>
          <w:sz w:val="22"/>
          <w:szCs w:val="22"/>
        </w:rPr>
        <w:t>millones).</w:t>
      </w:r>
      <w:r w:rsidRPr="00666C3D">
        <w:rPr>
          <w:rStyle w:val="normaltextrun"/>
          <w:rFonts w:ascii="Arial" w:hAnsi="Arial" w:cs="Arial"/>
          <w:sz w:val="22"/>
          <w:szCs w:val="22"/>
        </w:rPr>
        <w:t> </w:t>
      </w:r>
      <w:r w:rsidR="005A535E" w:rsidRPr="005A535E">
        <w:rPr>
          <w:rStyle w:val="normaltextrun"/>
          <w:rFonts w:ascii="Arial" w:hAnsi="Arial" w:cs="Arial"/>
          <w:sz w:val="22"/>
          <w:szCs w:val="22"/>
        </w:rPr>
        <w:t>Los recursos reorientados serán destinados a apoyar la recuperación económica a través del financiamiento productivo de las MIPYME afectadas por la crisis generada por la pandemia del COVID-19, para lo cual se contempla dar acceso a la MIPYME a financiamiento a mediano plazo para: (i) apoyar el restablecimiento de la capacidad productiva; (</w:t>
      </w:r>
      <w:proofErr w:type="spellStart"/>
      <w:r w:rsidR="005A535E" w:rsidRPr="005A535E">
        <w:rPr>
          <w:rStyle w:val="normaltextrun"/>
          <w:rFonts w:ascii="Arial" w:hAnsi="Arial" w:cs="Arial"/>
          <w:sz w:val="22"/>
          <w:szCs w:val="22"/>
        </w:rPr>
        <w:t>ii</w:t>
      </w:r>
      <w:proofErr w:type="spellEnd"/>
      <w:r w:rsidR="005A535E" w:rsidRPr="005A535E">
        <w:rPr>
          <w:rStyle w:val="normaltextrun"/>
          <w:rFonts w:ascii="Arial" w:hAnsi="Arial" w:cs="Arial"/>
          <w:sz w:val="22"/>
          <w:szCs w:val="22"/>
        </w:rPr>
        <w:t>) apoyar necesidades de reconversiones productivas y adaptaciones en el proceso de transformación digital por consecuencia de la crisis; y (</w:t>
      </w:r>
      <w:proofErr w:type="spellStart"/>
      <w:r w:rsidR="005A535E" w:rsidRPr="005A535E">
        <w:rPr>
          <w:rStyle w:val="normaltextrun"/>
          <w:rFonts w:ascii="Arial" w:hAnsi="Arial" w:cs="Arial"/>
          <w:sz w:val="22"/>
          <w:szCs w:val="22"/>
        </w:rPr>
        <w:t>iii</w:t>
      </w:r>
      <w:proofErr w:type="spellEnd"/>
      <w:r w:rsidR="005A535E" w:rsidRPr="005A535E">
        <w:rPr>
          <w:rStyle w:val="normaltextrun"/>
          <w:rFonts w:ascii="Arial" w:hAnsi="Arial" w:cs="Arial"/>
          <w:sz w:val="22"/>
          <w:szCs w:val="22"/>
        </w:rPr>
        <w:t xml:space="preserve">) atender un incremento puntual en la demanda que se manifieste como consecuencia de la crisis. </w:t>
      </w:r>
      <w:r w:rsidR="000D3E9D" w:rsidRPr="000D3E9D">
        <w:rPr>
          <w:rStyle w:val="normaltextrun"/>
          <w:rFonts w:ascii="Arial" w:hAnsi="Arial" w:cs="Arial"/>
          <w:sz w:val="22"/>
          <w:szCs w:val="22"/>
        </w:rPr>
        <w:t>Lo anterior se materializa mediante la mejora de las condiciones de financiamiento a través del FONDEP, y de la provisión de recursos para garantías para facilitar el acceso a créditos otorgados por IFI, a través del FOGAR. En el caso del FONDEP se contempla: (i) financiamiento directo de créditos; (</w:t>
      </w:r>
      <w:proofErr w:type="spellStart"/>
      <w:r w:rsidR="000D3E9D" w:rsidRPr="000D3E9D">
        <w:rPr>
          <w:rStyle w:val="normaltextrun"/>
          <w:rFonts w:ascii="Arial" w:hAnsi="Arial" w:cs="Arial"/>
          <w:sz w:val="22"/>
          <w:szCs w:val="22"/>
        </w:rPr>
        <w:t>ii</w:t>
      </w:r>
      <w:proofErr w:type="spellEnd"/>
      <w:r w:rsidR="000D3E9D" w:rsidRPr="000D3E9D">
        <w:rPr>
          <w:rStyle w:val="normaltextrun"/>
          <w:rFonts w:ascii="Arial" w:hAnsi="Arial" w:cs="Arial"/>
          <w:sz w:val="22"/>
          <w:szCs w:val="22"/>
        </w:rPr>
        <w:t>) financiamiento indirecto de créditos, a través de las IFI; y (</w:t>
      </w:r>
      <w:proofErr w:type="spellStart"/>
      <w:r w:rsidR="000D3E9D" w:rsidRPr="000D3E9D">
        <w:rPr>
          <w:rStyle w:val="normaltextrun"/>
          <w:rFonts w:ascii="Arial" w:hAnsi="Arial" w:cs="Arial"/>
          <w:sz w:val="22"/>
          <w:szCs w:val="22"/>
        </w:rPr>
        <w:t>iii</w:t>
      </w:r>
      <w:proofErr w:type="spellEnd"/>
      <w:r w:rsidR="000D3E9D" w:rsidRPr="000D3E9D">
        <w:rPr>
          <w:rStyle w:val="normaltextrun"/>
          <w:rFonts w:ascii="Arial" w:hAnsi="Arial" w:cs="Arial"/>
          <w:sz w:val="22"/>
          <w:szCs w:val="22"/>
        </w:rPr>
        <w:t>)</w:t>
      </w:r>
      <w:r w:rsidR="000D3E9D">
        <w:rPr>
          <w:rStyle w:val="normaltextrun"/>
          <w:rFonts w:ascii="Arial" w:hAnsi="Arial" w:cs="Arial"/>
          <w:sz w:val="22"/>
          <w:szCs w:val="22"/>
        </w:rPr>
        <w:t> </w:t>
      </w:r>
      <w:r w:rsidR="000D3E9D" w:rsidRPr="000D3E9D">
        <w:rPr>
          <w:rStyle w:val="normaltextrun"/>
          <w:rFonts w:ascii="Arial" w:hAnsi="Arial" w:cs="Arial"/>
          <w:sz w:val="22"/>
          <w:szCs w:val="22"/>
        </w:rPr>
        <w:t xml:space="preserve">financiamiento a empresas ancla en beneficio de MIPYME proveedoras que integran su cadena de valor. </w:t>
      </w:r>
      <w:r w:rsidR="005942C0" w:rsidRPr="005942C0">
        <w:rPr>
          <w:rStyle w:val="normaltextrun"/>
          <w:rFonts w:ascii="Arial" w:hAnsi="Arial" w:cs="Arial"/>
          <w:sz w:val="22"/>
          <w:szCs w:val="22"/>
        </w:rPr>
        <w:t>Asimismo, el FONDEP podrá financiar la bonificación de la tasa de interés de créditos otorgados por las IFI y que cuenten con la garantía de FOGAR</w:t>
      </w:r>
      <w:r w:rsidR="005942C0">
        <w:rPr>
          <w:rStyle w:val="normaltextrun"/>
          <w:rFonts w:ascii="Arial" w:hAnsi="Arial" w:cs="Arial"/>
          <w:sz w:val="22"/>
          <w:szCs w:val="22"/>
        </w:rPr>
        <w:t>.</w:t>
      </w:r>
      <w:r w:rsidR="005942C0" w:rsidRPr="005942C0">
        <w:rPr>
          <w:rStyle w:val="normaltextrun"/>
          <w:rFonts w:ascii="Arial" w:hAnsi="Arial" w:cs="Arial"/>
          <w:sz w:val="22"/>
          <w:szCs w:val="22"/>
        </w:rPr>
        <w:t xml:space="preserve"> </w:t>
      </w:r>
      <w:r w:rsidR="000D3E9D" w:rsidRPr="000D3E9D">
        <w:rPr>
          <w:rStyle w:val="normaltextrun"/>
          <w:rFonts w:ascii="Arial" w:hAnsi="Arial" w:cs="Arial"/>
          <w:sz w:val="22"/>
          <w:szCs w:val="22"/>
        </w:rPr>
        <w:t xml:space="preserve">En el caso del FOGAR, los recursos serán utilizados para </w:t>
      </w:r>
      <w:r w:rsidR="004E5023" w:rsidRPr="004E5023">
        <w:rPr>
          <w:rStyle w:val="normaltextrun"/>
          <w:rFonts w:ascii="Arial" w:hAnsi="Arial" w:cs="Arial"/>
          <w:sz w:val="22"/>
          <w:szCs w:val="22"/>
        </w:rPr>
        <w:t xml:space="preserve">el fortalecimiento de FOGAR mediante el aporte de fondos que oportunamente serán destinados por FOGAR para otorgar garantías para mejorar el acceso al crédito de las </w:t>
      </w:r>
      <w:r w:rsidR="000D3E9D" w:rsidRPr="000D3E9D">
        <w:rPr>
          <w:rStyle w:val="normaltextrun"/>
          <w:rFonts w:ascii="Arial" w:hAnsi="Arial" w:cs="Arial"/>
          <w:sz w:val="22"/>
          <w:szCs w:val="22"/>
        </w:rPr>
        <w:t>MIPYME elegibles</w:t>
      </w:r>
      <w:r w:rsidR="005A535E" w:rsidRPr="005A535E">
        <w:rPr>
          <w:rStyle w:val="normaltextrun"/>
          <w:rFonts w:ascii="Arial" w:hAnsi="Arial" w:cs="Arial"/>
          <w:sz w:val="22"/>
          <w:szCs w:val="22"/>
        </w:rPr>
        <w:t>. Se asegurará que al menos 20% de las operaciones sean destinadas a MIPYME lideradas o de propiedad de mujeres. Asimismo, se podrán financiar los gastos para administrar los recursos destinados a los créditos y garantías a través del FONDEP y FOGAR, como también el sistema de monitoreo y la coordinación del subcomponente</w:t>
      </w:r>
      <w:r w:rsidR="00AA32A6" w:rsidRPr="00F22012">
        <w:rPr>
          <w:rFonts w:ascii="Arial" w:eastAsia="Arial" w:hAnsi="Arial" w:cs="Arial"/>
          <w:sz w:val="22"/>
          <w:szCs w:val="22"/>
        </w:rPr>
        <w:t>.</w:t>
      </w:r>
    </w:p>
    <w:p w14:paraId="2A54BB01" w14:textId="77777777" w:rsidR="00FA40F2" w:rsidRDefault="00FA40F2" w:rsidP="00FA40F2">
      <w:pPr>
        <w:pBdr>
          <w:top w:val="nil"/>
          <w:left w:val="nil"/>
          <w:bottom w:val="nil"/>
          <w:right w:val="nil"/>
          <w:between w:val="nil"/>
        </w:pBdr>
        <w:ind w:left="1152"/>
        <w:jc w:val="both"/>
        <w:rPr>
          <w:rFonts w:ascii="Arial" w:eastAsia="Arial" w:hAnsi="Arial" w:cs="Arial"/>
          <w:sz w:val="22"/>
          <w:szCs w:val="22"/>
        </w:rPr>
      </w:pPr>
    </w:p>
    <w:p w14:paraId="5A003D01" w14:textId="3B9FB6D2" w:rsidR="002D57EE" w:rsidRPr="002D57EE" w:rsidRDefault="00BB4E15" w:rsidP="002D57EE">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lastRenderedPageBreak/>
        <w:t>Administración del programa (US$3 millones)</w:t>
      </w:r>
      <w:r w:rsidRPr="00DC7DD3">
        <w:rPr>
          <w:rFonts w:ascii="Arial" w:eastAsia="Arial" w:hAnsi="Arial" w:cs="Arial"/>
          <w:b/>
          <w:color w:val="000000"/>
          <w:sz w:val="22"/>
          <w:szCs w:val="22"/>
        </w:rPr>
        <w:t>.</w:t>
      </w:r>
      <w:r w:rsidRPr="00DC7DD3">
        <w:rPr>
          <w:rFonts w:ascii="Arial" w:eastAsia="Arial" w:hAnsi="Arial" w:cs="Arial"/>
          <w:color w:val="000000"/>
          <w:sz w:val="22"/>
          <w:szCs w:val="22"/>
        </w:rPr>
        <w:t xml:space="preserve"> </w:t>
      </w:r>
      <w:r w:rsidR="00613D0F" w:rsidRPr="00613D0F">
        <w:rPr>
          <w:rFonts w:ascii="Arial" w:eastAsia="Arial" w:hAnsi="Arial" w:cs="Arial"/>
          <w:sz w:val="22"/>
          <w:szCs w:val="22"/>
        </w:rPr>
        <w:t>Del monto total de los recursos reorientados, hasta la suma de US$3 millones será empleada para cubrir los costos de administración de las nuevas actividades previstas en la presente reformulación, incluyendo supervisión, evaluación y auditoría. El costo de administración, supervisión y auditoria será de hasta US$2 millones. El costo de evaluación de las actividades a ser financiadas con recursos de la reorientación será de hasta US$1 millón</w:t>
      </w:r>
      <w:r w:rsidR="002D57EE" w:rsidRPr="002D57EE">
        <w:rPr>
          <w:rFonts w:ascii="Arial" w:eastAsia="Arial" w:hAnsi="Arial" w:cs="Arial"/>
          <w:color w:val="000000"/>
          <w:sz w:val="22"/>
          <w:szCs w:val="22"/>
        </w:rPr>
        <w:t>.</w:t>
      </w:r>
    </w:p>
    <w:p w14:paraId="0DFC1AC2" w14:textId="77777777" w:rsidR="002D57EE" w:rsidRPr="002D57EE" w:rsidRDefault="002D57EE" w:rsidP="002D57EE">
      <w:pPr>
        <w:pStyle w:val="ListParagraph"/>
        <w:pBdr>
          <w:top w:val="nil"/>
          <w:left w:val="nil"/>
          <w:bottom w:val="nil"/>
          <w:right w:val="nil"/>
          <w:between w:val="nil"/>
        </w:pBdr>
        <w:ind w:left="360"/>
        <w:jc w:val="both"/>
        <w:rPr>
          <w:rFonts w:ascii="Arial" w:eastAsia="Arial" w:hAnsi="Arial" w:cs="Arial"/>
          <w:color w:val="000000"/>
        </w:rPr>
      </w:pPr>
    </w:p>
    <w:p w14:paraId="1D25F860" w14:textId="1B94A21B" w:rsidR="00854DE4" w:rsidRPr="00C87274" w:rsidRDefault="00854DE4">
      <w:pPr>
        <w:numPr>
          <w:ilvl w:val="1"/>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w:t>
      </w:r>
      <w:r w:rsidR="00BB4E15">
        <w:rPr>
          <w:rFonts w:ascii="Arial" w:eastAsia="Arial" w:hAnsi="Arial" w:cs="Arial"/>
          <w:color w:val="000000"/>
          <w:sz w:val="22"/>
          <w:szCs w:val="22"/>
        </w:rPr>
        <w:t>a SEPYME será</w:t>
      </w:r>
      <w:r w:rsidR="00BB4E15" w:rsidDel="00854DE4">
        <w:rPr>
          <w:rFonts w:ascii="Arial" w:eastAsia="Arial" w:hAnsi="Arial" w:cs="Arial"/>
          <w:color w:val="000000"/>
          <w:sz w:val="22"/>
          <w:szCs w:val="22"/>
        </w:rPr>
        <w:t xml:space="preserve"> </w:t>
      </w:r>
      <w:r w:rsidR="00BB4E15">
        <w:rPr>
          <w:rFonts w:ascii="Arial" w:eastAsia="Arial" w:hAnsi="Arial" w:cs="Arial"/>
          <w:color w:val="000000"/>
          <w:sz w:val="22"/>
          <w:szCs w:val="22"/>
        </w:rPr>
        <w:t>responsable de</w:t>
      </w:r>
      <w:r>
        <w:rPr>
          <w:rFonts w:ascii="Arial" w:eastAsia="Arial" w:hAnsi="Arial" w:cs="Arial"/>
          <w:color w:val="000000"/>
          <w:sz w:val="22"/>
          <w:szCs w:val="22"/>
        </w:rPr>
        <w:t>:</w:t>
      </w:r>
      <w:r w:rsidR="00BB4E15">
        <w:rPr>
          <w:rFonts w:ascii="Arial" w:eastAsia="Arial" w:hAnsi="Arial" w:cs="Arial"/>
          <w:color w:val="000000"/>
          <w:sz w:val="22"/>
          <w:szCs w:val="22"/>
        </w:rPr>
        <w:t xml:space="preserve"> </w:t>
      </w:r>
      <w:r>
        <w:rPr>
          <w:rFonts w:ascii="Arial" w:eastAsia="Arial" w:hAnsi="Arial" w:cs="Arial"/>
          <w:color w:val="000000"/>
          <w:sz w:val="22"/>
          <w:szCs w:val="22"/>
        </w:rPr>
        <w:t xml:space="preserve">(i) </w:t>
      </w:r>
      <w:r w:rsidR="00BB4E15">
        <w:rPr>
          <w:rFonts w:ascii="Arial" w:eastAsia="Arial" w:hAnsi="Arial" w:cs="Arial"/>
          <w:color w:val="000000"/>
          <w:sz w:val="22"/>
          <w:szCs w:val="22"/>
        </w:rPr>
        <w:t>la conducción técnica del Programa</w:t>
      </w:r>
      <w:r>
        <w:rPr>
          <w:rFonts w:ascii="Arial" w:eastAsia="Arial" w:hAnsi="Arial" w:cs="Arial"/>
          <w:color w:val="000000"/>
          <w:sz w:val="22"/>
          <w:szCs w:val="22"/>
        </w:rPr>
        <w:t>; (</w:t>
      </w:r>
      <w:proofErr w:type="spellStart"/>
      <w:r>
        <w:rPr>
          <w:rFonts w:ascii="Arial" w:eastAsia="Arial" w:hAnsi="Arial" w:cs="Arial"/>
          <w:color w:val="000000"/>
          <w:sz w:val="22"/>
          <w:szCs w:val="22"/>
        </w:rPr>
        <w:t>ii</w:t>
      </w:r>
      <w:proofErr w:type="spellEnd"/>
      <w:r>
        <w:rPr>
          <w:rFonts w:ascii="Arial" w:eastAsia="Arial" w:hAnsi="Arial" w:cs="Arial"/>
          <w:color w:val="000000"/>
          <w:sz w:val="22"/>
          <w:szCs w:val="22"/>
        </w:rPr>
        <w:t>)</w:t>
      </w:r>
      <w:r w:rsidR="00BB4E15">
        <w:rPr>
          <w:rFonts w:ascii="Arial" w:eastAsia="Arial" w:hAnsi="Arial" w:cs="Arial"/>
          <w:color w:val="000000"/>
          <w:sz w:val="22"/>
          <w:szCs w:val="22"/>
        </w:rPr>
        <w:t xml:space="preserve"> el cumplimiento de los requerimientos de ejecución previstos en el contrato y en este RC</w:t>
      </w:r>
      <w:r>
        <w:rPr>
          <w:rFonts w:ascii="Arial" w:eastAsia="Arial" w:hAnsi="Arial" w:cs="Arial"/>
          <w:color w:val="000000"/>
          <w:sz w:val="22"/>
          <w:szCs w:val="22"/>
        </w:rPr>
        <w:t>; (</w:t>
      </w:r>
      <w:proofErr w:type="spellStart"/>
      <w:r>
        <w:rPr>
          <w:rFonts w:ascii="Arial" w:eastAsia="Arial" w:hAnsi="Arial" w:cs="Arial"/>
          <w:color w:val="000000"/>
          <w:sz w:val="22"/>
          <w:szCs w:val="22"/>
        </w:rPr>
        <w:t>iii</w:t>
      </w:r>
      <w:proofErr w:type="spellEnd"/>
      <w:r>
        <w:rPr>
          <w:rFonts w:ascii="Arial" w:eastAsia="Arial" w:hAnsi="Arial" w:cs="Arial"/>
          <w:color w:val="000000"/>
          <w:sz w:val="22"/>
          <w:szCs w:val="22"/>
        </w:rPr>
        <w:t>) el</w:t>
      </w:r>
      <w:r w:rsidR="00BB4E15">
        <w:rPr>
          <w:rFonts w:ascii="Arial" w:eastAsia="Arial" w:hAnsi="Arial" w:cs="Arial"/>
          <w:color w:val="000000"/>
          <w:sz w:val="22"/>
          <w:szCs w:val="22"/>
        </w:rPr>
        <w:t xml:space="preserve"> establec</w:t>
      </w:r>
      <w:r>
        <w:rPr>
          <w:rFonts w:ascii="Arial" w:eastAsia="Arial" w:hAnsi="Arial" w:cs="Arial"/>
          <w:color w:val="000000"/>
          <w:sz w:val="22"/>
          <w:szCs w:val="22"/>
        </w:rPr>
        <w:t>imiento de</w:t>
      </w:r>
      <w:r w:rsidR="00BB4E15">
        <w:rPr>
          <w:rFonts w:ascii="Arial" w:eastAsia="Arial" w:hAnsi="Arial" w:cs="Arial"/>
          <w:color w:val="000000"/>
          <w:sz w:val="22"/>
          <w:szCs w:val="22"/>
        </w:rPr>
        <w:t xml:space="preserve"> acciones para el logro los objetivos del Programa</w:t>
      </w:r>
      <w:r w:rsidR="00BB4E15" w:rsidDel="00854DE4">
        <w:rPr>
          <w:rFonts w:ascii="Arial" w:eastAsia="Arial" w:hAnsi="Arial" w:cs="Arial"/>
          <w:color w:val="000000"/>
          <w:sz w:val="22"/>
          <w:szCs w:val="22"/>
        </w:rPr>
        <w:t xml:space="preserve">, </w:t>
      </w:r>
      <w:r>
        <w:rPr>
          <w:rFonts w:ascii="Arial" w:eastAsia="Arial" w:hAnsi="Arial" w:cs="Arial"/>
          <w:color w:val="000000"/>
          <w:sz w:val="22"/>
          <w:szCs w:val="22"/>
        </w:rPr>
        <w:t>incluyendo la aprobación de</w:t>
      </w:r>
      <w:r w:rsidR="00BB4E15">
        <w:rPr>
          <w:rFonts w:ascii="Arial" w:eastAsia="Arial" w:hAnsi="Arial" w:cs="Arial"/>
          <w:color w:val="000000"/>
          <w:sz w:val="22"/>
          <w:szCs w:val="22"/>
        </w:rPr>
        <w:t xml:space="preserve"> los planes y programación de actividades, así como los esquemas operativos de conducción</w:t>
      </w:r>
      <w:r w:rsidR="00DE7235">
        <w:rPr>
          <w:rFonts w:ascii="Arial" w:eastAsia="Arial" w:hAnsi="Arial" w:cs="Arial"/>
          <w:color w:val="000000"/>
          <w:sz w:val="22"/>
          <w:szCs w:val="22"/>
        </w:rPr>
        <w:t xml:space="preserve"> y </w:t>
      </w:r>
      <w:r w:rsidR="00BB4E15">
        <w:rPr>
          <w:rFonts w:ascii="Arial" w:eastAsia="Arial" w:hAnsi="Arial" w:cs="Arial"/>
          <w:color w:val="000000"/>
          <w:sz w:val="22"/>
          <w:szCs w:val="22"/>
        </w:rPr>
        <w:t xml:space="preserve">ejecución </w:t>
      </w:r>
      <w:r w:rsidR="00BB4E15" w:rsidRPr="00C87274">
        <w:rPr>
          <w:rFonts w:ascii="Arial" w:eastAsia="Arial" w:hAnsi="Arial" w:cs="Arial"/>
          <w:color w:val="000000"/>
          <w:sz w:val="22"/>
          <w:szCs w:val="22"/>
        </w:rPr>
        <w:t>de los subcomponentes, entre otras.</w:t>
      </w:r>
    </w:p>
    <w:p w14:paraId="4108D97C" w14:textId="77777777" w:rsidR="00B66790" w:rsidRDefault="00B66790" w:rsidP="00B66790">
      <w:pPr>
        <w:pBdr>
          <w:top w:val="nil"/>
          <w:left w:val="nil"/>
          <w:bottom w:val="nil"/>
          <w:right w:val="nil"/>
          <w:between w:val="nil"/>
        </w:pBdr>
        <w:ind w:left="907"/>
        <w:jc w:val="both"/>
        <w:rPr>
          <w:rFonts w:ascii="Arial" w:eastAsia="Arial" w:hAnsi="Arial" w:cs="Arial"/>
          <w:color w:val="000000"/>
          <w:sz w:val="22"/>
          <w:szCs w:val="22"/>
        </w:rPr>
      </w:pPr>
    </w:p>
    <w:p w14:paraId="3E1868CD" w14:textId="5E257331" w:rsidR="00726C0B" w:rsidRPr="00B66790" w:rsidRDefault="00BB4E15" w:rsidP="00315379">
      <w:pPr>
        <w:numPr>
          <w:ilvl w:val="1"/>
          <w:numId w:val="11"/>
        </w:numPr>
        <w:pBdr>
          <w:top w:val="nil"/>
          <w:left w:val="nil"/>
          <w:bottom w:val="nil"/>
          <w:right w:val="nil"/>
          <w:between w:val="nil"/>
        </w:pBdr>
        <w:jc w:val="both"/>
        <w:rPr>
          <w:rFonts w:ascii="Calibri" w:eastAsia="Calibri" w:hAnsi="Calibri" w:cs="Calibri"/>
          <w:color w:val="000000"/>
          <w:sz w:val="22"/>
          <w:szCs w:val="22"/>
        </w:rPr>
      </w:pPr>
      <w:r w:rsidRPr="00B66790">
        <w:rPr>
          <w:rFonts w:ascii="Arial" w:eastAsia="Arial" w:hAnsi="Arial" w:cs="Arial"/>
          <w:color w:val="000000"/>
          <w:sz w:val="22"/>
          <w:szCs w:val="22"/>
        </w:rPr>
        <w:t>A su vez la gestión administrativa, presupuestaria</w:t>
      </w:r>
      <w:r w:rsidR="00D04F9D" w:rsidRPr="00B66790">
        <w:rPr>
          <w:rFonts w:ascii="Arial" w:eastAsia="Arial" w:hAnsi="Arial" w:cs="Arial"/>
          <w:color w:val="000000"/>
          <w:sz w:val="22"/>
          <w:szCs w:val="22"/>
        </w:rPr>
        <w:t>,</w:t>
      </w:r>
      <w:r w:rsidRPr="00B66790">
        <w:rPr>
          <w:rFonts w:ascii="Arial" w:eastAsia="Arial" w:hAnsi="Arial" w:cs="Arial"/>
          <w:color w:val="000000"/>
          <w:sz w:val="22"/>
          <w:szCs w:val="22"/>
        </w:rPr>
        <w:t> adquisiciones y financiera</w:t>
      </w:r>
      <w:r w:rsidR="007800F7">
        <w:rPr>
          <w:rFonts w:ascii="Arial" w:eastAsia="Arial" w:hAnsi="Arial" w:cs="Arial"/>
          <w:color w:val="000000"/>
          <w:sz w:val="22"/>
          <w:szCs w:val="22"/>
        </w:rPr>
        <w:noBreakHyphen/>
      </w:r>
      <w:r w:rsidRPr="00B66790">
        <w:rPr>
          <w:rFonts w:ascii="Arial" w:eastAsia="Arial" w:hAnsi="Arial" w:cs="Arial"/>
          <w:color w:val="000000"/>
          <w:sz w:val="22"/>
          <w:szCs w:val="22"/>
        </w:rPr>
        <w:t>contable, estará a cargo de la DGPPSE</w:t>
      </w:r>
      <w:r w:rsidR="004B4315">
        <w:rPr>
          <w:rFonts w:ascii="Arial" w:eastAsia="Arial" w:hAnsi="Arial" w:cs="Arial"/>
          <w:color w:val="000000"/>
          <w:sz w:val="22"/>
          <w:szCs w:val="22"/>
        </w:rPr>
        <w:t xml:space="preserve"> bajo la coordinación de la SEPYME</w:t>
      </w:r>
      <w:r w:rsidRPr="00B66790">
        <w:rPr>
          <w:rFonts w:ascii="Arial" w:eastAsia="Arial" w:hAnsi="Arial" w:cs="Arial"/>
          <w:color w:val="000000"/>
          <w:sz w:val="22"/>
          <w:szCs w:val="22"/>
        </w:rPr>
        <w:t>.</w:t>
      </w:r>
      <w:r w:rsidR="00B66790" w:rsidRPr="00B66790">
        <w:rPr>
          <w:rFonts w:ascii="Arial" w:eastAsia="Arial" w:hAnsi="Arial" w:cs="Arial"/>
          <w:color w:val="000000"/>
          <w:sz w:val="22"/>
          <w:szCs w:val="22"/>
        </w:rPr>
        <w:t xml:space="preserve"> </w:t>
      </w:r>
      <w:r w:rsidRPr="00B66790">
        <w:rPr>
          <w:rFonts w:ascii="Arial" w:eastAsia="Arial" w:hAnsi="Arial" w:cs="Arial"/>
          <w:color w:val="000000"/>
          <w:sz w:val="22"/>
          <w:szCs w:val="22"/>
        </w:rPr>
        <w:t>La SAE será organismo subejecutor para la ejecución de la agenda de evaluación del proyecto.</w:t>
      </w:r>
      <w:r w:rsidR="00315379">
        <w:rPr>
          <w:rFonts w:ascii="Arial" w:eastAsia="Arial" w:hAnsi="Arial" w:cs="Arial"/>
          <w:color w:val="000000"/>
          <w:sz w:val="22"/>
          <w:szCs w:val="22"/>
        </w:rPr>
        <w:t xml:space="preserve"> E</w:t>
      </w:r>
      <w:r w:rsidR="00315379" w:rsidRPr="00315379">
        <w:rPr>
          <w:rFonts w:ascii="Arial" w:eastAsia="Arial" w:hAnsi="Arial" w:cs="Arial"/>
          <w:color w:val="000000"/>
          <w:sz w:val="22"/>
          <w:szCs w:val="22"/>
        </w:rPr>
        <w:t>l OE y la SAE suscrib</w:t>
      </w:r>
      <w:r w:rsidR="00315379">
        <w:rPr>
          <w:rFonts w:ascii="Arial" w:eastAsia="Arial" w:hAnsi="Arial" w:cs="Arial"/>
          <w:color w:val="000000"/>
          <w:sz w:val="22"/>
          <w:szCs w:val="22"/>
        </w:rPr>
        <w:t>ir</w:t>
      </w:r>
      <w:r w:rsidR="00315379" w:rsidRPr="00315379">
        <w:rPr>
          <w:rFonts w:ascii="Arial" w:eastAsia="Arial" w:hAnsi="Arial" w:cs="Arial"/>
          <w:color w:val="000000"/>
          <w:sz w:val="22"/>
          <w:szCs w:val="22"/>
        </w:rPr>
        <w:t xml:space="preserve">án un convenio para la transferencia y uso de recursos previo a que la SAE contrate las evaluaciones del </w:t>
      </w:r>
      <w:r w:rsidR="007800F7">
        <w:rPr>
          <w:rFonts w:ascii="Arial" w:eastAsia="Arial" w:hAnsi="Arial" w:cs="Arial"/>
          <w:color w:val="000000"/>
          <w:sz w:val="22"/>
          <w:szCs w:val="22"/>
        </w:rPr>
        <w:t>p</w:t>
      </w:r>
      <w:r w:rsidR="00315379">
        <w:rPr>
          <w:rFonts w:ascii="Arial" w:eastAsia="Arial" w:hAnsi="Arial" w:cs="Arial"/>
          <w:color w:val="000000"/>
          <w:sz w:val="22"/>
          <w:szCs w:val="22"/>
        </w:rPr>
        <w:t>rograma</w:t>
      </w:r>
      <w:r w:rsidR="00315379">
        <w:rPr>
          <w:rStyle w:val="FootnoteReference"/>
          <w:rFonts w:ascii="Arial" w:eastAsia="Arial" w:hAnsi="Arial" w:cs="Arial"/>
          <w:color w:val="000000"/>
          <w:sz w:val="22"/>
          <w:szCs w:val="22"/>
        </w:rPr>
        <w:footnoteReference w:id="4"/>
      </w:r>
      <w:r w:rsidR="00315379" w:rsidRPr="00315379">
        <w:rPr>
          <w:rFonts w:ascii="Arial" w:eastAsia="Arial" w:hAnsi="Arial" w:cs="Arial"/>
          <w:color w:val="000000"/>
          <w:sz w:val="22"/>
          <w:szCs w:val="22"/>
        </w:rPr>
        <w:t>.</w:t>
      </w:r>
      <w:r w:rsidRPr="00B66790">
        <w:rPr>
          <w:rFonts w:ascii="Arial" w:eastAsia="Arial" w:hAnsi="Arial" w:cs="Arial"/>
          <w:color w:val="000000"/>
          <w:sz w:val="22"/>
          <w:szCs w:val="22"/>
        </w:rPr>
        <w:t xml:space="preserve"> </w:t>
      </w:r>
    </w:p>
    <w:p w14:paraId="128A2808" w14:textId="77777777" w:rsidR="00726C0B" w:rsidRDefault="00726C0B" w:rsidP="00315379">
      <w:pPr>
        <w:pBdr>
          <w:top w:val="nil"/>
          <w:left w:val="nil"/>
          <w:bottom w:val="nil"/>
          <w:right w:val="nil"/>
          <w:between w:val="nil"/>
        </w:pBdr>
        <w:ind w:right="84"/>
        <w:jc w:val="both"/>
        <w:rPr>
          <w:rFonts w:ascii="Arial" w:eastAsia="Arial" w:hAnsi="Arial" w:cs="Arial"/>
          <w:color w:val="000000"/>
          <w:sz w:val="22"/>
          <w:szCs w:val="22"/>
        </w:rPr>
      </w:pPr>
    </w:p>
    <w:p w14:paraId="592E6C48" w14:textId="5DC11004" w:rsidR="00726C0B" w:rsidRPr="00D04F9D" w:rsidRDefault="00BB4E15">
      <w:pPr>
        <w:numPr>
          <w:ilvl w:val="1"/>
          <w:numId w:val="11"/>
        </w:numPr>
        <w:pBdr>
          <w:top w:val="nil"/>
          <w:left w:val="nil"/>
          <w:bottom w:val="nil"/>
          <w:right w:val="nil"/>
          <w:between w:val="nil"/>
        </w:pBdr>
        <w:jc w:val="both"/>
        <w:rPr>
          <w:rFonts w:ascii="Arial" w:eastAsia="Arial" w:hAnsi="Arial" w:cs="Arial"/>
          <w:color w:val="000000"/>
        </w:rPr>
      </w:pPr>
      <w:r w:rsidRPr="00D04F9D">
        <w:rPr>
          <w:rFonts w:ascii="Arial" w:eastAsia="Arial" w:hAnsi="Arial" w:cs="Arial"/>
          <w:b/>
          <w:color w:val="000000"/>
          <w:sz w:val="22"/>
          <w:szCs w:val="22"/>
        </w:rPr>
        <w:t xml:space="preserve">Mecanismo de ejecución: </w:t>
      </w:r>
      <w:r w:rsidRPr="00D04F9D">
        <w:rPr>
          <w:rFonts w:ascii="Arial" w:eastAsia="Arial" w:hAnsi="Arial" w:cs="Arial"/>
          <w:color w:val="000000"/>
          <w:sz w:val="22"/>
          <w:szCs w:val="22"/>
        </w:rPr>
        <w:t>El</w:t>
      </w:r>
      <w:r w:rsidRPr="00D04F9D">
        <w:rPr>
          <w:rFonts w:ascii="Arial" w:eastAsia="Arial" w:hAnsi="Arial" w:cs="Arial"/>
          <w:b/>
          <w:color w:val="000000"/>
          <w:sz w:val="22"/>
          <w:szCs w:val="22"/>
        </w:rPr>
        <w:t xml:space="preserve"> </w:t>
      </w:r>
      <w:r w:rsidRPr="00D04F9D">
        <w:rPr>
          <w:rFonts w:ascii="Arial" w:eastAsia="Arial" w:hAnsi="Arial" w:cs="Arial"/>
          <w:color w:val="000000"/>
          <w:sz w:val="22"/>
          <w:szCs w:val="22"/>
        </w:rPr>
        <w:t>OE canalizará los recursos al FONDEP para facilitar líneas de préstamo y al FOGAR para ofrecer garantías, ambos fideicomisos constituidos por el Ministerio de</w:t>
      </w:r>
      <w:r w:rsidRPr="00D04F9D">
        <w:rPr>
          <w:rFonts w:ascii="Arial" w:eastAsia="Arial" w:hAnsi="Arial" w:cs="Arial"/>
          <w:sz w:val="22"/>
          <w:szCs w:val="22"/>
        </w:rPr>
        <w:t xml:space="preserve"> Desarrollo Productivo </w:t>
      </w:r>
      <w:r w:rsidRPr="00D04F9D">
        <w:rPr>
          <w:rFonts w:ascii="Arial" w:eastAsia="Arial" w:hAnsi="Arial" w:cs="Arial"/>
          <w:color w:val="000000"/>
          <w:sz w:val="22"/>
          <w:szCs w:val="22"/>
        </w:rPr>
        <w:t xml:space="preserve">y gestionados fiduciariamente por </w:t>
      </w:r>
      <w:r w:rsidR="003F2AA1">
        <w:rPr>
          <w:rFonts w:ascii="Arial" w:eastAsia="Arial" w:hAnsi="Arial" w:cs="Arial"/>
          <w:color w:val="000000"/>
          <w:sz w:val="22"/>
          <w:szCs w:val="22"/>
        </w:rPr>
        <w:t>BFSA</w:t>
      </w:r>
      <w:r w:rsidRPr="00D04F9D">
        <w:rPr>
          <w:rFonts w:ascii="Arial" w:eastAsia="Arial" w:hAnsi="Arial" w:cs="Arial"/>
          <w:color w:val="000000"/>
          <w:sz w:val="22"/>
          <w:szCs w:val="22"/>
        </w:rPr>
        <w:t>.</w:t>
      </w:r>
    </w:p>
    <w:p w14:paraId="64FCFAE5" w14:textId="3ACCEA8B" w:rsidR="00726C0B" w:rsidRDefault="00726C0B">
      <w:pPr>
        <w:pBdr>
          <w:top w:val="nil"/>
          <w:left w:val="nil"/>
          <w:bottom w:val="nil"/>
          <w:right w:val="nil"/>
          <w:between w:val="nil"/>
        </w:pBdr>
        <w:ind w:left="720"/>
        <w:rPr>
          <w:rFonts w:ascii="Arial" w:eastAsia="Arial" w:hAnsi="Arial" w:cs="Arial"/>
          <w:b/>
          <w:color w:val="000000"/>
          <w:sz w:val="22"/>
          <w:szCs w:val="22"/>
        </w:rPr>
      </w:pPr>
    </w:p>
    <w:p w14:paraId="52D1B455" w14:textId="06A58FB9" w:rsidR="000E1A36" w:rsidRDefault="487A7BA2" w:rsidP="1024079A">
      <w:pPr>
        <w:ind w:left="720"/>
        <w:rPr>
          <w:rFonts w:eastAsia="Arial"/>
        </w:rPr>
      </w:pPr>
      <w:r>
        <w:rPr>
          <w:noProof/>
        </w:rPr>
        <w:drawing>
          <wp:inline distT="0" distB="0" distL="0" distR="0" wp14:anchorId="39109215" wp14:editId="0EF85C47">
            <wp:extent cx="5158738" cy="2995295"/>
            <wp:effectExtent l="0" t="0" r="3810" b="0"/>
            <wp:docPr id="10476697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xt>
                      </a:extLst>
                    </a:blip>
                    <a:srcRect l="5973"/>
                    <a:stretch>
                      <a:fillRect/>
                    </a:stretch>
                  </pic:blipFill>
                  <pic:spPr>
                    <a:xfrm>
                      <a:off x="0" y="0"/>
                      <a:ext cx="5158738" cy="2995295"/>
                    </a:xfrm>
                    <a:prstGeom prst="rect">
                      <a:avLst/>
                    </a:prstGeom>
                  </pic:spPr>
                </pic:pic>
              </a:graphicData>
            </a:graphic>
          </wp:inline>
        </w:drawing>
      </w:r>
    </w:p>
    <w:p w14:paraId="69A0042C" w14:textId="38C209C3" w:rsidR="000E1A36" w:rsidRDefault="000E1A36">
      <w:pPr>
        <w:pBdr>
          <w:top w:val="nil"/>
          <w:left w:val="nil"/>
          <w:bottom w:val="nil"/>
          <w:right w:val="nil"/>
          <w:between w:val="nil"/>
        </w:pBdr>
        <w:ind w:left="720"/>
        <w:rPr>
          <w:rFonts w:eastAsia="Arial"/>
        </w:rPr>
      </w:pPr>
    </w:p>
    <w:p w14:paraId="5831FCE1" w14:textId="1AEE19D4" w:rsidR="00726C0B" w:rsidRDefault="00BB4E15">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 xml:space="preserve">Desembolsos: </w:t>
      </w:r>
      <w:r>
        <w:rPr>
          <w:rFonts w:ascii="Arial" w:eastAsia="Arial" w:hAnsi="Arial" w:cs="Arial"/>
          <w:color w:val="000000"/>
          <w:sz w:val="22"/>
          <w:szCs w:val="22"/>
        </w:rPr>
        <w:t xml:space="preserve">El OE </w:t>
      </w:r>
      <w:r w:rsidR="00715597">
        <w:rPr>
          <w:rFonts w:ascii="Arial" w:eastAsia="Arial" w:hAnsi="Arial" w:cs="Arial"/>
          <w:color w:val="000000"/>
          <w:sz w:val="22"/>
          <w:szCs w:val="22"/>
        </w:rPr>
        <w:t>coordinar</w:t>
      </w:r>
      <w:r w:rsidR="00803EE8">
        <w:rPr>
          <w:rFonts w:ascii="Arial" w:eastAsia="Arial" w:hAnsi="Arial" w:cs="Arial"/>
          <w:color w:val="000000"/>
          <w:sz w:val="22"/>
          <w:szCs w:val="22"/>
        </w:rPr>
        <w:t>á</w:t>
      </w:r>
      <w:r w:rsidR="00715597">
        <w:rPr>
          <w:rFonts w:ascii="Arial" w:eastAsia="Arial" w:hAnsi="Arial" w:cs="Arial"/>
          <w:color w:val="000000"/>
          <w:sz w:val="22"/>
          <w:szCs w:val="22"/>
        </w:rPr>
        <w:t xml:space="preserve"> la </w:t>
      </w:r>
      <w:r w:rsidR="008B1C63">
        <w:rPr>
          <w:rFonts w:ascii="Arial" w:eastAsia="Arial" w:hAnsi="Arial" w:cs="Arial"/>
          <w:color w:val="000000"/>
          <w:sz w:val="22"/>
          <w:szCs w:val="22"/>
        </w:rPr>
        <w:t xml:space="preserve">presentación de </w:t>
      </w:r>
      <w:r>
        <w:rPr>
          <w:rFonts w:ascii="Arial" w:eastAsia="Arial" w:hAnsi="Arial" w:cs="Arial"/>
          <w:color w:val="000000"/>
          <w:sz w:val="22"/>
          <w:szCs w:val="22"/>
        </w:rPr>
        <w:t xml:space="preserve">solicitudes de desembolsos de fondos </w:t>
      </w:r>
      <w:r w:rsidR="008B1C63">
        <w:rPr>
          <w:rFonts w:ascii="Arial" w:eastAsia="Arial" w:hAnsi="Arial" w:cs="Arial"/>
          <w:color w:val="000000"/>
          <w:sz w:val="22"/>
          <w:szCs w:val="22"/>
        </w:rPr>
        <w:t xml:space="preserve">ante el BID, </w:t>
      </w:r>
      <w:r>
        <w:rPr>
          <w:rFonts w:ascii="Arial" w:eastAsia="Arial" w:hAnsi="Arial" w:cs="Arial"/>
          <w:color w:val="000000"/>
          <w:sz w:val="22"/>
          <w:szCs w:val="22"/>
        </w:rPr>
        <w:t>adjunta</w:t>
      </w:r>
      <w:r w:rsidR="008B1C63">
        <w:rPr>
          <w:rFonts w:ascii="Arial" w:eastAsia="Arial" w:hAnsi="Arial" w:cs="Arial"/>
          <w:color w:val="000000"/>
          <w:sz w:val="22"/>
          <w:szCs w:val="22"/>
        </w:rPr>
        <w:t>n</w:t>
      </w:r>
      <w:r>
        <w:rPr>
          <w:rFonts w:ascii="Arial" w:eastAsia="Arial" w:hAnsi="Arial" w:cs="Arial"/>
          <w:color w:val="000000"/>
          <w:sz w:val="22"/>
          <w:szCs w:val="22"/>
        </w:rPr>
        <w:t xml:space="preserve">do la programación de colocaciones mensuales </w:t>
      </w:r>
      <w:r>
        <w:rPr>
          <w:rFonts w:ascii="Arial" w:eastAsia="Arial" w:hAnsi="Arial" w:cs="Arial"/>
          <w:color w:val="000000"/>
          <w:sz w:val="22"/>
          <w:szCs w:val="22"/>
        </w:rPr>
        <w:lastRenderedPageBreak/>
        <w:t>para los siguientes seis meses. Esta programación incluirá las necesidades de financiamiento de acuerdo con lo siguiente:</w:t>
      </w:r>
    </w:p>
    <w:p w14:paraId="10BF2DD7" w14:textId="77777777" w:rsidR="00726C0B" w:rsidRDefault="00726C0B">
      <w:pPr>
        <w:pBdr>
          <w:top w:val="nil"/>
          <w:left w:val="nil"/>
          <w:bottom w:val="nil"/>
          <w:right w:val="nil"/>
          <w:between w:val="nil"/>
        </w:pBdr>
        <w:ind w:left="792" w:hanging="720"/>
        <w:jc w:val="both"/>
        <w:rPr>
          <w:rFonts w:ascii="Arial" w:eastAsia="Arial" w:hAnsi="Arial" w:cs="Arial"/>
          <w:color w:val="000000"/>
          <w:sz w:val="22"/>
          <w:szCs w:val="22"/>
        </w:rPr>
      </w:pPr>
    </w:p>
    <w:p w14:paraId="114E4C60" w14:textId="62AB67C5" w:rsidR="00726C0B" w:rsidRDefault="00BB4E15">
      <w:pPr>
        <w:numPr>
          <w:ilvl w:val="0"/>
          <w:numId w:val="12"/>
        </w:numPr>
        <w:pBdr>
          <w:top w:val="nil"/>
          <w:left w:val="nil"/>
          <w:bottom w:val="nil"/>
          <w:right w:val="nil"/>
          <w:between w:val="nil"/>
        </w:pBdr>
        <w:jc w:val="both"/>
        <w:rPr>
          <w:rFonts w:ascii="Arial" w:eastAsia="Arial" w:hAnsi="Arial" w:cs="Arial"/>
          <w:b/>
          <w:color w:val="000000"/>
          <w:sz w:val="22"/>
          <w:szCs w:val="22"/>
        </w:rPr>
      </w:pPr>
      <w:r w:rsidRPr="50645892">
        <w:rPr>
          <w:rFonts w:ascii="Arial" w:eastAsia="Arial" w:hAnsi="Arial" w:cs="Arial"/>
          <w:b/>
          <w:color w:val="000000" w:themeColor="text1"/>
          <w:sz w:val="22"/>
          <w:szCs w:val="22"/>
        </w:rPr>
        <w:t xml:space="preserve">Reembolso de operaciones </w:t>
      </w:r>
      <w:r w:rsidRPr="50645892">
        <w:rPr>
          <w:rFonts w:ascii="Arial" w:eastAsia="Arial" w:hAnsi="Arial" w:cs="Arial"/>
          <w:color w:val="000000" w:themeColor="text1"/>
          <w:sz w:val="22"/>
          <w:szCs w:val="22"/>
        </w:rPr>
        <w:t xml:space="preserve">que cumplan los parámetros definidos en el presente reglamento, concedidas entre el </w:t>
      </w:r>
      <w:r w:rsidR="31700DC2" w:rsidRPr="50645892">
        <w:rPr>
          <w:rFonts w:ascii="Arial" w:eastAsia="Arial" w:hAnsi="Arial" w:cs="Arial"/>
          <w:color w:val="000000" w:themeColor="text1"/>
          <w:sz w:val="22"/>
          <w:szCs w:val="22"/>
        </w:rPr>
        <w:t>11 de marzo</w:t>
      </w:r>
      <w:r w:rsidR="2F18B879" w:rsidRPr="50645892">
        <w:rPr>
          <w:rFonts w:ascii="Arial" w:eastAsia="Arial" w:hAnsi="Arial" w:cs="Arial"/>
          <w:color w:val="000000" w:themeColor="text1"/>
          <w:sz w:val="22"/>
          <w:szCs w:val="22"/>
        </w:rPr>
        <w:t xml:space="preserve"> </w:t>
      </w:r>
      <w:r w:rsidR="007B2823">
        <w:rPr>
          <w:rFonts w:ascii="Arial" w:eastAsia="Arial" w:hAnsi="Arial" w:cs="Arial"/>
          <w:color w:val="000000" w:themeColor="text1"/>
          <w:sz w:val="22"/>
          <w:szCs w:val="22"/>
        </w:rPr>
        <w:t xml:space="preserve">2020 </w:t>
      </w:r>
      <w:r w:rsidRPr="50645892">
        <w:rPr>
          <w:rFonts w:ascii="Arial" w:eastAsia="Arial" w:hAnsi="Arial" w:cs="Arial"/>
          <w:color w:val="000000" w:themeColor="text1"/>
          <w:sz w:val="22"/>
          <w:szCs w:val="22"/>
        </w:rPr>
        <w:t xml:space="preserve">y la fecha de suscripción del contrato de préstamo, así como de operaciones financiadas posteriormente a la suscripción del contrato. </w:t>
      </w:r>
    </w:p>
    <w:p w14:paraId="03D4CC5B" w14:textId="77777777" w:rsidR="00726C0B" w:rsidRDefault="00726C0B">
      <w:pPr>
        <w:pBdr>
          <w:top w:val="nil"/>
          <w:left w:val="nil"/>
          <w:bottom w:val="nil"/>
          <w:right w:val="nil"/>
          <w:between w:val="nil"/>
        </w:pBdr>
        <w:ind w:left="1152" w:hanging="720"/>
        <w:jc w:val="both"/>
        <w:rPr>
          <w:rFonts w:ascii="Arial" w:eastAsia="Arial" w:hAnsi="Arial" w:cs="Arial"/>
          <w:b/>
          <w:color w:val="000000"/>
          <w:sz w:val="22"/>
          <w:szCs w:val="22"/>
        </w:rPr>
      </w:pPr>
    </w:p>
    <w:p w14:paraId="15B06B7E" w14:textId="73172D99" w:rsidR="00726C0B" w:rsidRPr="00D04F9D" w:rsidRDefault="00BB4E15">
      <w:pPr>
        <w:numPr>
          <w:ilvl w:val="0"/>
          <w:numId w:val="12"/>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Anticipo </w:t>
      </w:r>
      <w:r>
        <w:rPr>
          <w:rFonts w:ascii="Arial" w:eastAsia="Arial" w:hAnsi="Arial" w:cs="Arial"/>
          <w:color w:val="000000"/>
          <w:sz w:val="22"/>
          <w:szCs w:val="22"/>
        </w:rPr>
        <w:t xml:space="preserve">para futuros desembolsos de operaciones de crédito a ser canalizadas a través del FONDEP en el marco del </w:t>
      </w:r>
      <w:r w:rsidR="00053A0D">
        <w:rPr>
          <w:rFonts w:ascii="Arial" w:eastAsia="Arial" w:hAnsi="Arial" w:cs="Arial"/>
          <w:color w:val="000000"/>
          <w:sz w:val="22"/>
          <w:szCs w:val="22"/>
        </w:rPr>
        <w:t>p</w:t>
      </w:r>
      <w:r>
        <w:rPr>
          <w:rFonts w:ascii="Arial" w:eastAsia="Arial" w:hAnsi="Arial" w:cs="Arial"/>
          <w:color w:val="000000"/>
          <w:sz w:val="22"/>
          <w:szCs w:val="22"/>
        </w:rPr>
        <w:t xml:space="preserve">rograma. </w:t>
      </w:r>
      <w:r w:rsidRPr="00D04F9D">
        <w:rPr>
          <w:rFonts w:ascii="Arial" w:eastAsia="Arial" w:hAnsi="Arial" w:cs="Arial"/>
          <w:color w:val="000000"/>
          <w:sz w:val="22"/>
          <w:szCs w:val="22"/>
        </w:rPr>
        <w:t xml:space="preserve">Deberá incluirse una proyección sustentada de colocaciones, a satisfacción del Banco. </w:t>
      </w:r>
    </w:p>
    <w:p w14:paraId="2C188F99" w14:textId="77777777" w:rsidR="00726C0B" w:rsidRDefault="00726C0B">
      <w:pPr>
        <w:pBdr>
          <w:top w:val="nil"/>
          <w:left w:val="nil"/>
          <w:bottom w:val="nil"/>
          <w:right w:val="nil"/>
          <w:between w:val="nil"/>
        </w:pBdr>
        <w:ind w:left="720"/>
        <w:rPr>
          <w:rFonts w:ascii="Arial" w:eastAsia="Arial" w:hAnsi="Arial" w:cs="Arial"/>
          <w:b/>
          <w:color w:val="000000"/>
          <w:sz w:val="22"/>
          <w:szCs w:val="22"/>
        </w:rPr>
      </w:pPr>
    </w:p>
    <w:p w14:paraId="4549BDB8" w14:textId="0D961420" w:rsidR="00726C0B" w:rsidRDefault="00BB4E15">
      <w:pPr>
        <w:numPr>
          <w:ilvl w:val="0"/>
          <w:numId w:val="12"/>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Fortalecimiento del FOGAR </w:t>
      </w:r>
      <w:r>
        <w:rPr>
          <w:rFonts w:ascii="Arial" w:eastAsia="Arial" w:hAnsi="Arial" w:cs="Arial"/>
          <w:color w:val="000000"/>
          <w:sz w:val="22"/>
          <w:szCs w:val="22"/>
        </w:rPr>
        <w:t xml:space="preserve">para incrementar su capacidad de otorgamiento de garantía a beneficiarios elegibles a fin de que estos puedan acceder a financiamiento por parte de las IFI, en los casos en que no dispongan de garantías adecuadas suficientes. Las operaciones de garantía colocadas serán informadas </w:t>
      </w:r>
      <w:r w:rsidR="00E475E8">
        <w:rPr>
          <w:rFonts w:ascii="Arial" w:eastAsia="Arial" w:hAnsi="Arial" w:cs="Arial"/>
          <w:color w:val="000000"/>
          <w:sz w:val="22"/>
          <w:szCs w:val="22"/>
        </w:rPr>
        <w:t xml:space="preserve">semestralmente </w:t>
      </w:r>
      <w:r>
        <w:rPr>
          <w:rFonts w:ascii="Arial" w:eastAsia="Arial" w:hAnsi="Arial" w:cs="Arial"/>
          <w:color w:val="000000"/>
          <w:sz w:val="22"/>
          <w:szCs w:val="22"/>
        </w:rPr>
        <w:t>al BID.</w:t>
      </w:r>
    </w:p>
    <w:p w14:paraId="39000D37" w14:textId="77777777" w:rsidR="00726C0B" w:rsidRDefault="00726C0B">
      <w:pPr>
        <w:ind w:left="720"/>
        <w:rPr>
          <w:rFonts w:ascii="Arial" w:eastAsia="Arial" w:hAnsi="Arial" w:cs="Arial"/>
          <w:sz w:val="22"/>
          <w:szCs w:val="22"/>
        </w:rPr>
      </w:pPr>
    </w:p>
    <w:p w14:paraId="5207DADC" w14:textId="77777777" w:rsidR="00726C0B" w:rsidRDefault="00BB4E15" w:rsidP="00315379">
      <w:pPr>
        <w:numPr>
          <w:ilvl w:val="1"/>
          <w:numId w:val="11"/>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Los montos entre los subcomponentes serán intercambiables previa no objeción del </w:t>
      </w:r>
      <w:r w:rsidRPr="00315379">
        <w:rPr>
          <w:rFonts w:ascii="Arial" w:eastAsia="Arial" w:hAnsi="Arial" w:cs="Arial"/>
          <w:bCs/>
          <w:color w:val="000000"/>
          <w:sz w:val="22"/>
          <w:szCs w:val="22"/>
        </w:rPr>
        <w:t>BID</w:t>
      </w:r>
      <w:r>
        <w:rPr>
          <w:rFonts w:ascii="Arial" w:eastAsia="Arial" w:hAnsi="Arial" w:cs="Arial"/>
          <w:sz w:val="22"/>
          <w:szCs w:val="22"/>
        </w:rPr>
        <w:t xml:space="preserve"> por medio escrito. </w:t>
      </w:r>
    </w:p>
    <w:p w14:paraId="126408A2" w14:textId="77777777" w:rsidR="00726C0B" w:rsidRDefault="00BB4E15">
      <w:pPr>
        <w:pStyle w:val="Heading1"/>
        <w:numPr>
          <w:ilvl w:val="0"/>
          <w:numId w:val="11"/>
        </w:numPr>
        <w:jc w:val="both"/>
        <w:rPr>
          <w:sz w:val="22"/>
          <w:szCs w:val="22"/>
        </w:rPr>
      </w:pPr>
      <w:bookmarkStart w:id="5" w:name="_Toc42709752"/>
      <w:r>
        <w:rPr>
          <w:sz w:val="22"/>
          <w:szCs w:val="22"/>
        </w:rPr>
        <w:t>Uso de los recursos</w:t>
      </w:r>
      <w:bookmarkEnd w:id="5"/>
    </w:p>
    <w:p w14:paraId="22ABF91C" w14:textId="77777777" w:rsidR="00726C0B" w:rsidRDefault="00726C0B">
      <w:pPr>
        <w:pBdr>
          <w:top w:val="nil"/>
          <w:left w:val="nil"/>
          <w:bottom w:val="nil"/>
          <w:right w:val="nil"/>
          <w:between w:val="nil"/>
        </w:pBdr>
        <w:ind w:left="792" w:hanging="720"/>
        <w:jc w:val="both"/>
        <w:rPr>
          <w:rFonts w:ascii="Arial" w:eastAsia="Arial" w:hAnsi="Arial" w:cs="Arial"/>
          <w:b/>
          <w:color w:val="000000"/>
          <w:sz w:val="22"/>
          <w:szCs w:val="22"/>
        </w:rPr>
      </w:pPr>
    </w:p>
    <w:p w14:paraId="3A805AE0" w14:textId="529054E6" w:rsidR="00726C0B" w:rsidRDefault="00BB4E15">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 xml:space="preserve">Beneficiarios elegibles: </w:t>
      </w:r>
      <w:r>
        <w:rPr>
          <w:rFonts w:ascii="Arial" w:eastAsia="Arial" w:hAnsi="Arial" w:cs="Arial"/>
          <w:color w:val="000000"/>
          <w:sz w:val="22"/>
          <w:szCs w:val="22"/>
        </w:rPr>
        <w:t xml:space="preserve">Serán beneficiarios elegibles del programa las personas naturales y jurídicas consideradas como MIPYME que puedan ser consideradas como sujetos de crédito por </w:t>
      </w:r>
      <w:r w:rsidRPr="00315379">
        <w:rPr>
          <w:rFonts w:ascii="Arial" w:eastAsia="Arial" w:hAnsi="Arial" w:cs="Arial"/>
          <w:color w:val="000000"/>
          <w:sz w:val="22"/>
          <w:szCs w:val="22"/>
        </w:rPr>
        <w:t>parte de las IFI hasta 30 de enero de 2020 o la</w:t>
      </w:r>
      <w:r>
        <w:rPr>
          <w:rFonts w:ascii="Arial" w:eastAsia="Arial" w:hAnsi="Arial" w:cs="Arial"/>
          <w:color w:val="000000"/>
          <w:sz w:val="22"/>
          <w:szCs w:val="22"/>
        </w:rPr>
        <w:t xml:space="preserve"> fecha que se determine como previa a la pandemia. Se podrán financiar actividades productivas, y sus cadenas de valor en el marco de la emergencia económica provocada por el COVID-19. En particular se dará prioridad a los sectores económicos y cadenas de valor que incluyan MIPYME con altos niveles de afectación económica por la pandemia global COVID-19. </w:t>
      </w:r>
      <w:r w:rsidR="009660F3">
        <w:rPr>
          <w:rFonts w:ascii="Arial" w:eastAsia="Arial" w:hAnsi="Arial" w:cs="Arial"/>
          <w:color w:val="000000"/>
          <w:sz w:val="22"/>
          <w:szCs w:val="22"/>
        </w:rPr>
        <w:t xml:space="preserve">No se financiarán actividades del sector primario. </w:t>
      </w:r>
      <w:r>
        <w:rPr>
          <w:rFonts w:ascii="Arial" w:eastAsia="Arial" w:hAnsi="Arial" w:cs="Arial"/>
          <w:color w:val="000000"/>
          <w:sz w:val="22"/>
          <w:szCs w:val="22"/>
        </w:rPr>
        <w:t xml:space="preserve">El </w:t>
      </w:r>
      <w:r w:rsidR="00C125D0">
        <w:rPr>
          <w:rFonts w:ascii="Arial" w:eastAsia="Arial" w:hAnsi="Arial" w:cs="Arial"/>
          <w:color w:val="000000"/>
          <w:sz w:val="22"/>
          <w:szCs w:val="22"/>
        </w:rPr>
        <w:t>p</w:t>
      </w:r>
      <w:r>
        <w:rPr>
          <w:rFonts w:ascii="Arial" w:eastAsia="Arial" w:hAnsi="Arial" w:cs="Arial"/>
          <w:color w:val="000000"/>
          <w:sz w:val="22"/>
          <w:szCs w:val="22"/>
        </w:rPr>
        <w:t xml:space="preserve">rograma proporcionará crédito de </w:t>
      </w:r>
      <w:r w:rsidRPr="00D04F9D">
        <w:rPr>
          <w:rFonts w:ascii="Arial" w:eastAsia="Arial" w:hAnsi="Arial" w:cs="Arial"/>
          <w:color w:val="000000"/>
          <w:sz w:val="22"/>
          <w:szCs w:val="22"/>
        </w:rPr>
        <w:t>hasta 84 meses</w:t>
      </w:r>
      <w:r>
        <w:rPr>
          <w:rFonts w:ascii="Arial" w:eastAsia="Arial" w:hAnsi="Arial" w:cs="Arial"/>
          <w:color w:val="000000"/>
          <w:sz w:val="22"/>
          <w:szCs w:val="22"/>
        </w:rPr>
        <w:t xml:space="preserve"> a través de subpréstamos individuales para el financiamiento de créditos productivos con montos máximos de hasta US$200</w:t>
      </w:r>
      <w:r w:rsidR="00A14089">
        <w:rPr>
          <w:rFonts w:ascii="Arial" w:eastAsia="Arial" w:hAnsi="Arial" w:cs="Arial"/>
          <w:color w:val="000000"/>
          <w:sz w:val="22"/>
          <w:szCs w:val="22"/>
        </w:rPr>
        <w:t>.000</w:t>
      </w:r>
      <w:r>
        <w:rPr>
          <w:rFonts w:ascii="Arial" w:eastAsia="Arial" w:hAnsi="Arial" w:cs="Arial"/>
          <w:color w:val="000000"/>
          <w:sz w:val="22"/>
          <w:szCs w:val="22"/>
        </w:rPr>
        <w:t xml:space="preserve"> o su equivalente en moneda local por beneficiario. En todo caso, los subpréstamos serán consistentes con el objetivo del </w:t>
      </w:r>
      <w:r w:rsidR="00C125D0">
        <w:rPr>
          <w:rFonts w:ascii="Arial" w:eastAsia="Arial" w:hAnsi="Arial" w:cs="Arial"/>
          <w:color w:val="000000"/>
          <w:sz w:val="22"/>
          <w:szCs w:val="22"/>
        </w:rPr>
        <w:t>p</w:t>
      </w:r>
      <w:r>
        <w:rPr>
          <w:rFonts w:ascii="Arial" w:eastAsia="Arial" w:hAnsi="Arial" w:cs="Arial"/>
          <w:color w:val="000000"/>
          <w:sz w:val="22"/>
          <w:szCs w:val="22"/>
        </w:rPr>
        <w:t>rograma estipulado contractualmente. Los mismos criterios de elegibilidad se aplicarán a las solicitudes de garantía que se presente para consideración del FOGAR.</w:t>
      </w:r>
    </w:p>
    <w:p w14:paraId="692B0396" w14:textId="77777777" w:rsidR="00726C0B" w:rsidRDefault="00726C0B">
      <w:pPr>
        <w:pBdr>
          <w:top w:val="nil"/>
          <w:left w:val="nil"/>
          <w:bottom w:val="nil"/>
          <w:right w:val="nil"/>
          <w:between w:val="nil"/>
        </w:pBdr>
        <w:ind w:left="907" w:hanging="720"/>
        <w:jc w:val="both"/>
        <w:rPr>
          <w:rFonts w:ascii="Arial" w:eastAsia="Arial" w:hAnsi="Arial" w:cs="Arial"/>
          <w:color w:val="000000"/>
          <w:sz w:val="22"/>
          <w:szCs w:val="22"/>
        </w:rPr>
      </w:pPr>
    </w:p>
    <w:p w14:paraId="323584E2" w14:textId="6B66201E" w:rsidR="00726C0B" w:rsidRPr="00DD40DC" w:rsidRDefault="00BB4E15">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 xml:space="preserve">Destinos Económicos Elegibles: </w:t>
      </w:r>
      <w:r>
        <w:rPr>
          <w:rFonts w:ascii="Arial" w:eastAsia="Arial" w:hAnsi="Arial" w:cs="Arial"/>
          <w:color w:val="000000"/>
          <w:sz w:val="22"/>
          <w:szCs w:val="22"/>
        </w:rPr>
        <w:t>Los recursos podrán financiar y/o garantizar inversiones (activo fijo) y capital de trabajo para actividades que incluyen, pero no se limitan a: adquisición de materias primas, tecnología, infraestructura, equipamiento, transporte, almacenamiento, acopio, salarios, impuestos, servicios públicos y cualquier otro propósito relacionado con la recuperación, mejoramiento y mantenimiento de la actividad económica. Se excluyen las operaciones de crédito de consumo y las actividades incluidas en el párrafo 6.</w:t>
      </w:r>
      <w:r w:rsidR="00BB2C82">
        <w:rPr>
          <w:rFonts w:ascii="Arial" w:eastAsia="Arial" w:hAnsi="Arial" w:cs="Arial"/>
          <w:color w:val="000000"/>
          <w:sz w:val="22"/>
          <w:szCs w:val="22"/>
        </w:rPr>
        <w:t>4</w:t>
      </w:r>
      <w:r>
        <w:rPr>
          <w:rFonts w:ascii="Arial" w:eastAsia="Arial" w:hAnsi="Arial" w:cs="Arial"/>
          <w:color w:val="000000"/>
          <w:sz w:val="22"/>
          <w:szCs w:val="22"/>
        </w:rPr>
        <w:t xml:space="preserve"> </w:t>
      </w:r>
      <w:r w:rsidR="00B638E4">
        <w:rPr>
          <w:rFonts w:ascii="Arial" w:eastAsia="Arial" w:hAnsi="Arial" w:cs="Arial"/>
          <w:color w:val="000000"/>
          <w:sz w:val="22"/>
          <w:szCs w:val="22"/>
        </w:rPr>
        <w:t>así</w:t>
      </w:r>
      <w:r>
        <w:rPr>
          <w:rFonts w:ascii="Arial" w:eastAsia="Arial" w:hAnsi="Arial" w:cs="Arial"/>
          <w:color w:val="000000"/>
          <w:sz w:val="22"/>
          <w:szCs w:val="22"/>
        </w:rPr>
        <w:t xml:space="preserve"> como las que constan en el Anexo 1 “Lista de Exclusión”. Se podrán considerar la reestructuración y refinanciamiento de deudas adquiridas previamente con las IFI. Lo anterior, en el marco de la emergencia ocasionada por el COVID-19 y de acuerdo con la definición de beneficiarios elegibles. Los mismos destinos económicos serán aplicables tanto a las operaciones préstamo que se presenten </w:t>
      </w:r>
      <w:r>
        <w:rPr>
          <w:rFonts w:ascii="Arial" w:eastAsia="Arial" w:hAnsi="Arial" w:cs="Arial"/>
          <w:color w:val="000000"/>
          <w:sz w:val="22"/>
          <w:szCs w:val="22"/>
        </w:rPr>
        <w:lastRenderedPageBreak/>
        <w:t>para consideración del FONDEP como a las operaciones de garantía que se presenten para consideración del FOGAR.</w:t>
      </w:r>
    </w:p>
    <w:p w14:paraId="36D3127A" w14:textId="77777777" w:rsidR="00E16CFB" w:rsidRPr="00DD40DC" w:rsidRDefault="00E16CFB" w:rsidP="00DD40DC">
      <w:pPr>
        <w:pStyle w:val="Heading1"/>
        <w:numPr>
          <w:ilvl w:val="0"/>
          <w:numId w:val="11"/>
        </w:numPr>
        <w:jc w:val="both"/>
        <w:rPr>
          <w:sz w:val="22"/>
          <w:szCs w:val="22"/>
        </w:rPr>
      </w:pPr>
      <w:bookmarkStart w:id="6" w:name="_Toc42709753"/>
      <w:r w:rsidRPr="00DD40DC">
        <w:rPr>
          <w:sz w:val="22"/>
          <w:szCs w:val="22"/>
        </w:rPr>
        <w:t>Características específicas de los subpréstamos sujetos a financiación del Program</w:t>
      </w:r>
      <w:bookmarkStart w:id="7" w:name="_Toc37858890"/>
      <w:bookmarkStart w:id="8" w:name="_Toc38889130"/>
      <w:r w:rsidRPr="00DD40DC">
        <w:rPr>
          <w:sz w:val="22"/>
          <w:szCs w:val="22"/>
        </w:rPr>
        <w:t>a</w:t>
      </w:r>
      <w:bookmarkEnd w:id="6"/>
      <w:bookmarkEnd w:id="7"/>
      <w:bookmarkEnd w:id="8"/>
    </w:p>
    <w:p w14:paraId="5A78B24D" w14:textId="77777777" w:rsidR="00E16CFB" w:rsidRPr="00AA1A03" w:rsidRDefault="00E16CFB" w:rsidP="00E16CFB">
      <w:pPr>
        <w:rPr>
          <w:rFonts w:ascii="Arial" w:hAnsi="Arial" w:cs="Arial"/>
          <w:sz w:val="22"/>
          <w:lang w:val="es-ES_tradnl"/>
        </w:rPr>
      </w:pPr>
    </w:p>
    <w:p w14:paraId="635D27F6" w14:textId="77777777" w:rsidR="00E16CFB" w:rsidRPr="00AA1A03" w:rsidRDefault="00E16CFB" w:rsidP="00E4566F">
      <w:pPr>
        <w:numPr>
          <w:ilvl w:val="1"/>
          <w:numId w:val="11"/>
        </w:numPr>
        <w:pBdr>
          <w:top w:val="nil"/>
          <w:left w:val="nil"/>
          <w:bottom w:val="nil"/>
          <w:right w:val="nil"/>
          <w:between w:val="nil"/>
        </w:pBdr>
        <w:jc w:val="both"/>
        <w:rPr>
          <w:rFonts w:ascii="Arial" w:hAnsi="Arial" w:cs="Arial"/>
          <w:sz w:val="22"/>
          <w:szCs w:val="22"/>
          <w:lang w:val="es-ES_tradnl"/>
        </w:rPr>
      </w:pPr>
      <w:r w:rsidRPr="77636A7B">
        <w:rPr>
          <w:rFonts w:ascii="Arial" w:hAnsi="Arial" w:cs="Arial"/>
          <w:b/>
          <w:bCs/>
          <w:sz w:val="22"/>
          <w:szCs w:val="22"/>
        </w:rPr>
        <w:t xml:space="preserve">Cobro </w:t>
      </w:r>
      <w:r w:rsidRPr="00E4566F">
        <w:rPr>
          <w:rFonts w:ascii="Arial" w:eastAsia="Arial" w:hAnsi="Arial" w:cs="Arial"/>
          <w:b/>
          <w:color w:val="000000"/>
          <w:sz w:val="22"/>
          <w:szCs w:val="22"/>
        </w:rPr>
        <w:t>de</w:t>
      </w:r>
      <w:r w:rsidRPr="77636A7B">
        <w:rPr>
          <w:rFonts w:ascii="Arial" w:hAnsi="Arial" w:cs="Arial"/>
          <w:b/>
          <w:bCs/>
          <w:sz w:val="22"/>
          <w:szCs w:val="22"/>
        </w:rPr>
        <w:t xml:space="preserve"> intereses: </w:t>
      </w:r>
      <w:r w:rsidRPr="77636A7B">
        <w:rPr>
          <w:rFonts w:ascii="Arial" w:hAnsi="Arial" w:cs="Arial"/>
          <w:sz w:val="22"/>
          <w:szCs w:val="22"/>
        </w:rPr>
        <w:t>A los subprestatarios deberá cobrarse por concepto de intereses, comisiones, seguros o por cualesquiera otros cargos, la tasa o tasas anuales que, guardando armonía con la legislación y las políticas sobre tasas de interés de Argentina, que sean compatibles con la política del BID y de la FONDEP sobre tasas de interés para ese tipo de financiamiento.</w:t>
      </w:r>
    </w:p>
    <w:p w14:paraId="07D2E91A" w14:textId="77777777" w:rsidR="00E16CFB" w:rsidRPr="00AA1A03" w:rsidRDefault="00E16CFB" w:rsidP="00E16CFB">
      <w:pPr>
        <w:jc w:val="both"/>
        <w:rPr>
          <w:rFonts w:ascii="Arial" w:hAnsi="Arial" w:cs="Arial"/>
          <w:sz w:val="22"/>
          <w:lang w:val="es-ES_tradnl"/>
        </w:rPr>
      </w:pPr>
    </w:p>
    <w:p w14:paraId="41455107" w14:textId="440045F3" w:rsidR="00E16CFB" w:rsidRPr="007F79C1" w:rsidRDefault="00E16CFB" w:rsidP="007F79C1">
      <w:pPr>
        <w:numPr>
          <w:ilvl w:val="1"/>
          <w:numId w:val="11"/>
        </w:numPr>
        <w:jc w:val="both"/>
        <w:rPr>
          <w:rFonts w:ascii="Arial" w:hAnsi="Arial" w:cs="Arial"/>
          <w:b/>
          <w:bCs/>
          <w:sz w:val="22"/>
          <w:szCs w:val="22"/>
          <w:lang w:val="es-ES_tradnl"/>
        </w:rPr>
      </w:pPr>
      <w:r w:rsidRPr="007F79C1">
        <w:rPr>
          <w:rFonts w:ascii="Arial" w:hAnsi="Arial" w:cs="Arial"/>
          <w:b/>
          <w:bCs/>
          <w:sz w:val="22"/>
          <w:szCs w:val="22"/>
        </w:rPr>
        <w:t xml:space="preserve">Monto de Financiación: </w:t>
      </w:r>
      <w:r w:rsidRPr="007F79C1">
        <w:rPr>
          <w:rFonts w:ascii="Arial" w:hAnsi="Arial" w:cs="Arial"/>
          <w:sz w:val="22"/>
          <w:szCs w:val="22"/>
        </w:rPr>
        <w:t xml:space="preserve">El programa contempla la financiación de subpréstamos a una misma persona natural o jurídica o para un mismo proyecto o grupo de proyectos que en su conjunto y en un momento dado no excedan US$200.000 o su equivalente en moneda local para deudores individuales, y cumplan con las características y condiciones ambientales y sociales aplicables según la sección VIII de este Reglamento. </w:t>
      </w:r>
    </w:p>
    <w:p w14:paraId="1B42576E" w14:textId="77777777" w:rsidR="00E16CFB" w:rsidRPr="00AA1A03" w:rsidRDefault="00E16CFB" w:rsidP="00E16CFB">
      <w:pPr>
        <w:pStyle w:val="ListParagraph"/>
        <w:ind w:left="907"/>
        <w:jc w:val="both"/>
        <w:rPr>
          <w:rFonts w:ascii="Arial" w:hAnsi="Arial" w:cs="Arial"/>
          <w:b/>
          <w:sz w:val="22"/>
          <w:lang w:val="es-ES_tradnl"/>
        </w:rPr>
      </w:pPr>
    </w:p>
    <w:p w14:paraId="5B20E14A" w14:textId="53A73DCA" w:rsidR="00E16CFB" w:rsidRPr="00AA1A03" w:rsidRDefault="00E16CFB" w:rsidP="007F79C1">
      <w:pPr>
        <w:pStyle w:val="ListParagraph"/>
        <w:numPr>
          <w:ilvl w:val="1"/>
          <w:numId w:val="11"/>
        </w:numPr>
        <w:jc w:val="both"/>
        <w:rPr>
          <w:rFonts w:ascii="Arial" w:hAnsi="Arial" w:cs="Arial"/>
          <w:b/>
          <w:bCs/>
          <w:sz w:val="22"/>
          <w:szCs w:val="22"/>
          <w:lang w:val="es-ES_tradnl"/>
        </w:rPr>
      </w:pPr>
      <w:r w:rsidRPr="77636A7B">
        <w:rPr>
          <w:rFonts w:ascii="Arial" w:hAnsi="Arial" w:cs="Arial"/>
          <w:b/>
          <w:bCs/>
          <w:sz w:val="22"/>
          <w:szCs w:val="22"/>
        </w:rPr>
        <w:t xml:space="preserve">Cofinanciamiento: </w:t>
      </w:r>
      <w:r w:rsidRPr="77636A7B">
        <w:rPr>
          <w:rFonts w:ascii="Arial" w:hAnsi="Arial" w:cs="Arial"/>
          <w:sz w:val="22"/>
          <w:szCs w:val="22"/>
        </w:rPr>
        <w:t>Cualquier subpréstamo podrá ser objeto de cofinanciamiento proveniente de otras fuentes de recursos, incluyendo otras instituciones multilaterales del mismo carácter del BID y las propias empresas interesadas en desarrollar los proyectos de inversión en el contexto de la emergencia COVID-19.</w:t>
      </w:r>
    </w:p>
    <w:p w14:paraId="176FB4EB" w14:textId="77777777" w:rsidR="00E16CFB" w:rsidRPr="00AA1A03" w:rsidRDefault="00E16CFB" w:rsidP="00E16CFB">
      <w:pPr>
        <w:pStyle w:val="ListParagraph"/>
        <w:ind w:left="792"/>
        <w:jc w:val="both"/>
        <w:rPr>
          <w:rFonts w:ascii="Arial" w:hAnsi="Arial" w:cs="Arial"/>
          <w:b/>
          <w:sz w:val="22"/>
          <w:lang w:val="es-ES_tradnl"/>
        </w:rPr>
      </w:pPr>
    </w:p>
    <w:p w14:paraId="04CB1090" w14:textId="3CF9EB5A" w:rsidR="0094214B" w:rsidRPr="000E1A36" w:rsidRDefault="00E16CFB" w:rsidP="000E1A36">
      <w:pPr>
        <w:pStyle w:val="ListParagraph"/>
        <w:numPr>
          <w:ilvl w:val="1"/>
          <w:numId w:val="11"/>
        </w:numPr>
        <w:jc w:val="both"/>
        <w:rPr>
          <w:rFonts w:ascii="Arial" w:hAnsi="Arial" w:cs="Arial"/>
          <w:b/>
          <w:bCs/>
          <w:sz w:val="22"/>
          <w:szCs w:val="22"/>
          <w:lang w:val="es-ES_tradnl"/>
        </w:rPr>
      </w:pPr>
      <w:r w:rsidRPr="77636A7B">
        <w:rPr>
          <w:rFonts w:ascii="Arial" w:hAnsi="Arial" w:cs="Arial"/>
          <w:b/>
          <w:bCs/>
          <w:sz w:val="22"/>
          <w:szCs w:val="22"/>
        </w:rPr>
        <w:t xml:space="preserve">Limitación de los recursos: </w:t>
      </w:r>
      <w:r w:rsidRPr="77636A7B">
        <w:rPr>
          <w:rFonts w:ascii="Arial" w:hAnsi="Arial" w:cs="Arial"/>
          <w:sz w:val="22"/>
          <w:szCs w:val="22"/>
        </w:rPr>
        <w:t xml:space="preserve">Adicionalmente a las limitaciones establecidas en la sección siguiente, vinculadas a temas ambientales y sociales, no podrán concederse subpréstamos con recursos del </w:t>
      </w:r>
      <w:r w:rsidR="008638C5">
        <w:rPr>
          <w:rFonts w:ascii="Arial" w:hAnsi="Arial" w:cs="Arial"/>
          <w:sz w:val="22"/>
          <w:szCs w:val="22"/>
        </w:rPr>
        <w:t>p</w:t>
      </w:r>
      <w:r w:rsidRPr="77636A7B">
        <w:rPr>
          <w:rFonts w:ascii="Arial" w:hAnsi="Arial" w:cs="Arial"/>
          <w:sz w:val="22"/>
          <w:szCs w:val="22"/>
        </w:rPr>
        <w:t>rograma para: (i) adquisición de inmuebles, salvo los asociados al proyecto; (</w:t>
      </w:r>
      <w:proofErr w:type="spellStart"/>
      <w:r w:rsidRPr="77636A7B">
        <w:rPr>
          <w:rFonts w:ascii="Arial" w:hAnsi="Arial" w:cs="Arial"/>
          <w:sz w:val="22"/>
          <w:szCs w:val="22"/>
        </w:rPr>
        <w:t>ii</w:t>
      </w:r>
      <w:proofErr w:type="spellEnd"/>
      <w:r w:rsidRPr="77636A7B">
        <w:rPr>
          <w:rFonts w:ascii="Arial" w:hAnsi="Arial" w:cs="Arial"/>
          <w:sz w:val="22"/>
          <w:szCs w:val="22"/>
        </w:rPr>
        <w:t>) compra de acciones</w:t>
      </w:r>
      <w:r>
        <w:rPr>
          <w:rFonts w:ascii="Arial" w:hAnsi="Arial" w:cs="Arial"/>
          <w:sz w:val="22"/>
          <w:szCs w:val="22"/>
        </w:rPr>
        <w:t>; (</w:t>
      </w:r>
      <w:proofErr w:type="spellStart"/>
      <w:r>
        <w:rPr>
          <w:rFonts w:ascii="Arial" w:hAnsi="Arial" w:cs="Arial"/>
          <w:sz w:val="22"/>
          <w:szCs w:val="22"/>
        </w:rPr>
        <w:t>iii</w:t>
      </w:r>
      <w:proofErr w:type="spellEnd"/>
      <w:r>
        <w:rPr>
          <w:rFonts w:ascii="Arial" w:hAnsi="Arial" w:cs="Arial"/>
          <w:sz w:val="22"/>
          <w:szCs w:val="22"/>
        </w:rPr>
        <w:t xml:space="preserve">) compra de moneda extranjera, </w:t>
      </w:r>
      <w:r w:rsidRPr="77636A7B">
        <w:rPr>
          <w:rFonts w:ascii="Arial" w:hAnsi="Arial" w:cs="Arial"/>
          <w:sz w:val="22"/>
          <w:szCs w:val="22"/>
        </w:rPr>
        <w:t xml:space="preserve">salvo </w:t>
      </w:r>
      <w:r>
        <w:rPr>
          <w:rFonts w:ascii="Arial" w:hAnsi="Arial" w:cs="Arial"/>
          <w:sz w:val="22"/>
          <w:szCs w:val="22"/>
        </w:rPr>
        <w:t xml:space="preserve">necesidades </w:t>
      </w:r>
      <w:r w:rsidRPr="77636A7B">
        <w:rPr>
          <w:rFonts w:ascii="Arial" w:hAnsi="Arial" w:cs="Arial"/>
          <w:sz w:val="22"/>
          <w:szCs w:val="22"/>
        </w:rPr>
        <w:t>asociad</w:t>
      </w:r>
      <w:r>
        <w:rPr>
          <w:rFonts w:ascii="Arial" w:hAnsi="Arial" w:cs="Arial"/>
          <w:sz w:val="22"/>
          <w:szCs w:val="22"/>
        </w:rPr>
        <w:t>a</w:t>
      </w:r>
      <w:r w:rsidRPr="77636A7B">
        <w:rPr>
          <w:rFonts w:ascii="Arial" w:hAnsi="Arial" w:cs="Arial"/>
          <w:sz w:val="22"/>
          <w:szCs w:val="22"/>
        </w:rPr>
        <w:t>s al proyecto</w:t>
      </w:r>
      <w:r>
        <w:rPr>
          <w:rFonts w:ascii="Arial" w:hAnsi="Arial" w:cs="Arial"/>
          <w:sz w:val="22"/>
          <w:szCs w:val="22"/>
        </w:rPr>
        <w:t>; y (</w:t>
      </w:r>
      <w:proofErr w:type="spellStart"/>
      <w:r>
        <w:rPr>
          <w:rFonts w:ascii="Arial" w:hAnsi="Arial" w:cs="Arial"/>
          <w:sz w:val="22"/>
          <w:szCs w:val="22"/>
        </w:rPr>
        <w:t>iv</w:t>
      </w:r>
      <w:proofErr w:type="spellEnd"/>
      <w:r>
        <w:rPr>
          <w:rFonts w:ascii="Arial" w:hAnsi="Arial" w:cs="Arial"/>
          <w:sz w:val="22"/>
          <w:szCs w:val="22"/>
        </w:rPr>
        <w:t>)</w:t>
      </w:r>
      <w:r w:rsidR="007A7A98">
        <w:rPr>
          <w:rFonts w:ascii="Arial" w:hAnsi="Arial" w:cs="Arial"/>
          <w:sz w:val="22"/>
          <w:szCs w:val="22"/>
        </w:rPr>
        <w:t> </w:t>
      </w:r>
      <w:r>
        <w:rPr>
          <w:rFonts w:ascii="Arial" w:hAnsi="Arial" w:cs="Arial"/>
          <w:sz w:val="22"/>
          <w:szCs w:val="22"/>
        </w:rPr>
        <w:t>colocaciones financieras</w:t>
      </w:r>
      <w:r w:rsidR="0062028B">
        <w:rPr>
          <w:rFonts w:ascii="Arial" w:hAnsi="Arial" w:cs="Arial"/>
          <w:sz w:val="22"/>
          <w:szCs w:val="22"/>
        </w:rPr>
        <w:t xml:space="preserve"> y compra de títulos públicos para compra de moneda extranjera</w:t>
      </w:r>
      <w:r>
        <w:rPr>
          <w:rFonts w:ascii="Arial" w:hAnsi="Arial" w:cs="Arial"/>
          <w:sz w:val="22"/>
          <w:szCs w:val="22"/>
        </w:rPr>
        <w:t xml:space="preserve"> Asimismo, los beneficiarios finales</w:t>
      </w:r>
      <w:r w:rsidRPr="009D064D">
        <w:rPr>
          <w:rFonts w:ascii="Arial" w:hAnsi="Arial" w:cs="Arial"/>
          <w:sz w:val="22"/>
          <w:szCs w:val="22"/>
        </w:rPr>
        <w:t xml:space="preserve"> </w:t>
      </w:r>
      <w:r w:rsidR="004B4322">
        <w:rPr>
          <w:rFonts w:ascii="Arial" w:hAnsi="Arial" w:cs="Arial"/>
          <w:sz w:val="22"/>
          <w:szCs w:val="22"/>
        </w:rPr>
        <w:t>t</w:t>
      </w:r>
      <w:r w:rsidR="00A3360B">
        <w:rPr>
          <w:rFonts w:ascii="Arial" w:hAnsi="Arial" w:cs="Arial"/>
          <w:sz w:val="22"/>
          <w:szCs w:val="22"/>
        </w:rPr>
        <w:t xml:space="preserve">endrán prohibido el pago de </w:t>
      </w:r>
      <w:r w:rsidR="004B4322">
        <w:rPr>
          <w:rFonts w:ascii="Arial" w:hAnsi="Arial" w:cs="Arial"/>
          <w:sz w:val="22"/>
          <w:szCs w:val="22"/>
        </w:rPr>
        <w:t xml:space="preserve"> </w:t>
      </w:r>
      <w:r w:rsidRPr="009D064D">
        <w:rPr>
          <w:rFonts w:ascii="Arial" w:hAnsi="Arial" w:cs="Arial"/>
          <w:sz w:val="22"/>
          <w:szCs w:val="22"/>
        </w:rPr>
        <w:t xml:space="preserve"> dividendos sin el consentimiento </w:t>
      </w:r>
      <w:r w:rsidRPr="00A22231">
        <w:rPr>
          <w:rFonts w:ascii="Arial" w:hAnsi="Arial" w:cs="Arial"/>
          <w:sz w:val="22"/>
          <w:szCs w:val="22"/>
        </w:rPr>
        <w:t>de</w:t>
      </w:r>
      <w:r w:rsidRPr="007160F8">
        <w:rPr>
          <w:rFonts w:ascii="Arial" w:hAnsi="Arial" w:cs="Arial"/>
          <w:sz w:val="22"/>
          <w:szCs w:val="22"/>
        </w:rPr>
        <w:t>l OE</w:t>
      </w:r>
      <w:r>
        <w:rPr>
          <w:rFonts w:ascii="Arial" w:hAnsi="Arial" w:cs="Arial"/>
          <w:sz w:val="22"/>
          <w:szCs w:val="22"/>
        </w:rPr>
        <w:t>.</w:t>
      </w:r>
    </w:p>
    <w:p w14:paraId="4A37A173" w14:textId="77777777" w:rsidR="00726C0B" w:rsidRDefault="00BB4E15">
      <w:pPr>
        <w:pStyle w:val="Heading1"/>
        <w:numPr>
          <w:ilvl w:val="0"/>
          <w:numId w:val="11"/>
        </w:numPr>
        <w:jc w:val="both"/>
        <w:rPr>
          <w:sz w:val="22"/>
          <w:szCs w:val="22"/>
        </w:rPr>
      </w:pPr>
      <w:bookmarkStart w:id="9" w:name="_Toc42709754"/>
      <w:r>
        <w:rPr>
          <w:sz w:val="22"/>
          <w:szCs w:val="22"/>
        </w:rPr>
        <w:t>FONDEP - Reglamento de Crédito</w:t>
      </w:r>
      <w:bookmarkEnd w:id="9"/>
    </w:p>
    <w:p w14:paraId="5339A054" w14:textId="7E668563" w:rsidR="00726C0B" w:rsidRDefault="00BB4E15">
      <w:pPr>
        <w:pStyle w:val="Heading1"/>
        <w:numPr>
          <w:ilvl w:val="0"/>
          <w:numId w:val="2"/>
        </w:numPr>
        <w:jc w:val="both"/>
        <w:rPr>
          <w:sz w:val="22"/>
          <w:szCs w:val="22"/>
        </w:rPr>
      </w:pPr>
      <w:bookmarkStart w:id="10" w:name="_Toc42709755"/>
      <w:r>
        <w:rPr>
          <w:sz w:val="22"/>
          <w:szCs w:val="22"/>
        </w:rPr>
        <w:t>Características generales del fondeo con recursos del Programa</w:t>
      </w:r>
      <w:bookmarkEnd w:id="10"/>
    </w:p>
    <w:p w14:paraId="64C89167" w14:textId="77777777" w:rsidR="00726C0B" w:rsidRDefault="00726C0B">
      <w:pPr>
        <w:rPr>
          <w:rFonts w:ascii="Arial" w:eastAsia="Arial" w:hAnsi="Arial" w:cs="Arial"/>
          <w:sz w:val="22"/>
          <w:szCs w:val="22"/>
        </w:rPr>
      </w:pPr>
    </w:p>
    <w:p w14:paraId="754BF7C4" w14:textId="059B3084" w:rsidR="00394767" w:rsidRPr="00394767" w:rsidRDefault="00394767" w:rsidP="007D6120">
      <w:pPr>
        <w:pStyle w:val="ListParagraph"/>
        <w:numPr>
          <w:ilvl w:val="1"/>
          <w:numId w:val="11"/>
        </w:numPr>
        <w:jc w:val="both"/>
        <w:rPr>
          <w:rFonts w:ascii="Arial" w:eastAsia="Arial" w:hAnsi="Arial" w:cs="Arial"/>
          <w:color w:val="000000"/>
          <w:sz w:val="22"/>
          <w:szCs w:val="22"/>
        </w:rPr>
      </w:pPr>
      <w:r w:rsidRPr="00555934">
        <w:rPr>
          <w:rFonts w:ascii="Arial" w:eastAsia="Arial" w:hAnsi="Arial" w:cs="Arial"/>
          <w:color w:val="000000"/>
          <w:sz w:val="22"/>
          <w:szCs w:val="22"/>
        </w:rPr>
        <w:t xml:space="preserve">Para efectos del presente </w:t>
      </w:r>
      <w:r w:rsidR="0065169C">
        <w:rPr>
          <w:rFonts w:ascii="Arial" w:eastAsia="Arial" w:hAnsi="Arial" w:cs="Arial"/>
          <w:color w:val="000000"/>
          <w:sz w:val="22"/>
          <w:szCs w:val="22"/>
        </w:rPr>
        <w:t>RC</w:t>
      </w:r>
      <w:r w:rsidRPr="00555934">
        <w:rPr>
          <w:rFonts w:ascii="Arial" w:eastAsia="Arial" w:hAnsi="Arial" w:cs="Arial"/>
          <w:color w:val="000000"/>
          <w:sz w:val="22"/>
          <w:szCs w:val="22"/>
        </w:rPr>
        <w:t xml:space="preserve"> aplicarán las definiciones y provisiones estipuladas en </w:t>
      </w:r>
      <w:r w:rsidR="00DB17F8" w:rsidRPr="00555934">
        <w:rPr>
          <w:rFonts w:ascii="Arial" w:eastAsia="Arial" w:hAnsi="Arial" w:cs="Arial"/>
          <w:color w:val="000000"/>
          <w:sz w:val="22"/>
          <w:szCs w:val="22"/>
        </w:rPr>
        <w:t xml:space="preserve">el </w:t>
      </w:r>
      <w:r w:rsidR="00D433C6" w:rsidRPr="00555934">
        <w:rPr>
          <w:rFonts w:ascii="Arial" w:eastAsia="Arial" w:hAnsi="Arial" w:cs="Arial"/>
          <w:color w:val="000000"/>
          <w:sz w:val="22"/>
          <w:szCs w:val="22"/>
        </w:rPr>
        <w:t>reglament</w:t>
      </w:r>
      <w:r w:rsidR="00DB17F8" w:rsidRPr="0065169C">
        <w:rPr>
          <w:rFonts w:ascii="Arial" w:eastAsia="Arial" w:hAnsi="Arial" w:cs="Arial"/>
          <w:color w:val="000000"/>
          <w:sz w:val="22"/>
          <w:szCs w:val="22"/>
        </w:rPr>
        <w:t xml:space="preserve">o interno </w:t>
      </w:r>
      <w:r w:rsidR="00D433C6" w:rsidRPr="0065169C">
        <w:rPr>
          <w:rFonts w:ascii="Arial" w:eastAsia="Arial" w:hAnsi="Arial" w:cs="Arial"/>
          <w:color w:val="000000"/>
          <w:sz w:val="22"/>
          <w:szCs w:val="22"/>
        </w:rPr>
        <w:t xml:space="preserve">del FONDEP </w:t>
      </w:r>
      <w:r w:rsidR="00CE3CCA">
        <w:rPr>
          <w:rFonts w:ascii="Arial" w:eastAsia="Arial" w:hAnsi="Arial" w:cs="Arial"/>
          <w:color w:val="000000"/>
          <w:sz w:val="22"/>
          <w:szCs w:val="22"/>
        </w:rPr>
        <w:t xml:space="preserve">(Documento </w:t>
      </w:r>
      <w:r w:rsidR="00436FC1" w:rsidRPr="00555934">
        <w:rPr>
          <w:rFonts w:ascii="Arial" w:eastAsia="Arial" w:hAnsi="Arial" w:cs="Arial"/>
          <w:color w:val="000000"/>
          <w:sz w:val="22"/>
          <w:szCs w:val="22"/>
        </w:rPr>
        <w:t>RESOL</w:t>
      </w:r>
      <w:r w:rsidR="007A7A98">
        <w:rPr>
          <w:rFonts w:ascii="Arial" w:eastAsia="Arial" w:hAnsi="Arial" w:cs="Arial"/>
          <w:color w:val="000000"/>
          <w:sz w:val="22"/>
          <w:szCs w:val="22"/>
        </w:rPr>
        <w:noBreakHyphen/>
      </w:r>
      <w:r w:rsidR="00436FC1" w:rsidRPr="00555934">
        <w:rPr>
          <w:rFonts w:ascii="Arial" w:eastAsia="Arial" w:hAnsi="Arial" w:cs="Arial"/>
          <w:color w:val="000000"/>
          <w:sz w:val="22"/>
          <w:szCs w:val="22"/>
        </w:rPr>
        <w:t>2018</w:t>
      </w:r>
      <w:r w:rsidR="007A7A98">
        <w:rPr>
          <w:rFonts w:ascii="Arial" w:eastAsia="Arial" w:hAnsi="Arial" w:cs="Arial"/>
          <w:color w:val="000000"/>
          <w:sz w:val="22"/>
          <w:szCs w:val="22"/>
        </w:rPr>
        <w:noBreakHyphen/>
      </w:r>
      <w:r w:rsidR="00436FC1" w:rsidRPr="00555934">
        <w:rPr>
          <w:rFonts w:ascii="Arial" w:eastAsia="Arial" w:hAnsi="Arial" w:cs="Arial"/>
          <w:color w:val="000000"/>
          <w:sz w:val="22"/>
          <w:szCs w:val="22"/>
        </w:rPr>
        <w:t>473</w:t>
      </w:r>
      <w:r w:rsidR="007A7A98">
        <w:rPr>
          <w:rFonts w:ascii="Arial" w:eastAsia="Arial" w:hAnsi="Arial" w:cs="Arial"/>
          <w:color w:val="000000"/>
          <w:sz w:val="22"/>
          <w:szCs w:val="22"/>
        </w:rPr>
        <w:noBreakHyphen/>
      </w:r>
      <w:r w:rsidR="00436FC1" w:rsidRPr="00555934">
        <w:rPr>
          <w:rFonts w:ascii="Arial" w:eastAsia="Arial" w:hAnsi="Arial" w:cs="Arial"/>
          <w:color w:val="000000"/>
          <w:sz w:val="22"/>
          <w:szCs w:val="22"/>
        </w:rPr>
        <w:t>APN</w:t>
      </w:r>
      <w:r w:rsidR="007A7A98">
        <w:rPr>
          <w:rFonts w:ascii="Arial" w:eastAsia="Arial" w:hAnsi="Arial" w:cs="Arial"/>
          <w:color w:val="000000"/>
          <w:sz w:val="22"/>
          <w:szCs w:val="22"/>
        </w:rPr>
        <w:noBreakHyphen/>
      </w:r>
      <w:r w:rsidR="00436FC1" w:rsidRPr="00555934">
        <w:rPr>
          <w:rFonts w:ascii="Arial" w:eastAsia="Arial" w:hAnsi="Arial" w:cs="Arial"/>
          <w:color w:val="000000"/>
          <w:sz w:val="22"/>
          <w:szCs w:val="22"/>
        </w:rPr>
        <w:t>SECPYME#MP</w:t>
      </w:r>
      <w:r w:rsidR="00CE3CCA">
        <w:rPr>
          <w:rFonts w:ascii="Arial" w:eastAsia="Arial" w:hAnsi="Arial" w:cs="Arial"/>
          <w:color w:val="000000"/>
          <w:sz w:val="22"/>
          <w:szCs w:val="22"/>
        </w:rPr>
        <w:t xml:space="preserve"> </w:t>
      </w:r>
      <w:r w:rsidRPr="00394767">
        <w:rPr>
          <w:rFonts w:ascii="Arial" w:eastAsia="Arial" w:hAnsi="Arial" w:cs="Arial"/>
          <w:color w:val="000000"/>
          <w:sz w:val="22"/>
          <w:szCs w:val="22"/>
        </w:rPr>
        <w:t>o la reglamentación interna que la modifique, reforme, sustituya o extinga, sujeto a la no objeción del BID). Sin embargo, las excepciones aplicables se detallan en l</w:t>
      </w:r>
      <w:r w:rsidR="0065169C">
        <w:rPr>
          <w:rFonts w:ascii="Arial" w:eastAsia="Arial" w:hAnsi="Arial" w:cs="Arial"/>
          <w:color w:val="000000"/>
          <w:sz w:val="22"/>
          <w:szCs w:val="22"/>
        </w:rPr>
        <w:t>a</w:t>
      </w:r>
      <w:r w:rsidRPr="00394767">
        <w:rPr>
          <w:rFonts w:ascii="Arial" w:eastAsia="Arial" w:hAnsi="Arial" w:cs="Arial"/>
          <w:color w:val="000000"/>
          <w:sz w:val="22"/>
          <w:szCs w:val="22"/>
        </w:rPr>
        <w:t xml:space="preserve">s </w:t>
      </w:r>
      <w:r w:rsidR="0065169C">
        <w:rPr>
          <w:rFonts w:ascii="Arial" w:eastAsia="Arial" w:hAnsi="Arial" w:cs="Arial"/>
          <w:color w:val="000000"/>
          <w:sz w:val="22"/>
          <w:szCs w:val="22"/>
        </w:rPr>
        <w:t xml:space="preserve">secciones, </w:t>
      </w:r>
      <w:r w:rsidRPr="00394767">
        <w:rPr>
          <w:rFonts w:ascii="Arial" w:eastAsia="Arial" w:hAnsi="Arial" w:cs="Arial"/>
          <w:color w:val="000000"/>
          <w:sz w:val="22"/>
          <w:szCs w:val="22"/>
        </w:rPr>
        <w:t xml:space="preserve">numerales y literales subsiguientes.  </w:t>
      </w:r>
    </w:p>
    <w:p w14:paraId="2E532249" w14:textId="77777777" w:rsidR="00DA7258" w:rsidRDefault="00DA7258" w:rsidP="007D6120">
      <w:pPr>
        <w:pBdr>
          <w:top w:val="nil"/>
          <w:left w:val="nil"/>
          <w:bottom w:val="nil"/>
          <w:right w:val="nil"/>
          <w:between w:val="nil"/>
        </w:pBdr>
        <w:ind w:left="360"/>
        <w:jc w:val="both"/>
        <w:rPr>
          <w:rFonts w:ascii="Arial" w:eastAsia="Arial" w:hAnsi="Arial" w:cs="Arial"/>
          <w:color w:val="000000"/>
        </w:rPr>
      </w:pPr>
    </w:p>
    <w:p w14:paraId="11C47FFC" w14:textId="77777777" w:rsidR="00726C0B" w:rsidRDefault="00BB4E15" w:rsidP="007D6120">
      <w:pPr>
        <w:pStyle w:val="ListParagraph"/>
        <w:numPr>
          <w:ilvl w:val="1"/>
          <w:numId w:val="11"/>
        </w:numPr>
        <w:jc w:val="both"/>
        <w:rPr>
          <w:rFonts w:ascii="Arial" w:eastAsia="Arial" w:hAnsi="Arial" w:cs="Arial"/>
          <w:color w:val="000000"/>
          <w:sz w:val="22"/>
          <w:szCs w:val="22"/>
        </w:rPr>
      </w:pPr>
      <w:r>
        <w:rPr>
          <w:rFonts w:ascii="Arial" w:eastAsia="Arial" w:hAnsi="Arial" w:cs="Arial"/>
          <w:b/>
          <w:color w:val="000000"/>
          <w:sz w:val="22"/>
          <w:szCs w:val="22"/>
        </w:rPr>
        <w:t xml:space="preserve">Periodicidad amortización de capital en los subpréstamos: </w:t>
      </w:r>
      <w:r>
        <w:rPr>
          <w:rFonts w:ascii="Arial" w:eastAsia="Arial" w:hAnsi="Arial" w:cs="Arial"/>
          <w:color w:val="000000"/>
          <w:sz w:val="22"/>
          <w:szCs w:val="22"/>
        </w:rPr>
        <w:t>Cuotas mensuales, trimestrales, semestrales o anuales.</w:t>
      </w:r>
    </w:p>
    <w:p w14:paraId="3A6EA33D" w14:textId="77777777" w:rsidR="00726C0B" w:rsidRDefault="00726C0B">
      <w:pPr>
        <w:pBdr>
          <w:top w:val="nil"/>
          <w:left w:val="nil"/>
          <w:bottom w:val="nil"/>
          <w:right w:val="nil"/>
          <w:between w:val="nil"/>
        </w:pBdr>
        <w:ind w:left="720"/>
        <w:rPr>
          <w:rFonts w:ascii="Arial" w:eastAsia="Arial" w:hAnsi="Arial" w:cs="Arial"/>
          <w:b/>
          <w:color w:val="000000"/>
          <w:sz w:val="22"/>
          <w:szCs w:val="22"/>
        </w:rPr>
      </w:pPr>
    </w:p>
    <w:p w14:paraId="417939F2" w14:textId="77777777" w:rsidR="00726C0B" w:rsidRDefault="00BB4E15" w:rsidP="007D6120">
      <w:pPr>
        <w:pStyle w:val="ListParagraph"/>
        <w:numPr>
          <w:ilvl w:val="1"/>
          <w:numId w:val="11"/>
        </w:numPr>
        <w:jc w:val="both"/>
        <w:rPr>
          <w:rFonts w:ascii="Arial" w:eastAsia="Arial" w:hAnsi="Arial" w:cs="Arial"/>
          <w:color w:val="000000"/>
          <w:sz w:val="22"/>
          <w:szCs w:val="22"/>
        </w:rPr>
      </w:pPr>
      <w:r>
        <w:rPr>
          <w:rFonts w:ascii="Arial" w:eastAsia="Arial" w:hAnsi="Arial" w:cs="Arial"/>
          <w:b/>
          <w:color w:val="000000"/>
          <w:sz w:val="22"/>
          <w:szCs w:val="22"/>
        </w:rPr>
        <w:t>Pago de intereses:</w:t>
      </w:r>
      <w:r>
        <w:rPr>
          <w:rFonts w:ascii="Arial" w:eastAsia="Arial" w:hAnsi="Arial" w:cs="Arial"/>
          <w:color w:val="000000"/>
          <w:sz w:val="22"/>
          <w:szCs w:val="22"/>
        </w:rPr>
        <w:t xml:space="preserve"> En su equivalente mes, trimestre, semestre o año vencido.</w:t>
      </w:r>
    </w:p>
    <w:p w14:paraId="62B0CA22" w14:textId="77777777" w:rsidR="00726C0B" w:rsidRDefault="00726C0B">
      <w:pPr>
        <w:pBdr>
          <w:top w:val="nil"/>
          <w:left w:val="nil"/>
          <w:bottom w:val="nil"/>
          <w:right w:val="nil"/>
          <w:between w:val="nil"/>
        </w:pBdr>
        <w:ind w:left="720"/>
        <w:rPr>
          <w:rFonts w:ascii="Arial" w:eastAsia="Arial" w:hAnsi="Arial" w:cs="Arial"/>
          <w:b/>
          <w:color w:val="000000"/>
          <w:sz w:val="22"/>
          <w:szCs w:val="22"/>
        </w:rPr>
      </w:pPr>
    </w:p>
    <w:p w14:paraId="334776A9" w14:textId="77777777" w:rsidR="00726C0B" w:rsidRDefault="00BB4E15" w:rsidP="007D6120">
      <w:pPr>
        <w:pStyle w:val="ListParagraph"/>
        <w:numPr>
          <w:ilvl w:val="1"/>
          <w:numId w:val="11"/>
        </w:numPr>
        <w:jc w:val="both"/>
        <w:rPr>
          <w:rFonts w:ascii="Arial" w:eastAsia="Arial" w:hAnsi="Arial" w:cs="Arial"/>
          <w:color w:val="000000"/>
          <w:sz w:val="22"/>
          <w:szCs w:val="22"/>
        </w:rPr>
      </w:pPr>
      <w:r>
        <w:rPr>
          <w:rFonts w:ascii="Arial" w:eastAsia="Arial" w:hAnsi="Arial" w:cs="Arial"/>
          <w:b/>
          <w:color w:val="000000"/>
          <w:sz w:val="22"/>
          <w:szCs w:val="22"/>
        </w:rPr>
        <w:t>Plazo:</w:t>
      </w:r>
      <w:r>
        <w:rPr>
          <w:rFonts w:ascii="Arial" w:eastAsia="Arial" w:hAnsi="Arial" w:cs="Arial"/>
          <w:color w:val="000000"/>
          <w:sz w:val="22"/>
          <w:szCs w:val="22"/>
        </w:rPr>
        <w:t xml:space="preserve"> Hasta 24 meses para el subcomponente 1 y hasta 84 meses para el subcomponente 2.</w:t>
      </w:r>
    </w:p>
    <w:p w14:paraId="579FF1FB" w14:textId="77777777" w:rsidR="00726C0B" w:rsidRDefault="00726C0B">
      <w:pPr>
        <w:pBdr>
          <w:top w:val="nil"/>
          <w:left w:val="nil"/>
          <w:bottom w:val="nil"/>
          <w:right w:val="nil"/>
          <w:between w:val="nil"/>
        </w:pBdr>
        <w:ind w:left="720"/>
        <w:rPr>
          <w:rFonts w:ascii="Arial" w:eastAsia="Arial" w:hAnsi="Arial" w:cs="Arial"/>
          <w:b/>
          <w:color w:val="000000"/>
          <w:sz w:val="22"/>
          <w:szCs w:val="22"/>
        </w:rPr>
      </w:pPr>
    </w:p>
    <w:p w14:paraId="2E131A0E" w14:textId="014C7971" w:rsidR="00726C0B" w:rsidRDefault="00BB4E15" w:rsidP="007D6120">
      <w:pPr>
        <w:pStyle w:val="ListParagraph"/>
        <w:numPr>
          <w:ilvl w:val="1"/>
          <w:numId w:val="11"/>
        </w:numPr>
        <w:jc w:val="both"/>
        <w:rPr>
          <w:rFonts w:ascii="Arial" w:eastAsia="Arial" w:hAnsi="Arial" w:cs="Arial"/>
          <w:color w:val="000000"/>
          <w:sz w:val="22"/>
          <w:szCs w:val="22"/>
        </w:rPr>
      </w:pPr>
      <w:r>
        <w:rPr>
          <w:rFonts w:ascii="Arial" w:eastAsia="Arial" w:hAnsi="Arial" w:cs="Arial"/>
          <w:b/>
          <w:color w:val="000000"/>
          <w:sz w:val="22"/>
          <w:szCs w:val="22"/>
        </w:rPr>
        <w:lastRenderedPageBreak/>
        <w:t>Periodo de gracia:</w:t>
      </w:r>
      <w:r>
        <w:rPr>
          <w:rFonts w:ascii="Arial" w:eastAsia="Arial" w:hAnsi="Arial" w:cs="Arial"/>
          <w:color w:val="000000"/>
          <w:sz w:val="22"/>
          <w:szCs w:val="22"/>
        </w:rPr>
        <w:t xml:space="preserve"> Hasta 9 meses del capital e intereses para los créditos del subcomponente 1 y de hasta 12 meses del capital para los créditos del subcomponente</w:t>
      </w:r>
      <w:r w:rsidR="000E18BC">
        <w:rPr>
          <w:rFonts w:ascii="Arial" w:eastAsia="Arial" w:hAnsi="Arial" w:cs="Arial"/>
          <w:color w:val="000000"/>
          <w:sz w:val="22"/>
          <w:szCs w:val="22"/>
        </w:rPr>
        <w:t xml:space="preserve"> 2</w:t>
      </w:r>
      <w:r>
        <w:rPr>
          <w:rFonts w:ascii="Arial" w:eastAsia="Arial" w:hAnsi="Arial" w:cs="Arial"/>
          <w:color w:val="000000"/>
          <w:sz w:val="22"/>
          <w:szCs w:val="22"/>
        </w:rPr>
        <w:t>.</w:t>
      </w:r>
    </w:p>
    <w:p w14:paraId="2DDB45D5" w14:textId="77777777" w:rsidR="00726C0B" w:rsidRDefault="00726C0B">
      <w:pPr>
        <w:pBdr>
          <w:top w:val="nil"/>
          <w:left w:val="nil"/>
          <w:bottom w:val="nil"/>
          <w:right w:val="nil"/>
          <w:between w:val="nil"/>
        </w:pBdr>
        <w:ind w:left="720"/>
        <w:rPr>
          <w:rFonts w:ascii="Arial" w:eastAsia="Arial" w:hAnsi="Arial" w:cs="Arial"/>
          <w:b/>
          <w:color w:val="000000"/>
          <w:sz w:val="22"/>
          <w:szCs w:val="22"/>
        </w:rPr>
      </w:pPr>
    </w:p>
    <w:p w14:paraId="3CD7F6FF" w14:textId="579F1BE6" w:rsidR="00451AA9" w:rsidRDefault="00BB4E15" w:rsidP="007D6120">
      <w:pPr>
        <w:pStyle w:val="ListParagraph"/>
        <w:numPr>
          <w:ilvl w:val="1"/>
          <w:numId w:val="11"/>
        </w:numPr>
        <w:jc w:val="both"/>
        <w:rPr>
          <w:rFonts w:ascii="Arial" w:eastAsia="Arial" w:hAnsi="Arial" w:cs="Arial"/>
          <w:color w:val="000000"/>
          <w:sz w:val="22"/>
          <w:szCs w:val="22"/>
        </w:rPr>
      </w:pPr>
      <w:r w:rsidRPr="00573A16">
        <w:rPr>
          <w:rFonts w:ascii="Arial" w:eastAsia="Arial" w:hAnsi="Arial" w:cs="Arial"/>
          <w:b/>
          <w:color w:val="000000"/>
          <w:sz w:val="22"/>
          <w:szCs w:val="22"/>
        </w:rPr>
        <w:t>Tasa de interés de los subpréstamos:</w:t>
      </w:r>
      <w:r w:rsidRPr="00573A16">
        <w:rPr>
          <w:rFonts w:ascii="Arial" w:eastAsia="Arial" w:hAnsi="Arial" w:cs="Arial"/>
          <w:color w:val="000000"/>
          <w:sz w:val="22"/>
          <w:szCs w:val="22"/>
        </w:rPr>
        <w:t xml:space="preserve"> </w:t>
      </w:r>
      <w:r w:rsidR="009E3FB4">
        <w:rPr>
          <w:rFonts w:ascii="Arial" w:eastAsia="Arial" w:hAnsi="Arial" w:cs="Arial"/>
          <w:color w:val="000000"/>
          <w:sz w:val="22"/>
          <w:szCs w:val="22"/>
        </w:rPr>
        <w:t xml:space="preserve">Será </w:t>
      </w:r>
      <w:r w:rsidRPr="00573A16">
        <w:rPr>
          <w:rFonts w:ascii="Arial" w:eastAsia="Arial" w:hAnsi="Arial" w:cs="Arial"/>
          <w:color w:val="000000"/>
          <w:sz w:val="22"/>
          <w:szCs w:val="22"/>
        </w:rPr>
        <w:t xml:space="preserve">determinada por </w:t>
      </w:r>
      <w:r w:rsidR="004F2BAF" w:rsidRPr="00573A16">
        <w:rPr>
          <w:rFonts w:ascii="Arial" w:eastAsia="Arial" w:hAnsi="Arial" w:cs="Arial"/>
          <w:color w:val="000000"/>
          <w:sz w:val="22"/>
          <w:szCs w:val="22"/>
        </w:rPr>
        <w:t xml:space="preserve">el OE en el marco de </w:t>
      </w:r>
      <w:r w:rsidRPr="001011A1">
        <w:rPr>
          <w:rFonts w:ascii="Arial" w:eastAsia="Arial" w:hAnsi="Arial" w:cs="Arial"/>
          <w:color w:val="000000"/>
          <w:sz w:val="22"/>
          <w:szCs w:val="22"/>
        </w:rPr>
        <w:t xml:space="preserve">la emergencia </w:t>
      </w:r>
      <w:r w:rsidR="004F2BAF" w:rsidRPr="001011A1">
        <w:rPr>
          <w:rFonts w:ascii="Arial" w:eastAsia="Arial" w:hAnsi="Arial" w:cs="Arial"/>
          <w:color w:val="000000"/>
          <w:sz w:val="22"/>
          <w:szCs w:val="22"/>
        </w:rPr>
        <w:t xml:space="preserve">generada </w:t>
      </w:r>
      <w:r w:rsidRPr="001011A1">
        <w:rPr>
          <w:rFonts w:ascii="Arial" w:eastAsia="Arial" w:hAnsi="Arial" w:cs="Arial"/>
          <w:color w:val="000000"/>
          <w:sz w:val="22"/>
          <w:szCs w:val="22"/>
        </w:rPr>
        <w:t>por el COVID-19</w:t>
      </w:r>
      <w:r w:rsidRPr="00573A16">
        <w:rPr>
          <w:rFonts w:ascii="Arial" w:eastAsia="Arial" w:hAnsi="Arial" w:cs="Arial"/>
          <w:color w:val="000000"/>
          <w:sz w:val="22"/>
          <w:szCs w:val="22"/>
        </w:rPr>
        <w:t>.</w:t>
      </w:r>
    </w:p>
    <w:p w14:paraId="442B6230" w14:textId="77777777" w:rsidR="00451AA9" w:rsidRPr="00451AA9" w:rsidRDefault="00451AA9" w:rsidP="00451AA9">
      <w:pPr>
        <w:pStyle w:val="ListParagraph"/>
        <w:rPr>
          <w:rFonts w:ascii="Arial" w:eastAsia="Arial" w:hAnsi="Arial" w:cs="Arial"/>
          <w:color w:val="000000"/>
          <w:sz w:val="22"/>
          <w:szCs w:val="22"/>
        </w:rPr>
      </w:pPr>
    </w:p>
    <w:p w14:paraId="5012BF70" w14:textId="124F9201" w:rsidR="00726C0B" w:rsidRPr="00451AA9" w:rsidRDefault="00451AA9" w:rsidP="007D6120">
      <w:pPr>
        <w:pStyle w:val="ListParagraph"/>
        <w:numPr>
          <w:ilvl w:val="1"/>
          <w:numId w:val="11"/>
        </w:numPr>
        <w:jc w:val="both"/>
        <w:rPr>
          <w:rFonts w:ascii="Arial" w:eastAsia="Arial" w:hAnsi="Arial" w:cs="Arial"/>
          <w:b/>
          <w:color w:val="000000"/>
          <w:sz w:val="22"/>
          <w:szCs w:val="22"/>
        </w:rPr>
      </w:pPr>
      <w:r w:rsidRPr="00451AA9">
        <w:rPr>
          <w:rFonts w:ascii="Arial" w:eastAsia="Arial" w:hAnsi="Arial" w:cs="Arial"/>
          <w:b/>
          <w:bCs/>
          <w:color w:val="000000"/>
          <w:sz w:val="22"/>
          <w:szCs w:val="22"/>
        </w:rPr>
        <w:t xml:space="preserve">Bonificación de </w:t>
      </w:r>
      <w:r w:rsidR="00DB0468">
        <w:rPr>
          <w:rFonts w:ascii="Arial" w:eastAsia="Arial" w:hAnsi="Arial" w:cs="Arial"/>
          <w:b/>
          <w:bCs/>
          <w:color w:val="000000"/>
          <w:sz w:val="22"/>
          <w:szCs w:val="22"/>
        </w:rPr>
        <w:t>tasas</w:t>
      </w:r>
      <w:r w:rsidR="009E3FB4">
        <w:rPr>
          <w:rFonts w:ascii="Arial" w:eastAsia="Arial" w:hAnsi="Arial" w:cs="Arial"/>
          <w:b/>
          <w:bCs/>
          <w:color w:val="000000"/>
          <w:sz w:val="22"/>
          <w:szCs w:val="22"/>
        </w:rPr>
        <w:t>:</w:t>
      </w:r>
      <w:r w:rsidRPr="00451AA9">
        <w:rPr>
          <w:rFonts w:ascii="Arial" w:eastAsia="Arial" w:hAnsi="Arial" w:cs="Arial"/>
          <w:b/>
          <w:bCs/>
          <w:color w:val="000000"/>
          <w:sz w:val="22"/>
          <w:szCs w:val="22"/>
        </w:rPr>
        <w:t xml:space="preserve"> </w:t>
      </w:r>
      <w:r w:rsidR="00BB4E15" w:rsidRPr="00451AA9">
        <w:rPr>
          <w:rFonts w:ascii="Arial" w:eastAsia="Arial" w:hAnsi="Arial" w:cs="Arial"/>
          <w:b/>
          <w:bCs/>
          <w:color w:val="000000"/>
          <w:sz w:val="22"/>
          <w:szCs w:val="22"/>
        </w:rPr>
        <w:t xml:space="preserve"> </w:t>
      </w:r>
      <w:r>
        <w:rPr>
          <w:rFonts w:ascii="Arial" w:eastAsia="Arial" w:hAnsi="Arial" w:cs="Arial"/>
          <w:color w:val="000000"/>
          <w:sz w:val="22"/>
          <w:szCs w:val="22"/>
        </w:rPr>
        <w:t>E</w:t>
      </w:r>
      <w:r w:rsidRPr="008A36D6">
        <w:rPr>
          <w:rFonts w:ascii="Arial" w:eastAsia="Arial" w:hAnsi="Arial" w:cs="Arial"/>
          <w:color w:val="000000"/>
          <w:sz w:val="22"/>
          <w:szCs w:val="22"/>
        </w:rPr>
        <w:t xml:space="preserve">l </w:t>
      </w:r>
      <w:r>
        <w:rPr>
          <w:rFonts w:ascii="Arial" w:eastAsia="Arial" w:hAnsi="Arial" w:cs="Arial"/>
          <w:color w:val="000000"/>
          <w:sz w:val="22"/>
          <w:szCs w:val="22"/>
        </w:rPr>
        <w:t>c</w:t>
      </w:r>
      <w:r w:rsidRPr="008A36D6">
        <w:rPr>
          <w:rFonts w:ascii="Arial" w:eastAsia="Arial" w:hAnsi="Arial" w:cs="Arial"/>
          <w:color w:val="000000"/>
          <w:sz w:val="22"/>
          <w:szCs w:val="22"/>
        </w:rPr>
        <w:t xml:space="preserve">osto </w:t>
      </w:r>
      <w:r>
        <w:rPr>
          <w:rFonts w:ascii="Arial" w:eastAsia="Arial" w:hAnsi="Arial" w:cs="Arial"/>
          <w:color w:val="000000"/>
          <w:sz w:val="22"/>
          <w:szCs w:val="22"/>
        </w:rPr>
        <w:t>f</w:t>
      </w:r>
      <w:r w:rsidRPr="008A36D6">
        <w:rPr>
          <w:rFonts w:ascii="Arial" w:eastAsia="Arial" w:hAnsi="Arial" w:cs="Arial"/>
          <w:color w:val="000000"/>
          <w:sz w:val="22"/>
          <w:szCs w:val="22"/>
        </w:rPr>
        <w:t xml:space="preserve">inanciero de los </w:t>
      </w:r>
      <w:r>
        <w:rPr>
          <w:rFonts w:ascii="Arial" w:eastAsia="Arial" w:hAnsi="Arial" w:cs="Arial"/>
          <w:color w:val="000000"/>
          <w:sz w:val="22"/>
          <w:szCs w:val="22"/>
        </w:rPr>
        <w:t>subpréstamos e</w:t>
      </w:r>
      <w:r w:rsidRPr="008A36D6">
        <w:rPr>
          <w:rFonts w:ascii="Arial" w:eastAsia="Arial" w:hAnsi="Arial" w:cs="Arial"/>
          <w:color w:val="000000"/>
          <w:sz w:val="22"/>
          <w:szCs w:val="22"/>
        </w:rPr>
        <w:t xml:space="preserve">legibles será bonificado hasta </w:t>
      </w:r>
      <w:r>
        <w:rPr>
          <w:rFonts w:ascii="Arial" w:eastAsia="Arial" w:hAnsi="Arial" w:cs="Arial"/>
          <w:color w:val="000000"/>
          <w:sz w:val="22"/>
          <w:szCs w:val="22"/>
        </w:rPr>
        <w:t>en</w:t>
      </w:r>
      <w:r w:rsidRPr="008A36D6">
        <w:rPr>
          <w:rFonts w:ascii="Arial" w:eastAsia="Arial" w:hAnsi="Arial" w:cs="Arial"/>
          <w:color w:val="000000"/>
          <w:sz w:val="22"/>
          <w:szCs w:val="22"/>
        </w:rPr>
        <w:t xml:space="preserve"> un 100% al </w:t>
      </w:r>
      <w:r>
        <w:rPr>
          <w:rFonts w:ascii="Arial" w:eastAsia="Arial" w:hAnsi="Arial" w:cs="Arial"/>
          <w:color w:val="000000"/>
          <w:sz w:val="22"/>
          <w:szCs w:val="22"/>
        </w:rPr>
        <w:t>b</w:t>
      </w:r>
      <w:r w:rsidRPr="008A36D6">
        <w:rPr>
          <w:rFonts w:ascii="Arial" w:eastAsia="Arial" w:hAnsi="Arial" w:cs="Arial"/>
          <w:color w:val="000000"/>
          <w:sz w:val="22"/>
          <w:szCs w:val="22"/>
        </w:rPr>
        <w:t xml:space="preserve">eneficiario </w:t>
      </w:r>
      <w:r>
        <w:rPr>
          <w:rFonts w:ascii="Arial" w:eastAsia="Arial" w:hAnsi="Arial" w:cs="Arial"/>
          <w:color w:val="000000"/>
          <w:sz w:val="22"/>
          <w:szCs w:val="22"/>
        </w:rPr>
        <w:t xml:space="preserve">final </w:t>
      </w:r>
      <w:r w:rsidRPr="008A36D6">
        <w:rPr>
          <w:rFonts w:ascii="Arial" w:eastAsia="Arial" w:hAnsi="Arial" w:cs="Arial"/>
          <w:color w:val="000000"/>
          <w:sz w:val="22"/>
          <w:szCs w:val="22"/>
        </w:rPr>
        <w:t xml:space="preserve">y abonado por el FONDEP a la </w:t>
      </w:r>
      <w:r>
        <w:rPr>
          <w:rFonts w:ascii="Arial" w:eastAsia="Arial" w:hAnsi="Arial" w:cs="Arial"/>
          <w:color w:val="000000"/>
          <w:sz w:val="22"/>
          <w:szCs w:val="22"/>
        </w:rPr>
        <w:t>IFI</w:t>
      </w:r>
      <w:r w:rsidR="00EC4369">
        <w:rPr>
          <w:rFonts w:ascii="Arial" w:eastAsia="Arial" w:hAnsi="Arial" w:cs="Arial"/>
          <w:color w:val="000000"/>
          <w:sz w:val="22"/>
          <w:szCs w:val="22"/>
        </w:rPr>
        <w:t xml:space="preserve">, de acuerdo </w:t>
      </w:r>
      <w:r w:rsidR="0097079C">
        <w:rPr>
          <w:rFonts w:ascii="Arial" w:eastAsia="Arial" w:hAnsi="Arial" w:cs="Arial"/>
          <w:color w:val="000000"/>
          <w:sz w:val="22"/>
          <w:szCs w:val="22"/>
        </w:rPr>
        <w:t>con</w:t>
      </w:r>
      <w:r w:rsidR="00EC4369">
        <w:rPr>
          <w:rFonts w:ascii="Arial" w:eastAsia="Arial" w:hAnsi="Arial" w:cs="Arial"/>
          <w:color w:val="000000"/>
          <w:sz w:val="22"/>
          <w:szCs w:val="22"/>
        </w:rPr>
        <w:t xml:space="preserve"> </w:t>
      </w:r>
      <w:r w:rsidR="00F87EF6">
        <w:rPr>
          <w:rFonts w:ascii="Arial" w:eastAsia="Arial" w:hAnsi="Arial" w:cs="Arial"/>
          <w:color w:val="000000"/>
          <w:sz w:val="22"/>
          <w:szCs w:val="22"/>
        </w:rPr>
        <w:t>lo</w:t>
      </w:r>
      <w:r w:rsidR="00320A25">
        <w:rPr>
          <w:rFonts w:ascii="Arial" w:eastAsia="Arial" w:hAnsi="Arial" w:cs="Arial"/>
          <w:color w:val="000000"/>
          <w:sz w:val="22"/>
          <w:szCs w:val="22"/>
        </w:rPr>
        <w:t xml:space="preserve"> establecido por el Comité Ejecuti</w:t>
      </w:r>
      <w:r w:rsidR="00B259CC">
        <w:rPr>
          <w:rFonts w:ascii="Arial" w:eastAsia="Arial" w:hAnsi="Arial" w:cs="Arial"/>
          <w:color w:val="000000"/>
          <w:sz w:val="22"/>
          <w:szCs w:val="22"/>
        </w:rPr>
        <w:t>v</w:t>
      </w:r>
      <w:r w:rsidR="00320A25">
        <w:rPr>
          <w:rFonts w:ascii="Arial" w:eastAsia="Arial" w:hAnsi="Arial" w:cs="Arial"/>
          <w:color w:val="000000"/>
          <w:sz w:val="22"/>
          <w:szCs w:val="22"/>
        </w:rPr>
        <w:t>o del FONDEP</w:t>
      </w:r>
      <w:r w:rsidR="00B259CC">
        <w:rPr>
          <w:rFonts w:ascii="Arial" w:eastAsia="Arial" w:hAnsi="Arial" w:cs="Arial"/>
          <w:color w:val="000000"/>
          <w:sz w:val="22"/>
          <w:szCs w:val="22"/>
        </w:rPr>
        <w:t xml:space="preserve"> (ver párrafo 7.11)</w:t>
      </w:r>
      <w:r w:rsidRPr="008A36D6">
        <w:rPr>
          <w:rFonts w:ascii="Arial" w:eastAsia="Arial" w:hAnsi="Arial" w:cs="Arial"/>
          <w:color w:val="000000"/>
          <w:sz w:val="22"/>
          <w:szCs w:val="22"/>
        </w:rPr>
        <w:t xml:space="preserve">. </w:t>
      </w:r>
      <w:r w:rsidR="008A36D6" w:rsidRPr="008A36D6">
        <w:rPr>
          <w:rFonts w:ascii="Arial" w:eastAsia="Arial" w:hAnsi="Arial" w:cs="Arial"/>
          <w:color w:val="000000"/>
          <w:sz w:val="22"/>
          <w:szCs w:val="22"/>
        </w:rPr>
        <w:t>La tasa por pagar</w:t>
      </w:r>
      <w:r w:rsidRPr="008A36D6">
        <w:rPr>
          <w:rFonts w:ascii="Arial" w:eastAsia="Arial" w:hAnsi="Arial" w:cs="Arial"/>
          <w:color w:val="000000"/>
          <w:sz w:val="22"/>
          <w:szCs w:val="22"/>
        </w:rPr>
        <w:t xml:space="preserve"> por el FONDEP a cada Entidad se calculará sobre la </w:t>
      </w:r>
      <w:r w:rsidR="00320A25">
        <w:rPr>
          <w:rFonts w:ascii="Arial" w:eastAsia="Arial" w:hAnsi="Arial" w:cs="Arial"/>
          <w:color w:val="000000"/>
          <w:sz w:val="22"/>
          <w:szCs w:val="22"/>
        </w:rPr>
        <w:t>t</w:t>
      </w:r>
      <w:r w:rsidRPr="008A36D6">
        <w:rPr>
          <w:rFonts w:ascii="Arial" w:eastAsia="Arial" w:hAnsi="Arial" w:cs="Arial"/>
          <w:color w:val="000000"/>
          <w:sz w:val="22"/>
          <w:szCs w:val="22"/>
        </w:rPr>
        <w:t xml:space="preserve">asa de Interés de los </w:t>
      </w:r>
      <w:r w:rsidR="008A36D6">
        <w:rPr>
          <w:rFonts w:ascii="Arial" w:eastAsia="Arial" w:hAnsi="Arial" w:cs="Arial"/>
          <w:color w:val="000000"/>
          <w:sz w:val="22"/>
          <w:szCs w:val="22"/>
        </w:rPr>
        <w:t>subpréstamos</w:t>
      </w:r>
      <w:r w:rsidR="00320A25">
        <w:rPr>
          <w:rFonts w:ascii="Arial" w:eastAsia="Arial" w:hAnsi="Arial" w:cs="Arial"/>
          <w:color w:val="000000"/>
          <w:sz w:val="22"/>
          <w:szCs w:val="22"/>
        </w:rPr>
        <w:t xml:space="preserve"> e</w:t>
      </w:r>
      <w:r w:rsidRPr="008A36D6">
        <w:rPr>
          <w:rFonts w:ascii="Arial" w:eastAsia="Arial" w:hAnsi="Arial" w:cs="Arial"/>
          <w:color w:val="000000"/>
          <w:sz w:val="22"/>
          <w:szCs w:val="22"/>
        </w:rPr>
        <w:t>legibles</w:t>
      </w:r>
      <w:r w:rsidR="0097079C">
        <w:rPr>
          <w:rFonts w:ascii="Arial" w:eastAsia="Arial" w:hAnsi="Arial" w:cs="Arial"/>
          <w:color w:val="000000"/>
          <w:sz w:val="22"/>
          <w:szCs w:val="22"/>
        </w:rPr>
        <w:t>,</w:t>
      </w:r>
      <w:r w:rsidRPr="008A36D6">
        <w:rPr>
          <w:rFonts w:ascii="Arial" w:eastAsia="Arial" w:hAnsi="Arial" w:cs="Arial"/>
          <w:color w:val="000000"/>
          <w:sz w:val="22"/>
          <w:szCs w:val="22"/>
        </w:rPr>
        <w:t xml:space="preserve"> se devengará desde la fecha de desembolso y se calculará sobre el capital efectivamente desembolsado por la </w:t>
      </w:r>
      <w:r w:rsidR="0097079C">
        <w:rPr>
          <w:rFonts w:ascii="Arial" w:eastAsia="Arial" w:hAnsi="Arial" w:cs="Arial"/>
          <w:color w:val="000000"/>
          <w:sz w:val="22"/>
          <w:szCs w:val="22"/>
        </w:rPr>
        <w:t xml:space="preserve">IFI </w:t>
      </w:r>
      <w:r w:rsidRPr="008A36D6">
        <w:rPr>
          <w:rFonts w:ascii="Arial" w:eastAsia="Arial" w:hAnsi="Arial" w:cs="Arial"/>
          <w:color w:val="000000"/>
          <w:sz w:val="22"/>
          <w:szCs w:val="22"/>
        </w:rPr>
        <w:t>y pendiente de cancelación.</w:t>
      </w:r>
    </w:p>
    <w:p w14:paraId="636FED20" w14:textId="77777777" w:rsidR="00726C0B" w:rsidRPr="004F2BAF" w:rsidRDefault="00726C0B" w:rsidP="00573A16">
      <w:pPr>
        <w:pBdr>
          <w:top w:val="nil"/>
          <w:left w:val="nil"/>
          <w:bottom w:val="nil"/>
          <w:right w:val="nil"/>
          <w:between w:val="nil"/>
        </w:pBdr>
        <w:rPr>
          <w:rFonts w:ascii="Arial" w:eastAsia="Arial" w:hAnsi="Arial" w:cs="Arial"/>
          <w:color w:val="000000"/>
          <w:sz w:val="22"/>
          <w:szCs w:val="22"/>
        </w:rPr>
      </w:pPr>
    </w:p>
    <w:p w14:paraId="1B045D2F" w14:textId="544A4EB8" w:rsidR="00726C0B" w:rsidRPr="00573A16" w:rsidRDefault="00BB4E15" w:rsidP="00573A16">
      <w:pPr>
        <w:numPr>
          <w:ilvl w:val="1"/>
          <w:numId w:val="11"/>
        </w:numPr>
        <w:pBdr>
          <w:top w:val="nil"/>
          <w:left w:val="nil"/>
          <w:bottom w:val="nil"/>
          <w:right w:val="nil"/>
          <w:between w:val="nil"/>
        </w:pBdr>
        <w:jc w:val="both"/>
        <w:rPr>
          <w:rFonts w:ascii="Arial" w:eastAsia="Arial" w:hAnsi="Arial" w:cs="Arial"/>
          <w:color w:val="000000"/>
          <w:sz w:val="22"/>
          <w:szCs w:val="22"/>
        </w:rPr>
      </w:pPr>
      <w:r w:rsidRPr="004F2BAF">
        <w:rPr>
          <w:rFonts w:ascii="Arial" w:eastAsia="Arial" w:hAnsi="Arial" w:cs="Arial"/>
          <w:b/>
          <w:color w:val="000000"/>
          <w:sz w:val="22"/>
          <w:szCs w:val="22"/>
        </w:rPr>
        <w:t xml:space="preserve">Recuperaciones: </w:t>
      </w:r>
      <w:r w:rsidRPr="004F2BAF">
        <w:rPr>
          <w:rFonts w:ascii="Arial" w:eastAsia="Arial" w:hAnsi="Arial" w:cs="Arial"/>
          <w:color w:val="000000"/>
          <w:sz w:val="22"/>
          <w:szCs w:val="22"/>
        </w:rPr>
        <w:t>Los fondos provenientes de las recuperaciones de los préstamos concedidos directa o indirectamente por el FONDEP con los recursos del Programa, sólo podrán utilizarse para la concesión de nuevos préstamos, para financiar su operatoria habitual.</w:t>
      </w:r>
    </w:p>
    <w:p w14:paraId="117794F7" w14:textId="6F0C95C0" w:rsidR="00726C0B" w:rsidRDefault="00804623">
      <w:pPr>
        <w:pStyle w:val="Heading1"/>
        <w:numPr>
          <w:ilvl w:val="0"/>
          <w:numId w:val="2"/>
        </w:numPr>
        <w:jc w:val="both"/>
        <w:rPr>
          <w:sz w:val="22"/>
          <w:szCs w:val="22"/>
        </w:rPr>
      </w:pPr>
      <w:bookmarkStart w:id="11" w:name="_Toc42709756"/>
      <w:r>
        <w:rPr>
          <w:sz w:val="22"/>
          <w:szCs w:val="22"/>
        </w:rPr>
        <w:t>Financiamiento de primer piso a través de créditos directos</w:t>
      </w:r>
      <w:bookmarkEnd w:id="11"/>
    </w:p>
    <w:p w14:paraId="339A86BF" w14:textId="77777777" w:rsidR="00726C0B" w:rsidRDefault="00726C0B">
      <w:pPr>
        <w:rPr>
          <w:rFonts w:ascii="Arial" w:eastAsia="Arial" w:hAnsi="Arial" w:cs="Arial"/>
          <w:sz w:val="22"/>
          <w:szCs w:val="22"/>
        </w:rPr>
      </w:pPr>
    </w:p>
    <w:p w14:paraId="4A301E02" w14:textId="412E5079" w:rsidR="00726C0B" w:rsidRDefault="00BB4E15">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 xml:space="preserve">Responsabilidad del FONDEP: </w:t>
      </w:r>
      <w:r>
        <w:rPr>
          <w:rFonts w:ascii="Arial" w:eastAsia="Arial" w:hAnsi="Arial" w:cs="Arial"/>
          <w:color w:val="000000"/>
          <w:sz w:val="22"/>
          <w:szCs w:val="22"/>
        </w:rPr>
        <w:t>Es responsabilidad general del FONDEP evaluar el riesgo de crédito de los subprestatarios potencialmente elegibles. El análisis de riesgos debe llevarse a cabo para cada subpréstamo, al tiempo que deberá tener en cuenta criterios de concentración de riesgo. La evaluación del riesgo de crédito deberá basarse como en los procedimientos y criterios estipulados en los manuales de crédito y riesgo de</w:t>
      </w:r>
      <w:r w:rsidR="00320AA4">
        <w:rPr>
          <w:rFonts w:ascii="Arial" w:eastAsia="Arial" w:hAnsi="Arial" w:cs="Arial"/>
          <w:color w:val="000000"/>
          <w:sz w:val="22"/>
          <w:szCs w:val="22"/>
        </w:rPr>
        <w:t>l</w:t>
      </w:r>
      <w:r>
        <w:rPr>
          <w:rFonts w:ascii="Arial" w:eastAsia="Arial" w:hAnsi="Arial" w:cs="Arial"/>
          <w:color w:val="000000"/>
          <w:sz w:val="22"/>
          <w:szCs w:val="22"/>
        </w:rPr>
        <w:t xml:space="preserve"> FONDEP.</w:t>
      </w:r>
      <w:r w:rsidR="00010776">
        <w:rPr>
          <w:rFonts w:ascii="Arial" w:eastAsia="Arial" w:hAnsi="Arial" w:cs="Arial"/>
          <w:color w:val="000000"/>
          <w:sz w:val="22"/>
          <w:szCs w:val="22"/>
        </w:rPr>
        <w:t xml:space="preserve"> </w:t>
      </w:r>
    </w:p>
    <w:p w14:paraId="32FC1DA6" w14:textId="77777777" w:rsidR="00726C0B" w:rsidRDefault="00726C0B">
      <w:pPr>
        <w:pBdr>
          <w:top w:val="nil"/>
          <w:left w:val="nil"/>
          <w:bottom w:val="nil"/>
          <w:right w:val="nil"/>
          <w:between w:val="nil"/>
        </w:pBdr>
        <w:ind w:left="792" w:hanging="720"/>
        <w:jc w:val="both"/>
        <w:rPr>
          <w:rFonts w:ascii="Arial" w:eastAsia="Arial" w:hAnsi="Arial" w:cs="Arial"/>
          <w:color w:val="000000"/>
          <w:sz w:val="22"/>
          <w:szCs w:val="22"/>
        </w:rPr>
      </w:pPr>
    </w:p>
    <w:p w14:paraId="0D0A4ADD" w14:textId="77777777" w:rsidR="00726C0B" w:rsidRDefault="00BB4E15">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Informes de créditos individuales:</w:t>
      </w:r>
      <w:r>
        <w:rPr>
          <w:rFonts w:ascii="Arial" w:eastAsia="Arial" w:hAnsi="Arial" w:cs="Arial"/>
          <w:color w:val="000000"/>
          <w:sz w:val="22"/>
          <w:szCs w:val="22"/>
        </w:rPr>
        <w:t xml:space="preserve"> El OE, a través del FONDEP, se compromete a elaborar informes de seguimiento de los créditos directos otorgados por el FONDEP con los recursos del presente programa, los mismos que serán parte de los informes semestrales remitidos al Banco. El análisis deberá contener el detalle individual de los créditos incluyendo, pero no restringiéndose a:</w:t>
      </w:r>
    </w:p>
    <w:p w14:paraId="5EE6C6CB" w14:textId="77777777" w:rsidR="00726C0B" w:rsidRDefault="00726C0B">
      <w:pPr>
        <w:pBdr>
          <w:top w:val="nil"/>
          <w:left w:val="nil"/>
          <w:bottom w:val="nil"/>
          <w:right w:val="nil"/>
          <w:between w:val="nil"/>
        </w:pBdr>
        <w:ind w:left="2592" w:hanging="431"/>
        <w:jc w:val="both"/>
        <w:rPr>
          <w:rFonts w:ascii="Arial" w:eastAsia="Arial" w:hAnsi="Arial" w:cs="Arial"/>
          <w:color w:val="000000"/>
          <w:sz w:val="22"/>
          <w:szCs w:val="22"/>
        </w:rPr>
      </w:pPr>
    </w:p>
    <w:p w14:paraId="14582A86" w14:textId="15FF0DD9" w:rsidR="000D10C9" w:rsidRPr="00573A16" w:rsidRDefault="00BB4E15" w:rsidP="00573A16">
      <w:pPr>
        <w:numPr>
          <w:ilvl w:val="0"/>
          <w:numId w:val="21"/>
        </w:numPr>
        <w:pBdr>
          <w:top w:val="nil"/>
          <w:left w:val="nil"/>
          <w:bottom w:val="nil"/>
          <w:right w:val="nil"/>
          <w:between w:val="nil"/>
        </w:pBdr>
        <w:jc w:val="both"/>
        <w:rPr>
          <w:bCs/>
          <w:color w:val="000000"/>
          <w:sz w:val="22"/>
          <w:szCs w:val="22"/>
        </w:rPr>
      </w:pPr>
      <w:r w:rsidRPr="00573A16">
        <w:rPr>
          <w:rFonts w:ascii="Arial" w:eastAsia="Arial" w:hAnsi="Arial" w:cs="Arial"/>
          <w:bCs/>
          <w:color w:val="000000"/>
          <w:sz w:val="22"/>
          <w:szCs w:val="22"/>
        </w:rPr>
        <w:t>Monto total</w:t>
      </w:r>
    </w:p>
    <w:p w14:paraId="1EEB2AEA" w14:textId="6824BAF0" w:rsidR="000D10C9" w:rsidRPr="00573A16" w:rsidRDefault="00BB4E15" w:rsidP="00573A16">
      <w:pPr>
        <w:numPr>
          <w:ilvl w:val="0"/>
          <w:numId w:val="21"/>
        </w:numPr>
        <w:pBdr>
          <w:top w:val="nil"/>
          <w:left w:val="nil"/>
          <w:bottom w:val="nil"/>
          <w:right w:val="nil"/>
          <w:between w:val="nil"/>
        </w:pBdr>
        <w:jc w:val="both"/>
        <w:rPr>
          <w:color w:val="000000"/>
          <w:sz w:val="22"/>
          <w:szCs w:val="22"/>
        </w:rPr>
      </w:pPr>
      <w:r w:rsidRPr="1024079A">
        <w:rPr>
          <w:rFonts w:ascii="Arial" w:eastAsia="Arial" w:hAnsi="Arial" w:cs="Arial"/>
          <w:color w:val="000000" w:themeColor="text1"/>
          <w:sz w:val="22"/>
          <w:szCs w:val="22"/>
        </w:rPr>
        <w:t>Plazo original</w:t>
      </w:r>
    </w:p>
    <w:p w14:paraId="6E4B6573" w14:textId="6A55F15F" w:rsidR="000D10C9" w:rsidRPr="00573A16" w:rsidRDefault="00BB4E15" w:rsidP="00573A16">
      <w:pPr>
        <w:numPr>
          <w:ilvl w:val="0"/>
          <w:numId w:val="21"/>
        </w:numPr>
        <w:pBdr>
          <w:top w:val="nil"/>
          <w:left w:val="nil"/>
          <w:bottom w:val="nil"/>
          <w:right w:val="nil"/>
          <w:between w:val="nil"/>
        </w:pBdr>
        <w:jc w:val="both"/>
        <w:rPr>
          <w:color w:val="000000"/>
          <w:sz w:val="22"/>
          <w:szCs w:val="22"/>
        </w:rPr>
      </w:pPr>
      <w:r w:rsidRPr="1024079A">
        <w:rPr>
          <w:rFonts w:ascii="Arial" w:eastAsia="Arial" w:hAnsi="Arial" w:cs="Arial"/>
          <w:color w:val="000000" w:themeColor="text1"/>
          <w:sz w:val="22"/>
          <w:szCs w:val="22"/>
        </w:rPr>
        <w:t>Plazo remanente</w:t>
      </w:r>
    </w:p>
    <w:p w14:paraId="5BD61D81" w14:textId="7B178092" w:rsidR="000D10C9" w:rsidRPr="00573A16" w:rsidRDefault="00BB4E15" w:rsidP="00573A16">
      <w:pPr>
        <w:numPr>
          <w:ilvl w:val="0"/>
          <w:numId w:val="21"/>
        </w:numPr>
        <w:pBdr>
          <w:top w:val="nil"/>
          <w:left w:val="nil"/>
          <w:bottom w:val="nil"/>
          <w:right w:val="nil"/>
          <w:between w:val="nil"/>
        </w:pBdr>
        <w:jc w:val="both"/>
        <w:rPr>
          <w:color w:val="000000"/>
          <w:sz w:val="22"/>
          <w:szCs w:val="22"/>
        </w:rPr>
      </w:pPr>
      <w:r w:rsidRPr="1024079A">
        <w:rPr>
          <w:rFonts w:ascii="Arial" w:eastAsia="Arial" w:hAnsi="Arial" w:cs="Arial"/>
          <w:color w:val="000000" w:themeColor="text1"/>
          <w:sz w:val="22"/>
          <w:szCs w:val="22"/>
        </w:rPr>
        <w:t>Tasa de interés pactada con el cliente</w:t>
      </w:r>
    </w:p>
    <w:p w14:paraId="2E98724E" w14:textId="7D7576D4" w:rsidR="000D10C9" w:rsidRPr="00573A16" w:rsidRDefault="00BB4E15" w:rsidP="00573A16">
      <w:pPr>
        <w:numPr>
          <w:ilvl w:val="0"/>
          <w:numId w:val="21"/>
        </w:numPr>
        <w:pBdr>
          <w:top w:val="nil"/>
          <w:left w:val="nil"/>
          <w:bottom w:val="nil"/>
          <w:right w:val="nil"/>
          <w:between w:val="nil"/>
        </w:pBdr>
        <w:jc w:val="both"/>
        <w:rPr>
          <w:color w:val="000000"/>
          <w:sz w:val="22"/>
          <w:szCs w:val="22"/>
        </w:rPr>
      </w:pPr>
      <w:r w:rsidRPr="1024079A">
        <w:rPr>
          <w:rFonts w:ascii="Arial" w:eastAsia="Arial" w:hAnsi="Arial" w:cs="Arial"/>
          <w:color w:val="000000" w:themeColor="text1"/>
          <w:sz w:val="22"/>
          <w:szCs w:val="22"/>
        </w:rPr>
        <w:t>Mora</w:t>
      </w:r>
    </w:p>
    <w:p w14:paraId="38FEB0B2" w14:textId="4A81DB6E" w:rsidR="000D10C9" w:rsidRPr="00573A16" w:rsidRDefault="00BB4E15" w:rsidP="00573A16">
      <w:pPr>
        <w:numPr>
          <w:ilvl w:val="0"/>
          <w:numId w:val="21"/>
        </w:numPr>
        <w:pBdr>
          <w:top w:val="nil"/>
          <w:left w:val="nil"/>
          <w:bottom w:val="nil"/>
          <w:right w:val="nil"/>
          <w:between w:val="nil"/>
        </w:pBdr>
        <w:jc w:val="both"/>
        <w:rPr>
          <w:color w:val="000000"/>
          <w:sz w:val="22"/>
          <w:szCs w:val="22"/>
        </w:rPr>
      </w:pPr>
      <w:r w:rsidRPr="1024079A">
        <w:rPr>
          <w:rFonts w:ascii="Arial" w:eastAsia="Arial" w:hAnsi="Arial" w:cs="Arial"/>
          <w:color w:val="000000" w:themeColor="text1"/>
          <w:sz w:val="22"/>
          <w:szCs w:val="22"/>
        </w:rPr>
        <w:t>Monto de garantía</w:t>
      </w:r>
    </w:p>
    <w:p w14:paraId="0E3FA16D" w14:textId="1218248D" w:rsidR="000D10C9" w:rsidRPr="00573A16" w:rsidRDefault="00BB4E15" w:rsidP="00573A16">
      <w:pPr>
        <w:numPr>
          <w:ilvl w:val="0"/>
          <w:numId w:val="21"/>
        </w:numPr>
        <w:pBdr>
          <w:top w:val="nil"/>
          <w:left w:val="nil"/>
          <w:bottom w:val="nil"/>
          <w:right w:val="nil"/>
          <w:between w:val="nil"/>
        </w:pBdr>
        <w:jc w:val="both"/>
        <w:rPr>
          <w:color w:val="000000"/>
          <w:sz w:val="22"/>
          <w:szCs w:val="22"/>
        </w:rPr>
      </w:pPr>
      <w:r w:rsidRPr="1024079A">
        <w:rPr>
          <w:rFonts w:ascii="Arial" w:eastAsia="Arial" w:hAnsi="Arial" w:cs="Arial"/>
          <w:color w:val="000000" w:themeColor="text1"/>
          <w:sz w:val="22"/>
          <w:szCs w:val="22"/>
        </w:rPr>
        <w:t>Tipo de garantía</w:t>
      </w:r>
    </w:p>
    <w:p w14:paraId="73F884FA" w14:textId="0DA79EFA" w:rsidR="000D10C9" w:rsidRDefault="00BB4E15" w:rsidP="00573A16">
      <w:pPr>
        <w:numPr>
          <w:ilvl w:val="0"/>
          <w:numId w:val="21"/>
        </w:numPr>
        <w:pBdr>
          <w:top w:val="nil"/>
          <w:left w:val="nil"/>
          <w:bottom w:val="nil"/>
          <w:right w:val="nil"/>
          <w:between w:val="nil"/>
        </w:pBdr>
        <w:jc w:val="both"/>
        <w:rPr>
          <w:color w:val="000000"/>
          <w:sz w:val="22"/>
          <w:szCs w:val="22"/>
        </w:rPr>
      </w:pPr>
      <w:r w:rsidRPr="1024079A">
        <w:rPr>
          <w:rFonts w:ascii="Arial" w:eastAsia="Arial" w:hAnsi="Arial" w:cs="Arial"/>
          <w:color w:val="000000" w:themeColor="text1"/>
          <w:sz w:val="22"/>
          <w:szCs w:val="22"/>
        </w:rPr>
        <w:t>Provincia en la que se otorga el crédito</w:t>
      </w:r>
    </w:p>
    <w:p w14:paraId="147BB50E" w14:textId="6921D2E2" w:rsidR="000D10C9" w:rsidRPr="00573A16" w:rsidRDefault="00BB4E15" w:rsidP="00573A16">
      <w:pPr>
        <w:numPr>
          <w:ilvl w:val="0"/>
          <w:numId w:val="21"/>
        </w:numPr>
        <w:pBdr>
          <w:top w:val="nil"/>
          <w:left w:val="nil"/>
          <w:bottom w:val="nil"/>
          <w:right w:val="nil"/>
          <w:between w:val="nil"/>
        </w:pBdr>
        <w:jc w:val="both"/>
        <w:rPr>
          <w:color w:val="000000"/>
          <w:sz w:val="22"/>
          <w:szCs w:val="22"/>
        </w:rPr>
      </w:pPr>
      <w:r w:rsidRPr="1024079A">
        <w:rPr>
          <w:rFonts w:ascii="Arial" w:eastAsia="Arial" w:hAnsi="Arial" w:cs="Arial"/>
          <w:color w:val="000000" w:themeColor="text1"/>
          <w:sz w:val="22"/>
          <w:szCs w:val="22"/>
        </w:rPr>
        <w:t>Variable de género</w:t>
      </w:r>
    </w:p>
    <w:p w14:paraId="74497D98" w14:textId="04496244" w:rsidR="000D10C9" w:rsidRDefault="00BB4E15" w:rsidP="00573A16">
      <w:pPr>
        <w:numPr>
          <w:ilvl w:val="0"/>
          <w:numId w:val="21"/>
        </w:numPr>
        <w:pBdr>
          <w:top w:val="nil"/>
          <w:left w:val="nil"/>
          <w:bottom w:val="nil"/>
          <w:right w:val="nil"/>
          <w:between w:val="nil"/>
        </w:pBdr>
        <w:jc w:val="both"/>
        <w:rPr>
          <w:color w:val="000000"/>
          <w:sz w:val="22"/>
          <w:szCs w:val="22"/>
        </w:rPr>
      </w:pPr>
      <w:r w:rsidRPr="1024079A">
        <w:rPr>
          <w:rFonts w:ascii="Arial" w:eastAsia="Arial" w:hAnsi="Arial" w:cs="Arial"/>
          <w:color w:val="000000" w:themeColor="text1"/>
          <w:sz w:val="22"/>
          <w:szCs w:val="22"/>
        </w:rPr>
        <w:t>Ventas anuales</w:t>
      </w:r>
    </w:p>
    <w:p w14:paraId="2B7B45FB" w14:textId="48253B70" w:rsidR="000D10C9" w:rsidRPr="00573A16" w:rsidRDefault="00BB4E15" w:rsidP="00573A16">
      <w:pPr>
        <w:numPr>
          <w:ilvl w:val="0"/>
          <w:numId w:val="21"/>
        </w:numPr>
        <w:pBdr>
          <w:top w:val="nil"/>
          <w:left w:val="nil"/>
          <w:bottom w:val="nil"/>
          <w:right w:val="nil"/>
          <w:between w:val="nil"/>
        </w:pBdr>
        <w:jc w:val="both"/>
        <w:rPr>
          <w:color w:val="000000"/>
          <w:sz w:val="22"/>
          <w:szCs w:val="22"/>
        </w:rPr>
      </w:pPr>
      <w:r w:rsidRPr="1024079A">
        <w:rPr>
          <w:rFonts w:ascii="Arial" w:eastAsia="Arial" w:hAnsi="Arial" w:cs="Arial"/>
          <w:color w:val="000000" w:themeColor="text1"/>
          <w:sz w:val="22"/>
          <w:szCs w:val="22"/>
        </w:rPr>
        <w:t>Número de empleados</w:t>
      </w:r>
    </w:p>
    <w:p w14:paraId="752239BA" w14:textId="4F4E823A" w:rsidR="00726C0B" w:rsidRPr="001069D8" w:rsidRDefault="00BB4E15" w:rsidP="00573A16">
      <w:pPr>
        <w:numPr>
          <w:ilvl w:val="0"/>
          <w:numId w:val="21"/>
        </w:numPr>
        <w:pBdr>
          <w:top w:val="nil"/>
          <w:left w:val="nil"/>
          <w:bottom w:val="nil"/>
          <w:right w:val="nil"/>
          <w:between w:val="nil"/>
        </w:pBdr>
        <w:jc w:val="both"/>
        <w:rPr>
          <w:color w:val="000000"/>
          <w:sz w:val="22"/>
          <w:szCs w:val="22"/>
        </w:rPr>
      </w:pPr>
      <w:r w:rsidRPr="1024079A">
        <w:rPr>
          <w:rFonts w:ascii="Arial" w:eastAsia="Arial" w:hAnsi="Arial" w:cs="Arial"/>
          <w:color w:val="000000" w:themeColor="text1"/>
          <w:sz w:val="22"/>
          <w:szCs w:val="22"/>
        </w:rPr>
        <w:t>Otros que se pacten con el BID</w:t>
      </w:r>
    </w:p>
    <w:p w14:paraId="11E6D59F" w14:textId="25310DF1" w:rsidR="00F0334A" w:rsidRDefault="00F0334A" w:rsidP="001069D8">
      <w:pPr>
        <w:pBdr>
          <w:top w:val="nil"/>
          <w:left w:val="nil"/>
          <w:bottom w:val="nil"/>
          <w:right w:val="nil"/>
          <w:between w:val="nil"/>
        </w:pBdr>
        <w:ind w:left="1152"/>
        <w:jc w:val="both"/>
        <w:rPr>
          <w:color w:val="000000"/>
          <w:sz w:val="22"/>
          <w:szCs w:val="22"/>
        </w:rPr>
      </w:pPr>
    </w:p>
    <w:p w14:paraId="65F0A8E5" w14:textId="77777777" w:rsidR="00D57B49" w:rsidRPr="00573A16" w:rsidRDefault="00D57B49" w:rsidP="001069D8">
      <w:pPr>
        <w:pBdr>
          <w:top w:val="nil"/>
          <w:left w:val="nil"/>
          <w:bottom w:val="nil"/>
          <w:right w:val="nil"/>
          <w:between w:val="nil"/>
        </w:pBdr>
        <w:ind w:left="1152"/>
        <w:jc w:val="both"/>
        <w:rPr>
          <w:color w:val="000000"/>
          <w:sz w:val="22"/>
          <w:szCs w:val="22"/>
        </w:rPr>
      </w:pPr>
    </w:p>
    <w:p w14:paraId="3D0D9B38" w14:textId="010341FF" w:rsidR="00726C0B" w:rsidRDefault="000D10C9">
      <w:pPr>
        <w:pStyle w:val="Heading1"/>
        <w:numPr>
          <w:ilvl w:val="0"/>
          <w:numId w:val="2"/>
        </w:numPr>
        <w:jc w:val="both"/>
        <w:rPr>
          <w:sz w:val="22"/>
          <w:szCs w:val="22"/>
        </w:rPr>
      </w:pPr>
      <w:bookmarkStart w:id="12" w:name="_Toc42709757"/>
      <w:r>
        <w:rPr>
          <w:sz w:val="22"/>
          <w:szCs w:val="22"/>
        </w:rPr>
        <w:lastRenderedPageBreak/>
        <w:t>Financiamiento de segundo piso</w:t>
      </w:r>
      <w:r w:rsidR="00137C81">
        <w:rPr>
          <w:sz w:val="22"/>
          <w:szCs w:val="22"/>
        </w:rPr>
        <w:t xml:space="preserve"> a través de b</w:t>
      </w:r>
      <w:r w:rsidR="00BB4E15">
        <w:rPr>
          <w:sz w:val="22"/>
          <w:szCs w:val="22"/>
        </w:rPr>
        <w:t xml:space="preserve">onificación de </w:t>
      </w:r>
      <w:r w:rsidR="007510C2">
        <w:rPr>
          <w:sz w:val="22"/>
          <w:szCs w:val="22"/>
        </w:rPr>
        <w:t>tasas</w:t>
      </w:r>
      <w:bookmarkEnd w:id="12"/>
      <w:r w:rsidR="007510C2">
        <w:rPr>
          <w:sz w:val="22"/>
          <w:szCs w:val="22"/>
        </w:rPr>
        <w:t xml:space="preserve"> </w:t>
      </w:r>
    </w:p>
    <w:p w14:paraId="4E08768E" w14:textId="77777777" w:rsidR="00726C0B" w:rsidRDefault="00726C0B">
      <w:pPr>
        <w:rPr>
          <w:rFonts w:ascii="Arial" w:eastAsia="Arial" w:hAnsi="Arial" w:cs="Arial"/>
          <w:sz w:val="22"/>
          <w:szCs w:val="22"/>
        </w:rPr>
      </w:pPr>
    </w:p>
    <w:p w14:paraId="2742B140" w14:textId="30888852" w:rsidR="00726C0B" w:rsidRPr="0012548A" w:rsidRDefault="00232F2C" w:rsidP="00573A16">
      <w:pPr>
        <w:numPr>
          <w:ilvl w:val="1"/>
          <w:numId w:val="11"/>
        </w:numPr>
        <w:pBdr>
          <w:top w:val="nil"/>
          <w:left w:val="nil"/>
          <w:bottom w:val="nil"/>
          <w:right w:val="nil"/>
          <w:between w:val="nil"/>
        </w:pBdr>
        <w:jc w:val="both"/>
        <w:rPr>
          <w:rFonts w:ascii="Arial" w:eastAsia="Arial" w:hAnsi="Arial" w:cs="Arial"/>
          <w:bCs/>
          <w:color w:val="000000"/>
          <w:sz w:val="22"/>
          <w:szCs w:val="22"/>
        </w:rPr>
      </w:pPr>
      <w:r w:rsidRPr="008B723E">
        <w:rPr>
          <w:rFonts w:ascii="Arial" w:eastAsia="Arial" w:hAnsi="Arial" w:cs="Arial"/>
          <w:b/>
          <w:color w:val="000000"/>
          <w:sz w:val="22"/>
          <w:szCs w:val="22"/>
        </w:rPr>
        <w:t>Aprobación de bonificación de tasas.</w:t>
      </w:r>
      <w:r>
        <w:rPr>
          <w:rFonts w:ascii="Arial" w:eastAsia="Arial" w:hAnsi="Arial" w:cs="Arial"/>
          <w:bCs/>
          <w:color w:val="000000"/>
          <w:sz w:val="22"/>
          <w:szCs w:val="22"/>
        </w:rPr>
        <w:t xml:space="preserve"> </w:t>
      </w:r>
      <w:r w:rsidR="00BB4E15" w:rsidRPr="007510C2" w:rsidDel="007510C2">
        <w:rPr>
          <w:rFonts w:ascii="Arial" w:eastAsia="Arial" w:hAnsi="Arial" w:cs="Arial"/>
          <w:bCs/>
          <w:color w:val="000000"/>
          <w:sz w:val="22"/>
          <w:szCs w:val="22"/>
        </w:rPr>
        <w:t>E</w:t>
      </w:r>
      <w:r w:rsidR="00BB4E15" w:rsidRPr="007510C2">
        <w:rPr>
          <w:rFonts w:ascii="Arial" w:eastAsia="Arial" w:hAnsi="Arial" w:cs="Arial"/>
          <w:bCs/>
          <w:color w:val="000000"/>
          <w:sz w:val="22"/>
          <w:szCs w:val="22"/>
        </w:rPr>
        <w:t>l</w:t>
      </w:r>
      <w:r w:rsidR="00BB4E15" w:rsidRPr="0012548A">
        <w:rPr>
          <w:rFonts w:ascii="Arial" w:eastAsia="Arial" w:hAnsi="Arial" w:cs="Arial"/>
          <w:bCs/>
          <w:color w:val="000000"/>
          <w:sz w:val="22"/>
          <w:szCs w:val="22"/>
        </w:rPr>
        <w:t xml:space="preserve"> Comité Ejecutivo del FONDEP, de acuerdo </w:t>
      </w:r>
      <w:r w:rsidR="007510C2">
        <w:rPr>
          <w:rFonts w:ascii="Arial" w:eastAsia="Arial" w:hAnsi="Arial" w:cs="Arial"/>
          <w:bCs/>
          <w:color w:val="000000"/>
          <w:sz w:val="22"/>
          <w:szCs w:val="22"/>
        </w:rPr>
        <w:t>con</w:t>
      </w:r>
      <w:r w:rsidR="000D10C9">
        <w:rPr>
          <w:rFonts w:ascii="Arial" w:eastAsia="Arial" w:hAnsi="Arial" w:cs="Arial"/>
          <w:bCs/>
          <w:color w:val="000000"/>
          <w:sz w:val="22"/>
          <w:szCs w:val="22"/>
        </w:rPr>
        <w:t>`</w:t>
      </w:r>
      <w:r w:rsidR="00BB4E15" w:rsidRPr="0012548A">
        <w:rPr>
          <w:rFonts w:ascii="Arial" w:eastAsia="Arial" w:hAnsi="Arial" w:cs="Arial"/>
          <w:bCs/>
          <w:color w:val="000000"/>
          <w:sz w:val="22"/>
          <w:szCs w:val="22"/>
        </w:rPr>
        <w:t xml:space="preserve"> las facultades que le otorga el Artículo 7 del Decreto 606/14, aprueba los lineamientos generales de la línea de bonificación de tasas, entre los cuales se encuentran:</w:t>
      </w:r>
    </w:p>
    <w:p w14:paraId="4496A92F" w14:textId="77777777" w:rsidR="00726C0B" w:rsidRPr="0012548A" w:rsidRDefault="00726C0B">
      <w:pPr>
        <w:pBdr>
          <w:top w:val="nil"/>
          <w:left w:val="nil"/>
          <w:bottom w:val="nil"/>
          <w:right w:val="nil"/>
          <w:between w:val="nil"/>
        </w:pBdr>
        <w:ind w:left="720"/>
        <w:rPr>
          <w:rFonts w:ascii="Arial" w:eastAsia="Arial" w:hAnsi="Arial" w:cs="Arial"/>
          <w:bCs/>
          <w:sz w:val="22"/>
          <w:szCs w:val="22"/>
        </w:rPr>
      </w:pPr>
    </w:p>
    <w:p w14:paraId="62E54E1B" w14:textId="77777777" w:rsidR="00726C0B" w:rsidRPr="0012548A" w:rsidRDefault="00BB4E15">
      <w:pPr>
        <w:numPr>
          <w:ilvl w:val="0"/>
          <w:numId w:val="17"/>
        </w:numPr>
        <w:pBdr>
          <w:top w:val="nil"/>
          <w:left w:val="nil"/>
          <w:bottom w:val="nil"/>
          <w:right w:val="nil"/>
          <w:between w:val="nil"/>
        </w:pBdr>
        <w:jc w:val="both"/>
        <w:rPr>
          <w:rFonts w:ascii="Arial" w:eastAsia="Arial" w:hAnsi="Arial" w:cs="Arial"/>
          <w:bCs/>
          <w:sz w:val="22"/>
          <w:szCs w:val="22"/>
        </w:rPr>
      </w:pPr>
      <w:r w:rsidRPr="0012548A">
        <w:rPr>
          <w:rFonts w:ascii="Arial" w:eastAsia="Arial" w:hAnsi="Arial" w:cs="Arial"/>
          <w:bCs/>
          <w:color w:val="000000"/>
          <w:sz w:val="22"/>
          <w:szCs w:val="22"/>
        </w:rPr>
        <w:t>Monto total de la línea</w:t>
      </w:r>
    </w:p>
    <w:p w14:paraId="11F26071" w14:textId="77777777" w:rsidR="00726C0B" w:rsidRPr="0012548A" w:rsidRDefault="00BB4E15">
      <w:pPr>
        <w:numPr>
          <w:ilvl w:val="0"/>
          <w:numId w:val="17"/>
        </w:numPr>
        <w:pBdr>
          <w:top w:val="nil"/>
          <w:left w:val="nil"/>
          <w:bottom w:val="nil"/>
          <w:right w:val="nil"/>
          <w:between w:val="nil"/>
        </w:pBdr>
        <w:jc w:val="both"/>
        <w:rPr>
          <w:rFonts w:ascii="Arial" w:eastAsia="Arial" w:hAnsi="Arial" w:cs="Arial"/>
          <w:bCs/>
          <w:sz w:val="22"/>
          <w:szCs w:val="22"/>
        </w:rPr>
      </w:pPr>
      <w:proofErr w:type="gramStart"/>
      <w:r w:rsidRPr="0012548A">
        <w:rPr>
          <w:rFonts w:ascii="Arial" w:eastAsia="Arial" w:hAnsi="Arial" w:cs="Arial"/>
          <w:bCs/>
          <w:color w:val="000000"/>
          <w:sz w:val="22"/>
          <w:szCs w:val="22"/>
        </w:rPr>
        <w:t>Monto total a ser bonificado</w:t>
      </w:r>
      <w:proofErr w:type="gramEnd"/>
    </w:p>
    <w:p w14:paraId="1A6A817B" w14:textId="77777777" w:rsidR="00726C0B" w:rsidRPr="0012548A" w:rsidRDefault="00BB4E15">
      <w:pPr>
        <w:numPr>
          <w:ilvl w:val="0"/>
          <w:numId w:val="17"/>
        </w:numPr>
        <w:pBdr>
          <w:top w:val="nil"/>
          <w:left w:val="nil"/>
          <w:bottom w:val="nil"/>
          <w:right w:val="nil"/>
          <w:between w:val="nil"/>
        </w:pBdr>
        <w:jc w:val="both"/>
        <w:rPr>
          <w:rFonts w:ascii="Arial" w:eastAsia="Arial" w:hAnsi="Arial" w:cs="Arial"/>
          <w:bCs/>
          <w:sz w:val="22"/>
          <w:szCs w:val="22"/>
        </w:rPr>
      </w:pPr>
      <w:r w:rsidRPr="0012548A">
        <w:rPr>
          <w:rFonts w:ascii="Arial" w:eastAsia="Arial" w:hAnsi="Arial" w:cs="Arial"/>
          <w:bCs/>
          <w:color w:val="000000"/>
          <w:sz w:val="22"/>
          <w:szCs w:val="22"/>
        </w:rPr>
        <w:t>Tasa de interés sobre la que se aplica la bonificación</w:t>
      </w:r>
    </w:p>
    <w:p w14:paraId="02F60888" w14:textId="77777777" w:rsidR="00726C0B" w:rsidRPr="0012548A" w:rsidRDefault="00BB4E15">
      <w:pPr>
        <w:numPr>
          <w:ilvl w:val="0"/>
          <w:numId w:val="17"/>
        </w:numPr>
        <w:pBdr>
          <w:top w:val="nil"/>
          <w:left w:val="nil"/>
          <w:bottom w:val="nil"/>
          <w:right w:val="nil"/>
          <w:between w:val="nil"/>
        </w:pBdr>
        <w:jc w:val="both"/>
        <w:rPr>
          <w:rFonts w:ascii="Arial" w:eastAsia="Arial" w:hAnsi="Arial" w:cs="Arial"/>
          <w:bCs/>
          <w:sz w:val="22"/>
          <w:szCs w:val="22"/>
        </w:rPr>
      </w:pPr>
      <w:r w:rsidRPr="0012548A">
        <w:rPr>
          <w:rFonts w:ascii="Arial" w:eastAsia="Arial" w:hAnsi="Arial" w:cs="Arial"/>
          <w:bCs/>
          <w:color w:val="000000"/>
          <w:sz w:val="22"/>
          <w:szCs w:val="22"/>
        </w:rPr>
        <w:t>Puntos bonificados</w:t>
      </w:r>
    </w:p>
    <w:p w14:paraId="33B1E967" w14:textId="77777777" w:rsidR="00726C0B" w:rsidRPr="0012548A" w:rsidRDefault="00BB4E15">
      <w:pPr>
        <w:numPr>
          <w:ilvl w:val="0"/>
          <w:numId w:val="17"/>
        </w:numPr>
        <w:pBdr>
          <w:top w:val="nil"/>
          <w:left w:val="nil"/>
          <w:bottom w:val="nil"/>
          <w:right w:val="nil"/>
          <w:between w:val="nil"/>
        </w:pBdr>
        <w:jc w:val="both"/>
        <w:rPr>
          <w:rFonts w:ascii="Arial" w:eastAsia="Arial" w:hAnsi="Arial" w:cs="Arial"/>
          <w:bCs/>
          <w:sz w:val="22"/>
          <w:szCs w:val="22"/>
        </w:rPr>
      </w:pPr>
      <w:r w:rsidRPr="0012548A">
        <w:rPr>
          <w:rFonts w:ascii="Arial" w:eastAsia="Arial" w:hAnsi="Arial" w:cs="Arial"/>
          <w:bCs/>
          <w:color w:val="000000"/>
          <w:sz w:val="22"/>
          <w:szCs w:val="22"/>
        </w:rPr>
        <w:t>Vigencia del contrato</w:t>
      </w:r>
    </w:p>
    <w:p w14:paraId="4B53DD66" w14:textId="77777777" w:rsidR="00726C0B" w:rsidRPr="0012548A" w:rsidRDefault="00BB4E15">
      <w:pPr>
        <w:numPr>
          <w:ilvl w:val="0"/>
          <w:numId w:val="17"/>
        </w:numPr>
        <w:pBdr>
          <w:top w:val="nil"/>
          <w:left w:val="nil"/>
          <w:bottom w:val="nil"/>
          <w:right w:val="nil"/>
          <w:between w:val="nil"/>
        </w:pBdr>
        <w:jc w:val="both"/>
        <w:rPr>
          <w:rFonts w:ascii="Arial" w:eastAsia="Arial" w:hAnsi="Arial" w:cs="Arial"/>
          <w:bCs/>
          <w:sz w:val="22"/>
          <w:szCs w:val="22"/>
        </w:rPr>
      </w:pPr>
      <w:r w:rsidRPr="0012548A">
        <w:rPr>
          <w:rFonts w:ascii="Arial" w:eastAsia="Arial" w:hAnsi="Arial" w:cs="Arial"/>
          <w:bCs/>
          <w:color w:val="000000"/>
          <w:sz w:val="22"/>
          <w:szCs w:val="22"/>
        </w:rPr>
        <w:t>Beneficiarios de la línea</w:t>
      </w:r>
    </w:p>
    <w:p w14:paraId="6B617FBF" w14:textId="77777777" w:rsidR="00726C0B" w:rsidRPr="0012548A" w:rsidRDefault="00726C0B">
      <w:pPr>
        <w:pBdr>
          <w:top w:val="nil"/>
          <w:left w:val="nil"/>
          <w:bottom w:val="nil"/>
          <w:right w:val="nil"/>
          <w:between w:val="nil"/>
        </w:pBdr>
        <w:ind w:left="1152"/>
        <w:jc w:val="both"/>
        <w:rPr>
          <w:rFonts w:ascii="Arial" w:eastAsia="Arial" w:hAnsi="Arial" w:cs="Arial"/>
          <w:bCs/>
          <w:color w:val="000000"/>
          <w:sz w:val="22"/>
          <w:szCs w:val="22"/>
        </w:rPr>
      </w:pPr>
    </w:p>
    <w:p w14:paraId="166EBF98" w14:textId="312BEF82" w:rsidR="00726C0B" w:rsidRPr="0012548A" w:rsidRDefault="002D7E2E" w:rsidP="00573A16">
      <w:pPr>
        <w:numPr>
          <w:ilvl w:val="1"/>
          <w:numId w:val="11"/>
        </w:numPr>
        <w:pBdr>
          <w:top w:val="nil"/>
          <w:left w:val="nil"/>
          <w:bottom w:val="nil"/>
          <w:right w:val="nil"/>
          <w:between w:val="nil"/>
        </w:pBdr>
        <w:jc w:val="both"/>
        <w:rPr>
          <w:rFonts w:ascii="Arial" w:eastAsia="Arial" w:hAnsi="Arial" w:cs="Arial"/>
          <w:bCs/>
          <w:color w:val="000000"/>
          <w:sz w:val="22"/>
          <w:szCs w:val="22"/>
        </w:rPr>
      </w:pPr>
      <w:r w:rsidRPr="008B723E">
        <w:rPr>
          <w:rFonts w:ascii="Arial" w:eastAsia="Arial" w:hAnsi="Arial" w:cs="Arial"/>
          <w:b/>
          <w:color w:val="000000"/>
          <w:sz w:val="22"/>
          <w:szCs w:val="22"/>
        </w:rPr>
        <w:t>Instrucción de la Autoridad de Aplicación.</w:t>
      </w:r>
      <w:r>
        <w:rPr>
          <w:rFonts w:ascii="Arial" w:eastAsia="Arial" w:hAnsi="Arial" w:cs="Arial"/>
          <w:bCs/>
          <w:color w:val="000000"/>
          <w:sz w:val="22"/>
          <w:szCs w:val="22"/>
        </w:rPr>
        <w:t xml:space="preserve"> </w:t>
      </w:r>
      <w:r w:rsidR="007510C2">
        <w:rPr>
          <w:rFonts w:ascii="Arial" w:eastAsia="Arial" w:hAnsi="Arial" w:cs="Arial"/>
          <w:bCs/>
          <w:color w:val="000000"/>
          <w:sz w:val="22"/>
          <w:szCs w:val="22"/>
        </w:rPr>
        <w:t>D</w:t>
      </w:r>
      <w:r w:rsidR="00BB4E15" w:rsidRPr="0012548A">
        <w:rPr>
          <w:rFonts w:ascii="Arial" w:eastAsia="Arial" w:hAnsi="Arial" w:cs="Arial"/>
          <w:bCs/>
          <w:color w:val="000000"/>
          <w:sz w:val="22"/>
          <w:szCs w:val="22"/>
        </w:rPr>
        <w:t xml:space="preserve">e acuerdo </w:t>
      </w:r>
      <w:r w:rsidR="007510C2">
        <w:rPr>
          <w:rFonts w:ascii="Arial" w:eastAsia="Arial" w:hAnsi="Arial" w:cs="Arial"/>
          <w:bCs/>
          <w:color w:val="000000"/>
          <w:sz w:val="22"/>
          <w:szCs w:val="22"/>
        </w:rPr>
        <w:t>con</w:t>
      </w:r>
      <w:r w:rsidR="00BB4E15" w:rsidRPr="0012548A">
        <w:rPr>
          <w:rFonts w:ascii="Arial" w:eastAsia="Arial" w:hAnsi="Arial" w:cs="Arial"/>
          <w:bCs/>
          <w:color w:val="000000"/>
          <w:sz w:val="22"/>
          <w:szCs w:val="22"/>
        </w:rPr>
        <w:t xml:space="preserve"> lo resuelto por el Comité Ejecutivo </w:t>
      </w:r>
      <w:r w:rsidR="007510C2">
        <w:rPr>
          <w:rFonts w:ascii="Arial" w:eastAsia="Arial" w:hAnsi="Arial" w:cs="Arial"/>
          <w:bCs/>
          <w:color w:val="000000"/>
          <w:sz w:val="22"/>
          <w:szCs w:val="22"/>
        </w:rPr>
        <w:t xml:space="preserve">del </w:t>
      </w:r>
      <w:r w:rsidR="00BB4E15" w:rsidRPr="0012548A">
        <w:rPr>
          <w:rFonts w:ascii="Arial" w:eastAsia="Arial" w:hAnsi="Arial" w:cs="Arial"/>
          <w:bCs/>
          <w:color w:val="000000"/>
          <w:sz w:val="22"/>
          <w:szCs w:val="22"/>
        </w:rPr>
        <w:t>FONDEP</w:t>
      </w:r>
      <w:r w:rsidR="007510C2">
        <w:rPr>
          <w:rFonts w:ascii="Arial" w:eastAsia="Arial" w:hAnsi="Arial" w:cs="Arial"/>
          <w:bCs/>
          <w:color w:val="000000"/>
          <w:sz w:val="22"/>
          <w:szCs w:val="22"/>
        </w:rPr>
        <w:t>, el OE</w:t>
      </w:r>
      <w:r w:rsidR="00AC02DE">
        <w:rPr>
          <w:rFonts w:ascii="Arial" w:eastAsia="Arial" w:hAnsi="Arial" w:cs="Arial"/>
          <w:bCs/>
          <w:color w:val="000000"/>
          <w:sz w:val="22"/>
          <w:szCs w:val="22"/>
        </w:rPr>
        <w:t>, como Autoridad de Aplicación,</w:t>
      </w:r>
      <w:r w:rsidR="00BB4E15" w:rsidRPr="0012548A">
        <w:rPr>
          <w:rFonts w:ascii="Arial" w:eastAsia="Arial" w:hAnsi="Arial" w:cs="Arial"/>
          <w:bCs/>
          <w:color w:val="000000"/>
          <w:sz w:val="22"/>
          <w:szCs w:val="22"/>
        </w:rPr>
        <w:t xml:space="preserve"> instruirá al fiduciario del FONDEP</w:t>
      </w:r>
      <w:r w:rsidR="000D10C9">
        <w:rPr>
          <w:rFonts w:ascii="Arial" w:eastAsia="Arial" w:hAnsi="Arial" w:cs="Arial"/>
          <w:bCs/>
          <w:color w:val="000000"/>
          <w:sz w:val="22"/>
          <w:szCs w:val="22"/>
        </w:rPr>
        <w:t xml:space="preserve"> (</w:t>
      </w:r>
      <w:r w:rsidR="005E4A22">
        <w:rPr>
          <w:rFonts w:ascii="Arial" w:eastAsia="Arial" w:hAnsi="Arial" w:cs="Arial"/>
          <w:bCs/>
          <w:color w:val="000000"/>
          <w:sz w:val="22"/>
          <w:szCs w:val="22"/>
        </w:rPr>
        <w:t>BFSA</w:t>
      </w:r>
      <w:r w:rsidR="000D10C9">
        <w:rPr>
          <w:rFonts w:ascii="Arial" w:eastAsia="Arial" w:hAnsi="Arial" w:cs="Arial"/>
          <w:bCs/>
          <w:color w:val="000000"/>
          <w:sz w:val="22"/>
          <w:szCs w:val="22"/>
        </w:rPr>
        <w:t>)</w:t>
      </w:r>
      <w:r w:rsidR="00BB4E15" w:rsidRPr="0012548A">
        <w:rPr>
          <w:rFonts w:ascii="Arial" w:eastAsia="Arial" w:hAnsi="Arial" w:cs="Arial"/>
          <w:bCs/>
          <w:color w:val="000000"/>
          <w:sz w:val="22"/>
          <w:szCs w:val="22"/>
        </w:rPr>
        <w:t xml:space="preserve"> a implementar la línea de bonificación de tasas mediante la celebración de contratos con las IFI que ésta determine. En dicha instrucción se indicarán las condiciones resueltas por el FONDEP que deberán establecerse en los contratos.</w:t>
      </w:r>
    </w:p>
    <w:p w14:paraId="31B8F1C7" w14:textId="77777777" w:rsidR="00726C0B" w:rsidRPr="0012548A" w:rsidRDefault="00726C0B">
      <w:pPr>
        <w:pBdr>
          <w:top w:val="nil"/>
          <w:left w:val="nil"/>
          <w:bottom w:val="nil"/>
          <w:right w:val="nil"/>
          <w:between w:val="nil"/>
        </w:pBdr>
        <w:ind w:left="720"/>
        <w:jc w:val="both"/>
        <w:rPr>
          <w:rFonts w:ascii="Arial" w:eastAsia="Arial" w:hAnsi="Arial" w:cs="Arial"/>
          <w:bCs/>
          <w:color w:val="000000"/>
          <w:sz w:val="22"/>
          <w:szCs w:val="22"/>
        </w:rPr>
      </w:pPr>
    </w:p>
    <w:p w14:paraId="1F2024AE" w14:textId="379812C3" w:rsidR="00726C0B" w:rsidRPr="0012548A" w:rsidRDefault="00B30E39" w:rsidP="00573A16">
      <w:pPr>
        <w:numPr>
          <w:ilvl w:val="1"/>
          <w:numId w:val="11"/>
        </w:numPr>
        <w:pBdr>
          <w:top w:val="nil"/>
          <w:left w:val="nil"/>
          <w:bottom w:val="nil"/>
          <w:right w:val="nil"/>
          <w:between w:val="nil"/>
        </w:pBdr>
        <w:jc w:val="both"/>
        <w:rPr>
          <w:rFonts w:ascii="Arial" w:eastAsia="Arial" w:hAnsi="Arial" w:cs="Arial"/>
          <w:bCs/>
          <w:color w:val="000000"/>
          <w:sz w:val="22"/>
          <w:szCs w:val="22"/>
        </w:rPr>
      </w:pPr>
      <w:r w:rsidRPr="00B30E39">
        <w:rPr>
          <w:rFonts w:ascii="Arial" w:eastAsia="Arial" w:hAnsi="Arial" w:cs="Arial"/>
          <w:b/>
          <w:color w:val="000000"/>
          <w:sz w:val="22"/>
          <w:szCs w:val="22"/>
        </w:rPr>
        <w:t>Instrumentación</w:t>
      </w:r>
      <w:r w:rsidRPr="008B723E">
        <w:rPr>
          <w:rFonts w:ascii="Arial" w:eastAsia="Arial" w:hAnsi="Arial" w:cs="Arial"/>
          <w:b/>
          <w:color w:val="000000"/>
          <w:sz w:val="22"/>
          <w:szCs w:val="22"/>
        </w:rPr>
        <w:t xml:space="preserve"> del Convenio.</w:t>
      </w:r>
      <w:r>
        <w:rPr>
          <w:rFonts w:ascii="Arial" w:eastAsia="Arial" w:hAnsi="Arial" w:cs="Arial"/>
          <w:bCs/>
          <w:color w:val="000000"/>
          <w:sz w:val="22"/>
          <w:szCs w:val="22"/>
        </w:rPr>
        <w:t xml:space="preserve"> </w:t>
      </w:r>
      <w:r w:rsidR="00BB4E15" w:rsidRPr="0012548A">
        <w:rPr>
          <w:rFonts w:ascii="Arial" w:eastAsia="Arial" w:hAnsi="Arial" w:cs="Arial"/>
          <w:bCs/>
          <w:color w:val="000000"/>
          <w:sz w:val="22"/>
          <w:szCs w:val="22"/>
        </w:rPr>
        <w:t xml:space="preserve">Se procederá a la firma del convenio entre </w:t>
      </w:r>
      <w:r w:rsidR="00573A16">
        <w:rPr>
          <w:rFonts w:ascii="Arial" w:eastAsia="Arial" w:hAnsi="Arial" w:cs="Arial"/>
          <w:bCs/>
          <w:color w:val="000000"/>
          <w:sz w:val="22"/>
          <w:szCs w:val="22"/>
        </w:rPr>
        <w:t xml:space="preserve">el fiduciario </w:t>
      </w:r>
      <w:r w:rsidR="00BB4E15" w:rsidRPr="0012548A">
        <w:rPr>
          <w:rFonts w:ascii="Arial" w:eastAsia="Arial" w:hAnsi="Arial" w:cs="Arial"/>
          <w:bCs/>
          <w:color w:val="000000"/>
          <w:sz w:val="22"/>
          <w:szCs w:val="22"/>
        </w:rPr>
        <w:t xml:space="preserve">y </w:t>
      </w:r>
      <w:r w:rsidR="000D10C9">
        <w:rPr>
          <w:rFonts w:ascii="Arial" w:eastAsia="Arial" w:hAnsi="Arial" w:cs="Arial"/>
          <w:bCs/>
          <w:color w:val="000000"/>
          <w:sz w:val="22"/>
          <w:szCs w:val="22"/>
        </w:rPr>
        <w:t xml:space="preserve">la </w:t>
      </w:r>
      <w:r w:rsidR="00BB4E15" w:rsidRPr="0012548A">
        <w:rPr>
          <w:rFonts w:ascii="Arial" w:eastAsia="Arial" w:hAnsi="Arial" w:cs="Arial"/>
          <w:bCs/>
          <w:color w:val="000000"/>
          <w:sz w:val="22"/>
          <w:szCs w:val="22"/>
        </w:rPr>
        <w:t>IFI,</w:t>
      </w:r>
      <w:r w:rsidR="00BB4E15" w:rsidRPr="0012548A" w:rsidDel="000D10C9">
        <w:rPr>
          <w:rFonts w:ascii="Arial" w:eastAsia="Arial" w:hAnsi="Arial" w:cs="Arial"/>
          <w:bCs/>
          <w:color w:val="000000"/>
          <w:sz w:val="22"/>
          <w:szCs w:val="22"/>
        </w:rPr>
        <w:t xml:space="preserve"> </w:t>
      </w:r>
      <w:r w:rsidR="00BB4E15" w:rsidRPr="0012548A">
        <w:rPr>
          <w:rFonts w:ascii="Arial" w:eastAsia="Arial" w:hAnsi="Arial" w:cs="Arial"/>
          <w:bCs/>
          <w:color w:val="000000"/>
          <w:sz w:val="22"/>
          <w:szCs w:val="22"/>
        </w:rPr>
        <w:t>que contendrá:</w:t>
      </w:r>
    </w:p>
    <w:p w14:paraId="2F2BE255" w14:textId="77777777" w:rsidR="00726C0B" w:rsidRPr="0012548A" w:rsidRDefault="00726C0B">
      <w:pPr>
        <w:pBdr>
          <w:top w:val="nil"/>
          <w:left w:val="nil"/>
          <w:bottom w:val="nil"/>
          <w:right w:val="nil"/>
          <w:between w:val="nil"/>
        </w:pBdr>
        <w:ind w:left="720"/>
        <w:jc w:val="both"/>
        <w:rPr>
          <w:rFonts w:ascii="Arial" w:eastAsia="Arial" w:hAnsi="Arial" w:cs="Arial"/>
          <w:bCs/>
          <w:color w:val="000000"/>
          <w:sz w:val="22"/>
          <w:szCs w:val="22"/>
        </w:rPr>
      </w:pPr>
    </w:p>
    <w:p w14:paraId="4196966B" w14:textId="2DC571D9" w:rsidR="00726C0B" w:rsidRPr="0012548A" w:rsidRDefault="00BB4E15" w:rsidP="00573A16">
      <w:pPr>
        <w:numPr>
          <w:ilvl w:val="0"/>
          <w:numId w:val="22"/>
        </w:numPr>
        <w:pBdr>
          <w:top w:val="nil"/>
          <w:left w:val="nil"/>
          <w:bottom w:val="nil"/>
          <w:right w:val="nil"/>
          <w:between w:val="nil"/>
        </w:pBdr>
        <w:jc w:val="both"/>
        <w:rPr>
          <w:rFonts w:ascii="Arial" w:eastAsia="Arial" w:hAnsi="Arial" w:cs="Arial"/>
          <w:bCs/>
          <w:color w:val="000000"/>
          <w:sz w:val="22"/>
          <w:szCs w:val="22"/>
        </w:rPr>
      </w:pPr>
      <w:r w:rsidRPr="0012548A">
        <w:rPr>
          <w:rFonts w:ascii="Arial" w:eastAsia="Arial" w:hAnsi="Arial" w:cs="Arial"/>
          <w:bCs/>
          <w:color w:val="000000"/>
          <w:sz w:val="22"/>
          <w:szCs w:val="22"/>
        </w:rPr>
        <w:t>Objeto de la línea</w:t>
      </w:r>
    </w:p>
    <w:p w14:paraId="491561E9" w14:textId="3A841199" w:rsidR="00726C0B" w:rsidRPr="0012548A" w:rsidRDefault="00BB4E15" w:rsidP="00573A16">
      <w:pPr>
        <w:numPr>
          <w:ilvl w:val="0"/>
          <w:numId w:val="22"/>
        </w:numPr>
        <w:pBdr>
          <w:top w:val="nil"/>
          <w:left w:val="nil"/>
          <w:bottom w:val="nil"/>
          <w:right w:val="nil"/>
          <w:between w:val="nil"/>
        </w:pBdr>
        <w:jc w:val="both"/>
        <w:rPr>
          <w:rFonts w:ascii="Arial" w:eastAsia="Arial" w:hAnsi="Arial" w:cs="Arial"/>
          <w:bCs/>
          <w:color w:val="000000"/>
          <w:sz w:val="22"/>
          <w:szCs w:val="22"/>
        </w:rPr>
      </w:pPr>
      <w:r w:rsidRPr="0012548A">
        <w:rPr>
          <w:rFonts w:ascii="Arial" w:eastAsia="Arial" w:hAnsi="Arial" w:cs="Arial"/>
          <w:bCs/>
          <w:color w:val="000000"/>
          <w:sz w:val="22"/>
          <w:szCs w:val="22"/>
        </w:rPr>
        <w:t>Características de los beneficiarios tomadores de los préstamos</w:t>
      </w:r>
    </w:p>
    <w:p w14:paraId="5459F5B8" w14:textId="64442EAD" w:rsidR="00726C0B" w:rsidRPr="0012548A" w:rsidRDefault="00BB4E15" w:rsidP="00573A16">
      <w:pPr>
        <w:numPr>
          <w:ilvl w:val="0"/>
          <w:numId w:val="22"/>
        </w:numPr>
        <w:pBdr>
          <w:top w:val="nil"/>
          <w:left w:val="nil"/>
          <w:bottom w:val="nil"/>
          <w:right w:val="nil"/>
          <w:between w:val="nil"/>
        </w:pBdr>
        <w:jc w:val="both"/>
        <w:rPr>
          <w:rFonts w:ascii="Arial" w:eastAsia="Arial" w:hAnsi="Arial" w:cs="Arial"/>
          <w:bCs/>
          <w:color w:val="000000"/>
          <w:sz w:val="22"/>
          <w:szCs w:val="22"/>
        </w:rPr>
      </w:pPr>
      <w:proofErr w:type="gramStart"/>
      <w:r w:rsidRPr="0012548A">
        <w:rPr>
          <w:rFonts w:ascii="Arial" w:eastAsia="Arial" w:hAnsi="Arial" w:cs="Arial"/>
          <w:bCs/>
          <w:color w:val="000000"/>
          <w:sz w:val="22"/>
          <w:szCs w:val="22"/>
        </w:rPr>
        <w:t>Monto máximo a aplicar</w:t>
      </w:r>
      <w:proofErr w:type="gramEnd"/>
      <w:r w:rsidRPr="0012548A">
        <w:rPr>
          <w:rFonts w:ascii="Arial" w:eastAsia="Arial" w:hAnsi="Arial" w:cs="Arial"/>
          <w:bCs/>
          <w:color w:val="000000"/>
          <w:sz w:val="22"/>
          <w:szCs w:val="22"/>
        </w:rPr>
        <w:t xml:space="preserve"> en capital por la totalidad de préstamos</w:t>
      </w:r>
    </w:p>
    <w:p w14:paraId="1A347807" w14:textId="1F131017" w:rsidR="00726C0B" w:rsidRPr="0012548A" w:rsidRDefault="00BB4E15" w:rsidP="00573A16">
      <w:pPr>
        <w:numPr>
          <w:ilvl w:val="0"/>
          <w:numId w:val="22"/>
        </w:numPr>
        <w:pBdr>
          <w:top w:val="nil"/>
          <w:left w:val="nil"/>
          <w:bottom w:val="nil"/>
          <w:right w:val="nil"/>
          <w:between w:val="nil"/>
        </w:pBdr>
        <w:jc w:val="both"/>
        <w:rPr>
          <w:rFonts w:ascii="Arial" w:eastAsia="Arial" w:hAnsi="Arial" w:cs="Arial"/>
          <w:bCs/>
          <w:color w:val="000000"/>
          <w:sz w:val="22"/>
          <w:szCs w:val="22"/>
        </w:rPr>
      </w:pPr>
      <w:r w:rsidRPr="0012548A">
        <w:rPr>
          <w:rFonts w:ascii="Arial" w:eastAsia="Arial" w:hAnsi="Arial" w:cs="Arial"/>
          <w:bCs/>
          <w:color w:val="000000"/>
          <w:sz w:val="22"/>
          <w:szCs w:val="22"/>
        </w:rPr>
        <w:t>Tasa de interés</w:t>
      </w:r>
    </w:p>
    <w:p w14:paraId="69ED5266" w14:textId="3F527269" w:rsidR="00726C0B" w:rsidRPr="0012548A" w:rsidRDefault="00BB4E15" w:rsidP="00573A16">
      <w:pPr>
        <w:numPr>
          <w:ilvl w:val="0"/>
          <w:numId w:val="22"/>
        </w:numPr>
        <w:pBdr>
          <w:top w:val="nil"/>
          <w:left w:val="nil"/>
          <w:bottom w:val="nil"/>
          <w:right w:val="nil"/>
          <w:between w:val="nil"/>
        </w:pBdr>
        <w:jc w:val="both"/>
        <w:rPr>
          <w:rFonts w:ascii="Arial" w:eastAsia="Arial" w:hAnsi="Arial" w:cs="Arial"/>
          <w:bCs/>
          <w:color w:val="000000"/>
          <w:sz w:val="22"/>
          <w:szCs w:val="22"/>
        </w:rPr>
      </w:pPr>
      <w:proofErr w:type="gramStart"/>
      <w:r w:rsidRPr="0012548A">
        <w:rPr>
          <w:rFonts w:ascii="Arial" w:eastAsia="Arial" w:hAnsi="Arial" w:cs="Arial"/>
          <w:bCs/>
          <w:color w:val="000000"/>
          <w:sz w:val="22"/>
          <w:szCs w:val="22"/>
        </w:rPr>
        <w:t>Puntos a bonificar</w:t>
      </w:r>
      <w:proofErr w:type="gramEnd"/>
      <w:r w:rsidRPr="0012548A">
        <w:rPr>
          <w:rFonts w:ascii="Arial" w:eastAsia="Arial" w:hAnsi="Arial" w:cs="Arial"/>
          <w:bCs/>
          <w:color w:val="000000"/>
          <w:sz w:val="22"/>
          <w:szCs w:val="22"/>
        </w:rPr>
        <w:t xml:space="preserve"> por parte de</w:t>
      </w:r>
      <w:r w:rsidR="000D10C9">
        <w:rPr>
          <w:rFonts w:ascii="Arial" w:eastAsia="Arial" w:hAnsi="Arial" w:cs="Arial"/>
          <w:bCs/>
          <w:color w:val="000000"/>
          <w:sz w:val="22"/>
          <w:szCs w:val="22"/>
        </w:rPr>
        <w:t>l</w:t>
      </w:r>
      <w:r w:rsidRPr="0012548A">
        <w:rPr>
          <w:rFonts w:ascii="Arial" w:eastAsia="Arial" w:hAnsi="Arial" w:cs="Arial"/>
          <w:bCs/>
          <w:color w:val="000000"/>
          <w:sz w:val="22"/>
          <w:szCs w:val="22"/>
        </w:rPr>
        <w:t xml:space="preserve"> FONDEP</w:t>
      </w:r>
    </w:p>
    <w:p w14:paraId="507EF330" w14:textId="586FA302" w:rsidR="00726C0B" w:rsidRPr="0012548A" w:rsidRDefault="00BB4E15" w:rsidP="00573A16">
      <w:pPr>
        <w:numPr>
          <w:ilvl w:val="0"/>
          <w:numId w:val="22"/>
        </w:numPr>
        <w:pBdr>
          <w:top w:val="nil"/>
          <w:left w:val="nil"/>
          <w:bottom w:val="nil"/>
          <w:right w:val="nil"/>
          <w:between w:val="nil"/>
        </w:pBdr>
        <w:jc w:val="both"/>
        <w:rPr>
          <w:rFonts w:ascii="Arial" w:eastAsia="Arial" w:hAnsi="Arial" w:cs="Arial"/>
          <w:bCs/>
          <w:color w:val="000000"/>
          <w:sz w:val="22"/>
          <w:szCs w:val="22"/>
        </w:rPr>
      </w:pPr>
      <w:r w:rsidRPr="0012548A">
        <w:rPr>
          <w:rFonts w:ascii="Arial" w:eastAsia="Arial" w:hAnsi="Arial" w:cs="Arial"/>
          <w:bCs/>
          <w:color w:val="000000"/>
          <w:sz w:val="22"/>
          <w:szCs w:val="22"/>
        </w:rPr>
        <w:t>Sistema de amortización</w:t>
      </w:r>
    </w:p>
    <w:p w14:paraId="31445400" w14:textId="5CAD7CC6" w:rsidR="00726C0B" w:rsidRPr="0012548A" w:rsidRDefault="00BB4E15" w:rsidP="00573A16">
      <w:pPr>
        <w:numPr>
          <w:ilvl w:val="0"/>
          <w:numId w:val="22"/>
        </w:numPr>
        <w:pBdr>
          <w:top w:val="nil"/>
          <w:left w:val="nil"/>
          <w:bottom w:val="nil"/>
          <w:right w:val="nil"/>
          <w:between w:val="nil"/>
        </w:pBdr>
        <w:jc w:val="both"/>
        <w:rPr>
          <w:rFonts w:ascii="Arial" w:eastAsia="Arial" w:hAnsi="Arial" w:cs="Arial"/>
          <w:bCs/>
          <w:color w:val="000000"/>
          <w:sz w:val="22"/>
          <w:szCs w:val="22"/>
        </w:rPr>
      </w:pPr>
      <w:r w:rsidRPr="0012548A">
        <w:rPr>
          <w:rFonts w:ascii="Arial" w:eastAsia="Arial" w:hAnsi="Arial" w:cs="Arial"/>
          <w:bCs/>
          <w:color w:val="000000"/>
          <w:sz w:val="22"/>
          <w:szCs w:val="22"/>
        </w:rPr>
        <w:t>Monto máximo de préstamo por beneficiario</w:t>
      </w:r>
    </w:p>
    <w:p w14:paraId="25575C7E" w14:textId="296FDDF6" w:rsidR="00726C0B" w:rsidRPr="0012548A" w:rsidRDefault="00BB4E15" w:rsidP="00573A16">
      <w:pPr>
        <w:numPr>
          <w:ilvl w:val="0"/>
          <w:numId w:val="22"/>
        </w:numPr>
        <w:pBdr>
          <w:top w:val="nil"/>
          <w:left w:val="nil"/>
          <w:bottom w:val="nil"/>
          <w:right w:val="nil"/>
          <w:between w:val="nil"/>
        </w:pBdr>
        <w:jc w:val="both"/>
        <w:rPr>
          <w:rFonts w:ascii="Arial" w:eastAsia="Arial" w:hAnsi="Arial" w:cs="Arial"/>
          <w:bCs/>
          <w:color w:val="000000"/>
          <w:sz w:val="22"/>
          <w:szCs w:val="22"/>
        </w:rPr>
      </w:pPr>
      <w:r w:rsidRPr="0012548A">
        <w:rPr>
          <w:rFonts w:ascii="Arial" w:eastAsia="Arial" w:hAnsi="Arial" w:cs="Arial"/>
          <w:bCs/>
          <w:color w:val="000000"/>
          <w:sz w:val="22"/>
          <w:szCs w:val="22"/>
        </w:rPr>
        <w:t>Plazo de los préstamos</w:t>
      </w:r>
    </w:p>
    <w:p w14:paraId="2384151B" w14:textId="5AA5B877" w:rsidR="00726C0B" w:rsidRPr="0012548A" w:rsidRDefault="00BB4E15" w:rsidP="00573A16">
      <w:pPr>
        <w:numPr>
          <w:ilvl w:val="0"/>
          <w:numId w:val="22"/>
        </w:numPr>
        <w:pBdr>
          <w:top w:val="nil"/>
          <w:left w:val="nil"/>
          <w:bottom w:val="nil"/>
          <w:right w:val="nil"/>
          <w:between w:val="nil"/>
        </w:pBdr>
        <w:jc w:val="both"/>
        <w:rPr>
          <w:rFonts w:ascii="Arial" w:eastAsia="Arial" w:hAnsi="Arial" w:cs="Arial"/>
          <w:bCs/>
          <w:color w:val="000000"/>
          <w:sz w:val="22"/>
          <w:szCs w:val="22"/>
        </w:rPr>
      </w:pPr>
      <w:r w:rsidRPr="0012548A">
        <w:rPr>
          <w:rFonts w:ascii="Arial" w:eastAsia="Arial" w:hAnsi="Arial" w:cs="Arial"/>
          <w:bCs/>
          <w:color w:val="000000"/>
          <w:sz w:val="22"/>
          <w:szCs w:val="22"/>
        </w:rPr>
        <w:t>Plazo para dar de alta operaciones</w:t>
      </w:r>
    </w:p>
    <w:p w14:paraId="1D2A83A7" w14:textId="52CAF0B0" w:rsidR="00726C0B" w:rsidRPr="0012548A" w:rsidRDefault="00BB4E15" w:rsidP="00573A16">
      <w:pPr>
        <w:numPr>
          <w:ilvl w:val="0"/>
          <w:numId w:val="22"/>
        </w:numPr>
        <w:pBdr>
          <w:top w:val="nil"/>
          <w:left w:val="nil"/>
          <w:bottom w:val="nil"/>
          <w:right w:val="nil"/>
          <w:between w:val="nil"/>
        </w:pBdr>
        <w:jc w:val="both"/>
        <w:rPr>
          <w:rFonts w:ascii="Arial" w:eastAsia="Arial" w:hAnsi="Arial" w:cs="Arial"/>
          <w:bCs/>
          <w:color w:val="000000"/>
          <w:sz w:val="22"/>
          <w:szCs w:val="22"/>
        </w:rPr>
      </w:pPr>
      <w:r w:rsidRPr="0012548A">
        <w:rPr>
          <w:rFonts w:ascii="Arial" w:eastAsia="Arial" w:hAnsi="Arial" w:cs="Arial"/>
          <w:bCs/>
          <w:color w:val="000000"/>
          <w:sz w:val="22"/>
          <w:szCs w:val="22"/>
        </w:rPr>
        <w:t>Obligaciones de la IFI (evaluación del riesgo crediticio y   capacidad financiera del beneficiario, corroborar la aplicación de destino de los fondos, cumplir con envío periódico de información de operaciones, etc.)</w:t>
      </w:r>
    </w:p>
    <w:p w14:paraId="601904BB" w14:textId="77777777" w:rsidR="00726C0B" w:rsidRPr="0012548A" w:rsidRDefault="00726C0B">
      <w:pPr>
        <w:pBdr>
          <w:top w:val="nil"/>
          <w:left w:val="nil"/>
          <w:bottom w:val="nil"/>
          <w:right w:val="nil"/>
          <w:between w:val="nil"/>
        </w:pBdr>
        <w:ind w:left="720"/>
        <w:jc w:val="both"/>
        <w:rPr>
          <w:rFonts w:ascii="Arial" w:eastAsia="Arial" w:hAnsi="Arial" w:cs="Arial"/>
          <w:bCs/>
          <w:color w:val="000000"/>
          <w:sz w:val="22"/>
          <w:szCs w:val="22"/>
        </w:rPr>
      </w:pPr>
    </w:p>
    <w:p w14:paraId="3579E131" w14:textId="1C4FC213" w:rsidR="00726C0B" w:rsidRPr="0012548A" w:rsidRDefault="00BB4E15" w:rsidP="00573A16">
      <w:pPr>
        <w:numPr>
          <w:ilvl w:val="1"/>
          <w:numId w:val="11"/>
        </w:numPr>
        <w:pBdr>
          <w:top w:val="nil"/>
          <w:left w:val="nil"/>
          <w:bottom w:val="nil"/>
          <w:right w:val="nil"/>
          <w:between w:val="nil"/>
        </w:pBdr>
        <w:jc w:val="both"/>
        <w:rPr>
          <w:rFonts w:ascii="Arial" w:eastAsia="Arial" w:hAnsi="Arial" w:cs="Arial"/>
          <w:bCs/>
          <w:color w:val="000000"/>
          <w:sz w:val="22"/>
          <w:szCs w:val="22"/>
        </w:rPr>
      </w:pPr>
      <w:r w:rsidRPr="00573A16" w:rsidDel="000D10C9">
        <w:rPr>
          <w:rFonts w:ascii="Arial" w:eastAsia="Arial" w:hAnsi="Arial" w:cs="Arial"/>
          <w:b/>
          <w:color w:val="000000"/>
          <w:sz w:val="22"/>
          <w:szCs w:val="22"/>
        </w:rPr>
        <w:t>E</w:t>
      </w:r>
      <w:r w:rsidRPr="001011A1">
        <w:rPr>
          <w:rFonts w:ascii="Arial" w:eastAsia="Arial" w:hAnsi="Arial" w:cs="Arial"/>
          <w:b/>
          <w:color w:val="000000"/>
          <w:sz w:val="22"/>
          <w:szCs w:val="22"/>
        </w:rPr>
        <w:t>nvío de operaciones susceptibles de bonificación de tasa</w:t>
      </w:r>
      <w:r w:rsidR="00137C81">
        <w:rPr>
          <w:rFonts w:ascii="Arial" w:eastAsia="Arial" w:hAnsi="Arial" w:cs="Arial"/>
          <w:b/>
          <w:color w:val="000000"/>
          <w:sz w:val="22"/>
          <w:szCs w:val="22"/>
        </w:rPr>
        <w:t>.</w:t>
      </w:r>
      <w:r w:rsidR="00137C81">
        <w:rPr>
          <w:rFonts w:ascii="Arial" w:eastAsia="Arial" w:hAnsi="Arial" w:cs="Arial"/>
          <w:bCs/>
          <w:color w:val="000000"/>
          <w:sz w:val="22"/>
          <w:szCs w:val="22"/>
        </w:rPr>
        <w:t xml:space="preserve"> </w:t>
      </w:r>
      <w:r w:rsidRPr="0012548A">
        <w:rPr>
          <w:rFonts w:ascii="Arial" w:eastAsia="Arial" w:hAnsi="Arial" w:cs="Arial"/>
          <w:bCs/>
          <w:color w:val="000000"/>
          <w:sz w:val="22"/>
          <w:szCs w:val="22"/>
        </w:rPr>
        <w:t>La IFI deberá enviar con periodicidad mensual por correo electrónico a la casilla indicada en el convenio suscripto, la información de las operaciones dadas de alta (desembolsadas) en el mes inmediato anterior.</w:t>
      </w:r>
    </w:p>
    <w:p w14:paraId="44360EF8" w14:textId="77777777" w:rsidR="00137C81" w:rsidRPr="0012548A" w:rsidRDefault="00137C81">
      <w:pPr>
        <w:pBdr>
          <w:top w:val="nil"/>
          <w:left w:val="nil"/>
          <w:bottom w:val="nil"/>
          <w:right w:val="nil"/>
          <w:between w:val="nil"/>
        </w:pBdr>
        <w:ind w:left="720"/>
        <w:jc w:val="both"/>
        <w:rPr>
          <w:rFonts w:ascii="Arial" w:eastAsia="Arial" w:hAnsi="Arial" w:cs="Arial"/>
          <w:bCs/>
          <w:color w:val="000000"/>
          <w:sz w:val="22"/>
          <w:szCs w:val="22"/>
        </w:rPr>
      </w:pPr>
    </w:p>
    <w:p w14:paraId="3682ED53" w14:textId="0D4CFC71" w:rsidR="00137C81" w:rsidRPr="00573A16" w:rsidRDefault="00BB4E15" w:rsidP="00137C81">
      <w:pPr>
        <w:numPr>
          <w:ilvl w:val="1"/>
          <w:numId w:val="11"/>
        </w:numPr>
        <w:pBdr>
          <w:top w:val="nil"/>
          <w:left w:val="nil"/>
          <w:bottom w:val="nil"/>
          <w:right w:val="nil"/>
          <w:between w:val="nil"/>
        </w:pBdr>
        <w:jc w:val="both"/>
        <w:rPr>
          <w:rFonts w:ascii="Arial" w:eastAsia="Arial" w:hAnsi="Arial" w:cs="Arial"/>
          <w:bCs/>
          <w:color w:val="000000"/>
          <w:sz w:val="22"/>
          <w:szCs w:val="22"/>
        </w:rPr>
      </w:pPr>
      <w:r w:rsidRPr="00573A16">
        <w:rPr>
          <w:rFonts w:ascii="Arial" w:eastAsia="Arial" w:hAnsi="Arial" w:cs="Arial"/>
          <w:b/>
          <w:color w:val="000000"/>
          <w:sz w:val="22"/>
          <w:szCs w:val="22"/>
        </w:rPr>
        <w:t>Validación de operaciones por parte de</w:t>
      </w:r>
      <w:r w:rsidR="00137C81" w:rsidRPr="00573A16">
        <w:rPr>
          <w:rFonts w:ascii="Arial" w:eastAsia="Arial" w:hAnsi="Arial" w:cs="Arial"/>
          <w:b/>
          <w:color w:val="000000"/>
          <w:sz w:val="22"/>
          <w:szCs w:val="22"/>
        </w:rPr>
        <w:t xml:space="preserve">l </w:t>
      </w:r>
      <w:r w:rsidR="00573A16">
        <w:rPr>
          <w:rFonts w:ascii="Arial" w:eastAsia="Arial" w:hAnsi="Arial" w:cs="Arial"/>
          <w:b/>
          <w:color w:val="000000"/>
          <w:sz w:val="22"/>
          <w:szCs w:val="22"/>
        </w:rPr>
        <w:t>fiduciario</w:t>
      </w:r>
      <w:r w:rsidR="00137C81" w:rsidRPr="00573A16">
        <w:rPr>
          <w:rFonts w:ascii="Arial" w:eastAsia="Arial" w:hAnsi="Arial" w:cs="Arial"/>
          <w:b/>
          <w:color w:val="000000"/>
          <w:sz w:val="22"/>
          <w:szCs w:val="22"/>
        </w:rPr>
        <w:t>.</w:t>
      </w:r>
      <w:r w:rsidRPr="00573A16" w:rsidDel="00137C81">
        <w:rPr>
          <w:rFonts w:ascii="Arial" w:eastAsia="Arial" w:hAnsi="Arial" w:cs="Arial"/>
          <w:b/>
          <w:color w:val="000000"/>
          <w:sz w:val="22"/>
          <w:szCs w:val="22"/>
        </w:rPr>
        <w:t xml:space="preserve"> </w:t>
      </w:r>
      <w:r w:rsidR="00573A16" w:rsidRPr="1024079A">
        <w:rPr>
          <w:rFonts w:ascii="Arial" w:eastAsia="Arial" w:hAnsi="Arial" w:cs="Arial"/>
          <w:color w:val="000000" w:themeColor="text1"/>
          <w:sz w:val="22"/>
          <w:szCs w:val="22"/>
        </w:rPr>
        <w:t xml:space="preserve">El fiduciario </w:t>
      </w:r>
      <w:r w:rsidRPr="1024079A">
        <w:rPr>
          <w:rFonts w:ascii="Arial" w:eastAsia="Arial" w:hAnsi="Arial" w:cs="Arial"/>
          <w:color w:val="000000" w:themeColor="text1"/>
          <w:sz w:val="22"/>
          <w:szCs w:val="22"/>
        </w:rPr>
        <w:t>validará que la información enviada por cada IFI cumpla con las condiciones previstas en el convenio. En caso de detectar inconsistencias, informará a la entidad.</w:t>
      </w:r>
    </w:p>
    <w:p w14:paraId="48465C6E" w14:textId="77777777" w:rsidR="00137C81" w:rsidRPr="00573A16" w:rsidRDefault="00137C81" w:rsidP="00573A16">
      <w:pPr>
        <w:pBdr>
          <w:top w:val="nil"/>
          <w:left w:val="nil"/>
          <w:bottom w:val="nil"/>
          <w:right w:val="nil"/>
          <w:between w:val="nil"/>
        </w:pBdr>
        <w:ind w:left="907"/>
        <w:jc w:val="both"/>
        <w:rPr>
          <w:rFonts w:ascii="Arial" w:eastAsia="Arial" w:hAnsi="Arial" w:cs="Arial"/>
          <w:b/>
          <w:color w:val="000000"/>
          <w:sz w:val="22"/>
          <w:szCs w:val="22"/>
        </w:rPr>
      </w:pPr>
    </w:p>
    <w:p w14:paraId="5F175E81" w14:textId="62216F44" w:rsidR="00137C81" w:rsidRDefault="00BB4E15" w:rsidP="00137C81">
      <w:pPr>
        <w:numPr>
          <w:ilvl w:val="1"/>
          <w:numId w:val="11"/>
        </w:numPr>
        <w:pBdr>
          <w:top w:val="nil"/>
          <w:left w:val="nil"/>
          <w:bottom w:val="nil"/>
          <w:right w:val="nil"/>
          <w:between w:val="nil"/>
        </w:pBdr>
        <w:jc w:val="both"/>
        <w:rPr>
          <w:rFonts w:ascii="Arial" w:eastAsia="Arial" w:hAnsi="Arial" w:cs="Arial"/>
          <w:bCs/>
          <w:color w:val="000000"/>
          <w:sz w:val="22"/>
          <w:szCs w:val="22"/>
        </w:rPr>
      </w:pPr>
      <w:r w:rsidRPr="00573A16">
        <w:rPr>
          <w:rFonts w:ascii="Arial" w:eastAsia="Arial" w:hAnsi="Arial" w:cs="Arial"/>
          <w:b/>
          <w:color w:val="000000"/>
          <w:sz w:val="22"/>
          <w:szCs w:val="22"/>
        </w:rPr>
        <w:t>Pago de bonificación</w:t>
      </w:r>
      <w:r w:rsidR="00137C81" w:rsidRPr="00573A16">
        <w:rPr>
          <w:rFonts w:ascii="Arial" w:eastAsia="Arial" w:hAnsi="Arial" w:cs="Arial"/>
          <w:b/>
          <w:color w:val="000000"/>
          <w:sz w:val="22"/>
          <w:szCs w:val="22"/>
        </w:rPr>
        <w:t>.</w:t>
      </w:r>
      <w:r w:rsidR="00137C81">
        <w:rPr>
          <w:rFonts w:ascii="Arial" w:eastAsia="Arial" w:hAnsi="Arial" w:cs="Arial"/>
          <w:bCs/>
          <w:color w:val="000000"/>
          <w:sz w:val="22"/>
          <w:szCs w:val="22"/>
        </w:rPr>
        <w:t xml:space="preserve"> </w:t>
      </w:r>
      <w:r w:rsidRPr="1024079A">
        <w:rPr>
          <w:rFonts w:ascii="Arial" w:eastAsia="Arial" w:hAnsi="Arial" w:cs="Arial"/>
          <w:color w:val="000000" w:themeColor="text1"/>
          <w:sz w:val="22"/>
          <w:szCs w:val="22"/>
        </w:rPr>
        <w:t xml:space="preserve">Las operaciones que hayan sido validadas por </w:t>
      </w:r>
      <w:r w:rsidR="00573A16" w:rsidRPr="1024079A">
        <w:rPr>
          <w:rFonts w:ascii="Arial" w:eastAsia="Arial" w:hAnsi="Arial" w:cs="Arial"/>
          <w:color w:val="000000" w:themeColor="text1"/>
          <w:sz w:val="22"/>
          <w:szCs w:val="22"/>
        </w:rPr>
        <w:t>el fiduciario</w:t>
      </w:r>
      <w:r w:rsidRPr="1024079A">
        <w:rPr>
          <w:rFonts w:ascii="Arial" w:eastAsia="Arial" w:hAnsi="Arial" w:cs="Arial"/>
          <w:color w:val="000000" w:themeColor="text1"/>
          <w:sz w:val="22"/>
          <w:szCs w:val="22"/>
        </w:rPr>
        <w:t xml:space="preserve"> serán procesadas en un sistema informático </w:t>
      </w:r>
      <w:r w:rsidR="005B6552">
        <w:rPr>
          <w:rFonts w:ascii="Arial" w:eastAsia="Arial" w:hAnsi="Arial" w:cs="Arial"/>
          <w:color w:val="000000" w:themeColor="text1"/>
          <w:sz w:val="22"/>
          <w:szCs w:val="22"/>
        </w:rPr>
        <w:t xml:space="preserve">(BONITA) </w:t>
      </w:r>
      <w:r w:rsidRPr="1024079A">
        <w:rPr>
          <w:rFonts w:ascii="Arial" w:eastAsia="Arial" w:hAnsi="Arial" w:cs="Arial"/>
          <w:color w:val="000000" w:themeColor="text1"/>
          <w:sz w:val="22"/>
          <w:szCs w:val="22"/>
        </w:rPr>
        <w:t>que arrojará el monto a abonar, y se procederá al pago de las bonificaciones correspondientes mediante una transferencia electrónica a la cuenta bancaria declarada en el convenio.</w:t>
      </w:r>
    </w:p>
    <w:p w14:paraId="6D005407" w14:textId="77777777" w:rsidR="00137C81" w:rsidRPr="0012548A" w:rsidRDefault="00137C81" w:rsidP="00573A16">
      <w:pPr>
        <w:pBdr>
          <w:top w:val="nil"/>
          <w:left w:val="nil"/>
          <w:bottom w:val="nil"/>
          <w:right w:val="nil"/>
          <w:between w:val="nil"/>
        </w:pBdr>
        <w:ind w:left="907"/>
        <w:jc w:val="both"/>
        <w:rPr>
          <w:rFonts w:ascii="Arial" w:eastAsia="Arial" w:hAnsi="Arial" w:cs="Arial"/>
          <w:bCs/>
          <w:color w:val="000000"/>
          <w:sz w:val="22"/>
          <w:szCs w:val="22"/>
        </w:rPr>
      </w:pPr>
    </w:p>
    <w:p w14:paraId="5CE69EEF" w14:textId="1DDADF74" w:rsidR="00726C0B" w:rsidRPr="0012548A" w:rsidRDefault="00BB4E15" w:rsidP="00573A16">
      <w:pPr>
        <w:numPr>
          <w:ilvl w:val="1"/>
          <w:numId w:val="11"/>
        </w:numPr>
        <w:pBdr>
          <w:top w:val="nil"/>
          <w:left w:val="nil"/>
          <w:bottom w:val="nil"/>
          <w:right w:val="nil"/>
          <w:between w:val="nil"/>
        </w:pBdr>
        <w:jc w:val="both"/>
        <w:rPr>
          <w:rFonts w:ascii="Arial" w:eastAsia="Arial" w:hAnsi="Arial" w:cs="Arial"/>
          <w:bCs/>
          <w:color w:val="000000"/>
          <w:sz w:val="22"/>
          <w:szCs w:val="22"/>
        </w:rPr>
      </w:pPr>
      <w:r w:rsidRPr="00573A16">
        <w:rPr>
          <w:rFonts w:ascii="Arial" w:eastAsia="Arial" w:hAnsi="Arial" w:cs="Arial"/>
          <w:b/>
          <w:color w:val="000000"/>
          <w:sz w:val="22"/>
          <w:szCs w:val="22"/>
        </w:rPr>
        <w:lastRenderedPageBreak/>
        <w:t>Informe de mora mensual</w:t>
      </w:r>
      <w:r w:rsidR="00137C81" w:rsidRPr="00573A16">
        <w:rPr>
          <w:rFonts w:ascii="Arial" w:eastAsia="Arial" w:hAnsi="Arial" w:cs="Arial"/>
          <w:b/>
          <w:color w:val="000000"/>
          <w:sz w:val="22"/>
          <w:szCs w:val="22"/>
        </w:rPr>
        <w:t>.</w:t>
      </w:r>
      <w:r w:rsidR="00137C81">
        <w:rPr>
          <w:rFonts w:ascii="Arial" w:eastAsia="Arial" w:hAnsi="Arial" w:cs="Arial"/>
          <w:bCs/>
          <w:color w:val="000000"/>
          <w:sz w:val="22"/>
          <w:szCs w:val="22"/>
        </w:rPr>
        <w:t xml:space="preserve"> </w:t>
      </w:r>
      <w:r w:rsidRPr="0012548A">
        <w:rPr>
          <w:rFonts w:ascii="Arial" w:eastAsia="Arial" w:hAnsi="Arial" w:cs="Arial"/>
          <w:bCs/>
          <w:color w:val="000000"/>
          <w:sz w:val="22"/>
          <w:szCs w:val="22"/>
        </w:rPr>
        <w:t xml:space="preserve">La IFI deberá enviar mensualmente, en carácter de declaración jurada, la información sobre las cuotas pagadas en tiempo y forma por los beneficiarios de los préstamos, y el estado de la cartera de dichos préstamos al último día del mes anterior. La IFI asume el riesgo de crédito de la operación, por lo que </w:t>
      </w:r>
      <w:r w:rsidR="00137C81">
        <w:rPr>
          <w:rFonts w:ascii="Arial" w:eastAsia="Arial" w:hAnsi="Arial" w:cs="Arial"/>
          <w:bCs/>
          <w:color w:val="000000"/>
          <w:sz w:val="22"/>
          <w:szCs w:val="22"/>
        </w:rPr>
        <w:t xml:space="preserve">el </w:t>
      </w:r>
      <w:r w:rsidRPr="0012548A">
        <w:rPr>
          <w:rFonts w:ascii="Arial" w:eastAsia="Arial" w:hAnsi="Arial" w:cs="Arial"/>
          <w:bCs/>
          <w:color w:val="000000"/>
          <w:sz w:val="22"/>
          <w:szCs w:val="22"/>
        </w:rPr>
        <w:t>FONDEP cesa con el pago de las bonificaciones de tasa en los casos que los tomadores de los créditos no cumplan con su obligación de pago de las cuotas correspondientes, con la excepción indicada en el párrafo siguiente.</w:t>
      </w:r>
    </w:p>
    <w:p w14:paraId="166C2EF0" w14:textId="77777777" w:rsidR="00726C0B" w:rsidRPr="0012548A" w:rsidRDefault="00726C0B">
      <w:pPr>
        <w:pBdr>
          <w:top w:val="nil"/>
          <w:left w:val="nil"/>
          <w:bottom w:val="nil"/>
          <w:right w:val="nil"/>
          <w:between w:val="nil"/>
        </w:pBdr>
        <w:ind w:left="720"/>
        <w:jc w:val="both"/>
        <w:rPr>
          <w:rFonts w:ascii="Arial" w:eastAsia="Arial" w:hAnsi="Arial" w:cs="Arial"/>
          <w:bCs/>
          <w:color w:val="000000"/>
          <w:sz w:val="22"/>
          <w:szCs w:val="22"/>
        </w:rPr>
      </w:pPr>
    </w:p>
    <w:p w14:paraId="4F51672E" w14:textId="77777777" w:rsidR="00726C0B" w:rsidRPr="00573A16" w:rsidRDefault="00BB4E15" w:rsidP="00573A16">
      <w:pPr>
        <w:numPr>
          <w:ilvl w:val="1"/>
          <w:numId w:val="11"/>
        </w:numPr>
        <w:pBdr>
          <w:top w:val="nil"/>
          <w:left w:val="nil"/>
          <w:bottom w:val="nil"/>
          <w:right w:val="nil"/>
          <w:between w:val="nil"/>
        </w:pBdr>
        <w:jc w:val="both"/>
        <w:rPr>
          <w:rFonts w:ascii="Arial" w:eastAsia="Arial" w:hAnsi="Arial" w:cs="Arial"/>
          <w:bCs/>
          <w:color w:val="000000"/>
          <w:sz w:val="22"/>
          <w:szCs w:val="22"/>
        </w:rPr>
      </w:pPr>
      <w:r w:rsidRPr="00573A16">
        <w:rPr>
          <w:rFonts w:ascii="Arial" w:eastAsia="Arial" w:hAnsi="Arial" w:cs="Arial"/>
          <w:bCs/>
          <w:color w:val="000000"/>
          <w:sz w:val="22"/>
          <w:szCs w:val="22"/>
        </w:rPr>
        <w:t>En los casos que los beneficiarios que incurran en mora regularizan su situación dentro de los 90 días de producida la misma, el FONDEP abonará los importes correspondientes como si la mora no se hubiese producido. Si durante el plazo máximo de 180 días el beneficiario no regulariza tal situación, se dispone el cese definitivo de la bonificación de tasa.</w:t>
      </w:r>
    </w:p>
    <w:p w14:paraId="00F0402F" w14:textId="77777777" w:rsidR="00726C0B" w:rsidRPr="0012548A" w:rsidRDefault="00726C0B">
      <w:pPr>
        <w:pBdr>
          <w:top w:val="nil"/>
          <w:left w:val="nil"/>
          <w:bottom w:val="nil"/>
          <w:right w:val="nil"/>
          <w:between w:val="nil"/>
        </w:pBdr>
        <w:ind w:left="720"/>
        <w:jc w:val="both"/>
        <w:rPr>
          <w:rFonts w:ascii="Arial" w:eastAsia="Arial" w:hAnsi="Arial" w:cs="Arial"/>
          <w:bCs/>
          <w:color w:val="000000"/>
          <w:sz w:val="22"/>
          <w:szCs w:val="22"/>
        </w:rPr>
      </w:pPr>
    </w:p>
    <w:p w14:paraId="1BDAF0D7" w14:textId="77777777" w:rsidR="00726C0B" w:rsidRPr="0012548A" w:rsidRDefault="00BB4E15" w:rsidP="00573A16">
      <w:pPr>
        <w:numPr>
          <w:ilvl w:val="1"/>
          <w:numId w:val="11"/>
        </w:numPr>
        <w:pBdr>
          <w:top w:val="nil"/>
          <w:left w:val="nil"/>
          <w:bottom w:val="nil"/>
          <w:right w:val="nil"/>
          <w:between w:val="nil"/>
        </w:pBdr>
        <w:jc w:val="both"/>
        <w:rPr>
          <w:rFonts w:ascii="Arial" w:eastAsia="Arial" w:hAnsi="Arial" w:cs="Arial"/>
          <w:bCs/>
          <w:color w:val="000000"/>
          <w:sz w:val="22"/>
          <w:szCs w:val="22"/>
        </w:rPr>
      </w:pPr>
      <w:r w:rsidRPr="00573A16">
        <w:rPr>
          <w:rFonts w:ascii="Arial" w:eastAsia="Arial" w:hAnsi="Arial" w:cs="Arial"/>
          <w:bCs/>
          <w:color w:val="000000"/>
          <w:sz w:val="22"/>
          <w:szCs w:val="22"/>
        </w:rPr>
        <w:t>Otras causa</w:t>
      </w:r>
      <w:r w:rsidRPr="0012548A">
        <w:rPr>
          <w:rFonts w:ascii="Arial" w:eastAsia="Arial" w:hAnsi="Arial" w:cs="Arial"/>
          <w:bCs/>
          <w:color w:val="000000"/>
          <w:sz w:val="22"/>
          <w:szCs w:val="22"/>
        </w:rPr>
        <w:t>les de cese de la bonificación son:</w:t>
      </w:r>
    </w:p>
    <w:p w14:paraId="39563090" w14:textId="77777777" w:rsidR="00726C0B" w:rsidRPr="0012548A" w:rsidRDefault="00726C0B">
      <w:pPr>
        <w:pBdr>
          <w:top w:val="nil"/>
          <w:left w:val="nil"/>
          <w:bottom w:val="nil"/>
          <w:right w:val="nil"/>
          <w:between w:val="nil"/>
        </w:pBdr>
        <w:ind w:left="720"/>
        <w:jc w:val="both"/>
        <w:rPr>
          <w:rFonts w:ascii="Arial" w:eastAsia="Arial" w:hAnsi="Arial" w:cs="Arial"/>
          <w:bCs/>
          <w:color w:val="000000"/>
          <w:sz w:val="22"/>
          <w:szCs w:val="22"/>
        </w:rPr>
      </w:pPr>
    </w:p>
    <w:p w14:paraId="3A91DC17" w14:textId="70BB24E7" w:rsidR="00726C0B" w:rsidRPr="0012548A" w:rsidRDefault="00BB4E15" w:rsidP="00573A16">
      <w:pPr>
        <w:numPr>
          <w:ilvl w:val="0"/>
          <w:numId w:val="23"/>
        </w:numPr>
        <w:pBdr>
          <w:top w:val="nil"/>
          <w:left w:val="nil"/>
          <w:bottom w:val="nil"/>
          <w:right w:val="nil"/>
          <w:between w:val="nil"/>
        </w:pBdr>
        <w:jc w:val="both"/>
        <w:rPr>
          <w:rFonts w:ascii="Arial" w:eastAsia="Arial" w:hAnsi="Arial" w:cs="Arial"/>
          <w:bCs/>
          <w:color w:val="000000"/>
          <w:sz w:val="22"/>
          <w:szCs w:val="22"/>
        </w:rPr>
      </w:pPr>
      <w:r w:rsidRPr="0012548A">
        <w:rPr>
          <w:rFonts w:ascii="Arial" w:eastAsia="Arial" w:hAnsi="Arial" w:cs="Arial"/>
          <w:bCs/>
          <w:color w:val="000000"/>
          <w:sz w:val="22"/>
          <w:szCs w:val="22"/>
        </w:rPr>
        <w:t>Concurso declarado o quiebra firme del beneficiario, posterior al otorgamiento del préstamo por parte de la IFI.</w:t>
      </w:r>
    </w:p>
    <w:p w14:paraId="08B5435D" w14:textId="62254457" w:rsidR="00726C0B" w:rsidRPr="0012548A" w:rsidRDefault="00BB4E15" w:rsidP="00573A16">
      <w:pPr>
        <w:numPr>
          <w:ilvl w:val="0"/>
          <w:numId w:val="23"/>
        </w:numPr>
        <w:pBdr>
          <w:top w:val="nil"/>
          <w:left w:val="nil"/>
          <w:bottom w:val="nil"/>
          <w:right w:val="nil"/>
          <w:between w:val="nil"/>
        </w:pBdr>
        <w:jc w:val="both"/>
        <w:rPr>
          <w:rFonts w:ascii="Arial" w:eastAsia="Arial" w:hAnsi="Arial" w:cs="Arial"/>
          <w:bCs/>
          <w:color w:val="000000"/>
          <w:sz w:val="22"/>
          <w:szCs w:val="22"/>
        </w:rPr>
      </w:pPr>
      <w:r w:rsidRPr="0012548A">
        <w:rPr>
          <w:rFonts w:ascii="Arial" w:eastAsia="Arial" w:hAnsi="Arial" w:cs="Arial"/>
          <w:bCs/>
          <w:color w:val="000000"/>
          <w:sz w:val="22"/>
          <w:szCs w:val="22"/>
        </w:rPr>
        <w:t xml:space="preserve">Que el beneficiario sea calificado en categoría </w:t>
      </w:r>
      <w:r w:rsidR="00AC02DE">
        <w:rPr>
          <w:rFonts w:ascii="Arial" w:eastAsia="Arial" w:hAnsi="Arial" w:cs="Arial"/>
          <w:bCs/>
          <w:color w:val="000000"/>
          <w:sz w:val="22"/>
          <w:szCs w:val="22"/>
        </w:rPr>
        <w:t xml:space="preserve">4 </w:t>
      </w:r>
      <w:r w:rsidRPr="0012548A">
        <w:rPr>
          <w:rFonts w:ascii="Arial" w:eastAsia="Arial" w:hAnsi="Arial" w:cs="Arial"/>
          <w:bCs/>
          <w:color w:val="000000"/>
          <w:sz w:val="22"/>
          <w:szCs w:val="22"/>
        </w:rPr>
        <w:t>(</w:t>
      </w:r>
      <w:r w:rsidR="00AC02DE">
        <w:rPr>
          <w:rFonts w:ascii="Arial" w:eastAsia="Arial" w:hAnsi="Arial" w:cs="Arial"/>
          <w:bCs/>
          <w:color w:val="000000"/>
          <w:sz w:val="22"/>
          <w:szCs w:val="22"/>
        </w:rPr>
        <w:t>cuatro</w:t>
      </w:r>
      <w:r w:rsidRPr="0012548A">
        <w:rPr>
          <w:rFonts w:ascii="Arial" w:eastAsia="Arial" w:hAnsi="Arial" w:cs="Arial"/>
          <w:bCs/>
          <w:color w:val="000000"/>
          <w:sz w:val="22"/>
          <w:szCs w:val="22"/>
        </w:rPr>
        <w:t xml:space="preserve">) o la equivalente que pudiera corresponder de acuerdo </w:t>
      </w:r>
      <w:r w:rsidR="00137C81">
        <w:rPr>
          <w:rFonts w:ascii="Arial" w:eastAsia="Arial" w:hAnsi="Arial" w:cs="Arial"/>
          <w:bCs/>
          <w:color w:val="000000"/>
          <w:sz w:val="22"/>
          <w:szCs w:val="22"/>
        </w:rPr>
        <w:t>con</w:t>
      </w:r>
      <w:r w:rsidRPr="0012548A">
        <w:rPr>
          <w:rFonts w:ascii="Arial" w:eastAsia="Arial" w:hAnsi="Arial" w:cs="Arial"/>
          <w:bCs/>
          <w:color w:val="000000"/>
          <w:sz w:val="22"/>
          <w:szCs w:val="22"/>
        </w:rPr>
        <w:t xml:space="preserve"> las normas del </w:t>
      </w:r>
      <w:r w:rsidR="0061027D">
        <w:rPr>
          <w:rFonts w:ascii="Arial" w:eastAsia="Arial" w:hAnsi="Arial" w:cs="Arial"/>
          <w:bCs/>
          <w:color w:val="000000"/>
          <w:sz w:val="22"/>
          <w:szCs w:val="22"/>
        </w:rPr>
        <w:t>BCRA</w:t>
      </w:r>
      <w:r w:rsidRPr="0012548A">
        <w:rPr>
          <w:rFonts w:ascii="Arial" w:eastAsia="Arial" w:hAnsi="Arial" w:cs="Arial"/>
          <w:bCs/>
          <w:color w:val="000000"/>
          <w:sz w:val="22"/>
          <w:szCs w:val="22"/>
        </w:rPr>
        <w:t xml:space="preserve"> sobre clasificación de deudores.</w:t>
      </w:r>
    </w:p>
    <w:p w14:paraId="2CE5F491" w14:textId="4ABB97BE" w:rsidR="00726C0B" w:rsidRPr="0012548A" w:rsidRDefault="00BB4E15" w:rsidP="00573A16">
      <w:pPr>
        <w:numPr>
          <w:ilvl w:val="0"/>
          <w:numId w:val="23"/>
        </w:numPr>
        <w:pBdr>
          <w:top w:val="nil"/>
          <w:left w:val="nil"/>
          <w:bottom w:val="nil"/>
          <w:right w:val="nil"/>
          <w:between w:val="nil"/>
        </w:pBdr>
        <w:jc w:val="both"/>
        <w:rPr>
          <w:rFonts w:ascii="Arial" w:eastAsia="Arial" w:hAnsi="Arial" w:cs="Arial"/>
          <w:bCs/>
          <w:color w:val="000000"/>
          <w:sz w:val="22"/>
          <w:szCs w:val="22"/>
        </w:rPr>
      </w:pPr>
      <w:r w:rsidRPr="0012548A">
        <w:rPr>
          <w:rFonts w:ascii="Arial" w:eastAsia="Arial" w:hAnsi="Arial" w:cs="Arial"/>
          <w:bCs/>
          <w:color w:val="000000"/>
          <w:sz w:val="22"/>
          <w:szCs w:val="22"/>
        </w:rPr>
        <w:t>Cancelación anticipada del préstamo por parte del beneficiario.</w:t>
      </w:r>
    </w:p>
    <w:p w14:paraId="0CE437D8" w14:textId="19B94192" w:rsidR="00726C0B" w:rsidRPr="0012548A" w:rsidRDefault="00BB4E15" w:rsidP="00573A16">
      <w:pPr>
        <w:numPr>
          <w:ilvl w:val="0"/>
          <w:numId w:val="23"/>
        </w:numPr>
        <w:pBdr>
          <w:top w:val="nil"/>
          <w:left w:val="nil"/>
          <w:bottom w:val="nil"/>
          <w:right w:val="nil"/>
          <w:between w:val="nil"/>
        </w:pBdr>
        <w:jc w:val="both"/>
        <w:rPr>
          <w:rFonts w:ascii="Arial" w:eastAsia="Arial" w:hAnsi="Arial" w:cs="Arial"/>
          <w:bCs/>
          <w:color w:val="000000"/>
          <w:sz w:val="22"/>
          <w:szCs w:val="22"/>
        </w:rPr>
      </w:pPr>
      <w:r w:rsidRPr="0012548A">
        <w:rPr>
          <w:rFonts w:ascii="Arial" w:eastAsia="Arial" w:hAnsi="Arial" w:cs="Arial"/>
          <w:bCs/>
          <w:color w:val="000000"/>
          <w:sz w:val="22"/>
          <w:szCs w:val="22"/>
        </w:rPr>
        <w:t>Cesión de la deuda.</w:t>
      </w:r>
    </w:p>
    <w:p w14:paraId="2A3F12CA" w14:textId="731546F1" w:rsidR="00726C0B" w:rsidRPr="0012548A" w:rsidRDefault="00BB4E15" w:rsidP="00573A16">
      <w:pPr>
        <w:numPr>
          <w:ilvl w:val="0"/>
          <w:numId w:val="23"/>
        </w:numPr>
        <w:pBdr>
          <w:top w:val="nil"/>
          <w:left w:val="nil"/>
          <w:bottom w:val="nil"/>
          <w:right w:val="nil"/>
          <w:between w:val="nil"/>
        </w:pBdr>
        <w:jc w:val="both"/>
        <w:rPr>
          <w:rFonts w:ascii="Arial" w:eastAsia="Arial" w:hAnsi="Arial" w:cs="Arial"/>
          <w:bCs/>
          <w:color w:val="000000"/>
          <w:sz w:val="22"/>
          <w:szCs w:val="22"/>
        </w:rPr>
      </w:pPr>
      <w:r w:rsidRPr="0012548A">
        <w:rPr>
          <w:rFonts w:ascii="Arial" w:eastAsia="Arial" w:hAnsi="Arial" w:cs="Arial"/>
          <w:bCs/>
          <w:color w:val="000000"/>
          <w:sz w:val="22"/>
          <w:szCs w:val="22"/>
        </w:rPr>
        <w:t>Inicio de acciones judiciales de cobro por parte de la IFI al tomador del préstamo.</w:t>
      </w:r>
    </w:p>
    <w:p w14:paraId="50C0A77F" w14:textId="77777777" w:rsidR="00726C0B" w:rsidRPr="0012548A" w:rsidRDefault="00726C0B">
      <w:pPr>
        <w:pBdr>
          <w:top w:val="nil"/>
          <w:left w:val="nil"/>
          <w:bottom w:val="nil"/>
          <w:right w:val="nil"/>
          <w:between w:val="nil"/>
        </w:pBdr>
        <w:ind w:left="720"/>
        <w:jc w:val="both"/>
        <w:rPr>
          <w:rFonts w:ascii="Arial" w:eastAsia="Arial" w:hAnsi="Arial" w:cs="Arial"/>
          <w:bCs/>
          <w:color w:val="000000"/>
          <w:sz w:val="22"/>
          <w:szCs w:val="22"/>
        </w:rPr>
      </w:pPr>
    </w:p>
    <w:p w14:paraId="4844DD0D" w14:textId="266FE02B" w:rsidR="00726C0B" w:rsidRPr="00573A16" w:rsidRDefault="00BB4E15" w:rsidP="00573A16">
      <w:pPr>
        <w:numPr>
          <w:ilvl w:val="1"/>
          <w:numId w:val="11"/>
        </w:numPr>
        <w:pBdr>
          <w:top w:val="nil"/>
          <w:left w:val="nil"/>
          <w:bottom w:val="nil"/>
          <w:right w:val="nil"/>
          <w:between w:val="nil"/>
        </w:pBdr>
        <w:jc w:val="both"/>
        <w:rPr>
          <w:rFonts w:ascii="Arial" w:eastAsia="Arial" w:hAnsi="Arial" w:cs="Arial"/>
          <w:b/>
          <w:color w:val="000000"/>
          <w:sz w:val="22"/>
          <w:szCs w:val="22"/>
        </w:rPr>
      </w:pPr>
      <w:r w:rsidRPr="00573A16">
        <w:rPr>
          <w:rFonts w:ascii="Arial" w:eastAsia="Arial" w:hAnsi="Arial" w:cs="Arial"/>
          <w:b/>
          <w:color w:val="000000"/>
          <w:sz w:val="22"/>
          <w:szCs w:val="22"/>
        </w:rPr>
        <w:t xml:space="preserve">Modificaciones al convenio entre </w:t>
      </w:r>
      <w:r w:rsidR="00573A16">
        <w:rPr>
          <w:rFonts w:ascii="Arial" w:eastAsia="Arial" w:hAnsi="Arial" w:cs="Arial"/>
          <w:b/>
          <w:color w:val="000000"/>
          <w:sz w:val="22"/>
          <w:szCs w:val="22"/>
        </w:rPr>
        <w:t xml:space="preserve">el fiduciario </w:t>
      </w:r>
      <w:r w:rsidRPr="001011A1">
        <w:rPr>
          <w:rFonts w:ascii="Arial" w:eastAsia="Arial" w:hAnsi="Arial" w:cs="Arial"/>
          <w:b/>
          <w:color w:val="000000"/>
          <w:sz w:val="22"/>
          <w:szCs w:val="22"/>
        </w:rPr>
        <w:t>y la IFI</w:t>
      </w:r>
      <w:r w:rsidR="00137C81" w:rsidRPr="001011A1">
        <w:rPr>
          <w:rFonts w:ascii="Arial" w:eastAsia="Arial" w:hAnsi="Arial" w:cs="Arial"/>
          <w:b/>
          <w:color w:val="000000"/>
          <w:sz w:val="22"/>
          <w:szCs w:val="22"/>
        </w:rPr>
        <w:t xml:space="preserve">. </w:t>
      </w:r>
      <w:r w:rsidRPr="00137C81">
        <w:rPr>
          <w:rFonts w:ascii="Arial" w:eastAsia="Arial" w:hAnsi="Arial" w:cs="Arial"/>
          <w:bCs/>
          <w:color w:val="000000"/>
          <w:sz w:val="22"/>
          <w:szCs w:val="22"/>
        </w:rPr>
        <w:t xml:space="preserve">Cualquier modificación a los términos y condiciones firmados en el contrato, deberá ser solicitada por la IFI al </w:t>
      </w:r>
      <w:r w:rsidR="009B3B54">
        <w:rPr>
          <w:rFonts w:ascii="Arial" w:eastAsia="Arial" w:hAnsi="Arial" w:cs="Arial"/>
          <w:bCs/>
          <w:color w:val="000000"/>
          <w:sz w:val="22"/>
          <w:szCs w:val="22"/>
        </w:rPr>
        <w:t>f</w:t>
      </w:r>
      <w:r w:rsidRPr="00573A16">
        <w:rPr>
          <w:rFonts w:ascii="Arial" w:eastAsia="Arial" w:hAnsi="Arial" w:cs="Arial"/>
          <w:bCs/>
          <w:color w:val="000000"/>
          <w:sz w:val="22"/>
          <w:szCs w:val="22"/>
        </w:rPr>
        <w:t>iduciario y/o a</w:t>
      </w:r>
      <w:r w:rsidR="0061027D">
        <w:rPr>
          <w:rFonts w:ascii="Arial" w:eastAsia="Arial" w:hAnsi="Arial" w:cs="Arial"/>
          <w:bCs/>
          <w:color w:val="000000"/>
          <w:sz w:val="22"/>
          <w:szCs w:val="22"/>
        </w:rPr>
        <w:t>l OE</w:t>
      </w:r>
      <w:r w:rsidRPr="00573A16">
        <w:rPr>
          <w:rFonts w:ascii="Arial" w:eastAsia="Arial" w:hAnsi="Arial" w:cs="Arial"/>
          <w:bCs/>
          <w:color w:val="000000"/>
          <w:sz w:val="22"/>
          <w:szCs w:val="22"/>
        </w:rPr>
        <w:t>. El Comité Ejecutivo de</w:t>
      </w:r>
      <w:r w:rsidR="0061027D">
        <w:rPr>
          <w:rFonts w:ascii="Arial" w:eastAsia="Arial" w:hAnsi="Arial" w:cs="Arial"/>
          <w:bCs/>
          <w:color w:val="000000"/>
          <w:sz w:val="22"/>
          <w:szCs w:val="22"/>
        </w:rPr>
        <w:t>l</w:t>
      </w:r>
      <w:r w:rsidRPr="00573A16">
        <w:rPr>
          <w:rFonts w:ascii="Arial" w:eastAsia="Arial" w:hAnsi="Arial" w:cs="Arial"/>
          <w:bCs/>
          <w:color w:val="000000"/>
          <w:sz w:val="22"/>
          <w:szCs w:val="22"/>
        </w:rPr>
        <w:t xml:space="preserve"> FONDEP resolverá al respecto e instruirá al fiduciario a suscribir una adenda, en caso de corresponder.</w:t>
      </w:r>
    </w:p>
    <w:p w14:paraId="14E10BD3" w14:textId="77777777" w:rsidR="00726C0B" w:rsidRDefault="00726C0B">
      <w:pPr>
        <w:pBdr>
          <w:top w:val="nil"/>
          <w:left w:val="nil"/>
          <w:bottom w:val="nil"/>
          <w:right w:val="nil"/>
          <w:between w:val="nil"/>
        </w:pBdr>
        <w:ind w:left="720"/>
        <w:jc w:val="both"/>
        <w:rPr>
          <w:rFonts w:ascii="Arial" w:eastAsia="Arial" w:hAnsi="Arial" w:cs="Arial"/>
          <w:b/>
          <w:color w:val="000000"/>
          <w:sz w:val="22"/>
          <w:szCs w:val="22"/>
        </w:rPr>
      </w:pPr>
    </w:p>
    <w:p w14:paraId="23619758" w14:textId="62BAE072" w:rsidR="00726C0B" w:rsidRPr="008B66E5" w:rsidRDefault="008B66E5" w:rsidP="00283FA6">
      <w:pPr>
        <w:pStyle w:val="Heading1"/>
        <w:numPr>
          <w:ilvl w:val="0"/>
          <w:numId w:val="11"/>
        </w:numPr>
        <w:rPr>
          <w:sz w:val="22"/>
          <w:szCs w:val="22"/>
        </w:rPr>
      </w:pPr>
      <w:bookmarkStart w:id="13" w:name="_Toc42709758"/>
      <w:r w:rsidRPr="008B66E5">
        <w:rPr>
          <w:sz w:val="22"/>
          <w:szCs w:val="22"/>
        </w:rPr>
        <w:t>FOGAR – Reglamento para la concesión de garantías</w:t>
      </w:r>
      <w:bookmarkEnd w:id="13"/>
    </w:p>
    <w:p w14:paraId="71F7BEF7" w14:textId="77777777" w:rsidR="00726C0B" w:rsidRPr="00283FA6" w:rsidRDefault="00BB4E15" w:rsidP="00283FA6">
      <w:pPr>
        <w:pStyle w:val="Heading1"/>
        <w:numPr>
          <w:ilvl w:val="0"/>
          <w:numId w:val="36"/>
        </w:numPr>
        <w:jc w:val="both"/>
        <w:rPr>
          <w:sz w:val="22"/>
          <w:szCs w:val="22"/>
        </w:rPr>
      </w:pPr>
      <w:bookmarkStart w:id="14" w:name="_Toc42709759"/>
      <w:r w:rsidRPr="00283FA6">
        <w:rPr>
          <w:sz w:val="22"/>
          <w:szCs w:val="22"/>
        </w:rPr>
        <w:t>Características de las garantías a ser otorgadas</w:t>
      </w:r>
      <w:bookmarkEnd w:id="14"/>
      <w:r w:rsidRPr="00283FA6">
        <w:rPr>
          <w:sz w:val="22"/>
          <w:szCs w:val="22"/>
        </w:rPr>
        <w:t xml:space="preserve"> </w:t>
      </w:r>
    </w:p>
    <w:p w14:paraId="367960B3" w14:textId="77777777" w:rsidR="00C55B12" w:rsidRPr="00555934" w:rsidRDefault="00C55B12" w:rsidP="00555934">
      <w:pPr>
        <w:pBdr>
          <w:top w:val="nil"/>
          <w:left w:val="nil"/>
          <w:bottom w:val="nil"/>
          <w:right w:val="nil"/>
          <w:between w:val="nil"/>
        </w:pBdr>
        <w:jc w:val="both"/>
        <w:rPr>
          <w:rFonts w:ascii="Arial" w:eastAsia="Arial" w:hAnsi="Arial" w:cs="Arial"/>
          <w:color w:val="000000"/>
        </w:rPr>
      </w:pPr>
    </w:p>
    <w:p w14:paraId="22863848" w14:textId="577DFDB3" w:rsidR="00C55B12" w:rsidRPr="00394767" w:rsidRDefault="00C55B12" w:rsidP="00C55B12">
      <w:pPr>
        <w:pStyle w:val="ListParagraph"/>
        <w:numPr>
          <w:ilvl w:val="1"/>
          <w:numId w:val="11"/>
        </w:numPr>
        <w:jc w:val="both"/>
        <w:rPr>
          <w:rFonts w:ascii="Arial" w:eastAsia="Arial" w:hAnsi="Arial" w:cs="Arial"/>
          <w:color w:val="000000"/>
          <w:sz w:val="22"/>
          <w:szCs w:val="22"/>
        </w:rPr>
      </w:pPr>
      <w:r w:rsidRPr="004A52E5">
        <w:rPr>
          <w:rFonts w:ascii="Arial" w:eastAsia="Arial" w:hAnsi="Arial" w:cs="Arial"/>
          <w:color w:val="000000"/>
          <w:sz w:val="22"/>
          <w:szCs w:val="22"/>
        </w:rPr>
        <w:t xml:space="preserve">Para efectos del presente </w:t>
      </w:r>
      <w:r w:rsidR="009457F8">
        <w:rPr>
          <w:rFonts w:ascii="Arial" w:eastAsia="Arial" w:hAnsi="Arial" w:cs="Arial"/>
          <w:color w:val="000000"/>
          <w:sz w:val="22"/>
          <w:szCs w:val="22"/>
        </w:rPr>
        <w:t xml:space="preserve">RC </w:t>
      </w:r>
      <w:r w:rsidRPr="004A52E5">
        <w:rPr>
          <w:rFonts w:ascii="Arial" w:eastAsia="Arial" w:hAnsi="Arial" w:cs="Arial"/>
          <w:color w:val="000000"/>
          <w:sz w:val="22"/>
          <w:szCs w:val="22"/>
        </w:rPr>
        <w:t xml:space="preserve">aplicarán las definiciones y provisiones estipuladas en el reglamento interno </w:t>
      </w:r>
      <w:r w:rsidR="006751E0">
        <w:rPr>
          <w:rFonts w:ascii="Arial" w:eastAsia="Arial" w:hAnsi="Arial" w:cs="Arial"/>
          <w:color w:val="000000"/>
          <w:sz w:val="22"/>
          <w:szCs w:val="22"/>
        </w:rPr>
        <w:t>y la Adenda N</w:t>
      </w:r>
      <w:r w:rsidR="006751E0" w:rsidRPr="00555934">
        <w:rPr>
          <w:rFonts w:ascii="Arial" w:eastAsia="Arial" w:hAnsi="Arial" w:cs="Arial"/>
          <w:color w:val="000000"/>
          <w:sz w:val="22"/>
          <w:szCs w:val="22"/>
          <w:vertAlign w:val="superscript"/>
        </w:rPr>
        <w:t>o</w:t>
      </w:r>
      <w:r w:rsidR="006751E0">
        <w:rPr>
          <w:rFonts w:ascii="Arial" w:eastAsia="Arial" w:hAnsi="Arial" w:cs="Arial"/>
          <w:color w:val="000000"/>
          <w:sz w:val="22"/>
          <w:szCs w:val="22"/>
        </w:rPr>
        <w:t xml:space="preserve">1 </w:t>
      </w:r>
      <w:r w:rsidR="00995771">
        <w:rPr>
          <w:rFonts w:ascii="Arial" w:eastAsia="Arial" w:hAnsi="Arial" w:cs="Arial"/>
          <w:color w:val="000000"/>
          <w:sz w:val="22"/>
          <w:szCs w:val="22"/>
        </w:rPr>
        <w:t>Contrato de Fideicomiso</w:t>
      </w:r>
      <w:r w:rsidR="007A6438">
        <w:rPr>
          <w:rFonts w:ascii="Arial" w:eastAsia="Arial" w:hAnsi="Arial" w:cs="Arial"/>
          <w:color w:val="000000"/>
          <w:sz w:val="22"/>
          <w:szCs w:val="22"/>
        </w:rPr>
        <w:t xml:space="preserve"> </w:t>
      </w:r>
      <w:r w:rsidR="007A6438" w:rsidRPr="004A52E5">
        <w:rPr>
          <w:rFonts w:ascii="Arial" w:eastAsia="Arial" w:hAnsi="Arial" w:cs="Arial"/>
          <w:color w:val="000000"/>
          <w:sz w:val="22"/>
          <w:szCs w:val="22"/>
        </w:rPr>
        <w:t xml:space="preserve">del </w:t>
      </w:r>
      <w:r w:rsidR="007A6438">
        <w:rPr>
          <w:rFonts w:ascii="Arial" w:eastAsia="Arial" w:hAnsi="Arial" w:cs="Arial"/>
          <w:color w:val="000000"/>
          <w:sz w:val="22"/>
          <w:szCs w:val="22"/>
        </w:rPr>
        <w:t xml:space="preserve">FOGAR </w:t>
      </w:r>
      <w:r>
        <w:rPr>
          <w:rFonts w:ascii="Arial" w:eastAsia="Arial" w:hAnsi="Arial" w:cs="Arial"/>
          <w:color w:val="000000"/>
          <w:sz w:val="22"/>
          <w:szCs w:val="22"/>
        </w:rPr>
        <w:t xml:space="preserve">(Documento </w:t>
      </w:r>
      <w:r w:rsidR="002E0610">
        <w:rPr>
          <w:rFonts w:ascii="Arial" w:eastAsia="Arial" w:hAnsi="Arial" w:cs="Arial"/>
          <w:color w:val="000000"/>
          <w:sz w:val="22"/>
          <w:szCs w:val="22"/>
        </w:rPr>
        <w:t>IF</w:t>
      </w:r>
      <w:r w:rsidR="00DD337E">
        <w:rPr>
          <w:rFonts w:ascii="Arial" w:eastAsia="Arial" w:hAnsi="Arial" w:cs="Arial"/>
          <w:color w:val="000000"/>
          <w:sz w:val="22"/>
          <w:szCs w:val="22"/>
        </w:rPr>
        <w:t>-2018-31613593-APN-MP</w:t>
      </w:r>
      <w:r>
        <w:rPr>
          <w:rFonts w:ascii="Arial" w:eastAsia="Arial" w:hAnsi="Arial" w:cs="Arial"/>
          <w:color w:val="000000"/>
          <w:sz w:val="22"/>
          <w:szCs w:val="22"/>
        </w:rPr>
        <w:t xml:space="preserve"> </w:t>
      </w:r>
      <w:r w:rsidRPr="00394767">
        <w:rPr>
          <w:rFonts w:ascii="Arial" w:eastAsia="Arial" w:hAnsi="Arial" w:cs="Arial"/>
          <w:color w:val="000000"/>
          <w:sz w:val="22"/>
          <w:szCs w:val="22"/>
        </w:rPr>
        <w:t xml:space="preserve">o la reglamentación interna que la modifique, reforme, sustituya o extinga, sujeto a la no objeción del BID). Sin embargo, las excepciones aplicables se detallan en </w:t>
      </w:r>
      <w:r w:rsidR="00555934">
        <w:rPr>
          <w:rFonts w:ascii="Arial" w:eastAsia="Arial" w:hAnsi="Arial" w:cs="Arial"/>
          <w:color w:val="000000"/>
          <w:sz w:val="22"/>
          <w:szCs w:val="22"/>
        </w:rPr>
        <w:t xml:space="preserve">las secciones, </w:t>
      </w:r>
      <w:r w:rsidRPr="00394767">
        <w:rPr>
          <w:rFonts w:ascii="Arial" w:eastAsia="Arial" w:hAnsi="Arial" w:cs="Arial"/>
          <w:color w:val="000000"/>
          <w:sz w:val="22"/>
          <w:szCs w:val="22"/>
        </w:rPr>
        <w:t xml:space="preserve">numerales y literales subsiguientes.  </w:t>
      </w:r>
    </w:p>
    <w:p w14:paraId="5B212B47" w14:textId="77777777" w:rsidR="00C55B12" w:rsidRPr="00555934" w:rsidRDefault="00C55B12" w:rsidP="00555934">
      <w:pPr>
        <w:pBdr>
          <w:top w:val="nil"/>
          <w:left w:val="nil"/>
          <w:bottom w:val="nil"/>
          <w:right w:val="nil"/>
          <w:between w:val="nil"/>
        </w:pBdr>
        <w:ind w:left="907"/>
        <w:jc w:val="both"/>
        <w:rPr>
          <w:rFonts w:ascii="Arial" w:eastAsia="Arial" w:hAnsi="Arial" w:cs="Arial"/>
          <w:color w:val="000000"/>
        </w:rPr>
      </w:pPr>
    </w:p>
    <w:p w14:paraId="04C8AF73" w14:textId="350C0918" w:rsidR="00AC02DE" w:rsidRPr="00B337CE" w:rsidRDefault="00187D12" w:rsidP="00AC02DE">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2"/>
          <w:szCs w:val="22"/>
        </w:rPr>
        <w:t xml:space="preserve">El </w:t>
      </w:r>
      <w:r w:rsidR="00BB4E15">
        <w:rPr>
          <w:rFonts w:ascii="Arial" w:eastAsia="Arial" w:hAnsi="Arial" w:cs="Arial"/>
          <w:color w:val="000000"/>
          <w:sz w:val="22"/>
          <w:szCs w:val="22"/>
        </w:rPr>
        <w:t xml:space="preserve">FOGAR otorga garantías a favor de MIPYME, que permiten su inclusión financiera o </w:t>
      </w:r>
      <w:r w:rsidR="008A42CF">
        <w:rPr>
          <w:rFonts w:ascii="Arial" w:eastAsia="Arial" w:hAnsi="Arial" w:cs="Arial"/>
          <w:color w:val="000000"/>
          <w:sz w:val="22"/>
          <w:szCs w:val="22"/>
        </w:rPr>
        <w:t>productiva que</w:t>
      </w:r>
      <w:r w:rsidR="00BB4E15">
        <w:rPr>
          <w:rFonts w:ascii="Arial" w:eastAsia="Arial" w:hAnsi="Arial" w:cs="Arial"/>
          <w:color w:val="000000"/>
          <w:sz w:val="22"/>
          <w:szCs w:val="22"/>
        </w:rPr>
        <w:t xml:space="preserve"> cubren posibles pérdidas por el incumplimiento de obligaciones por parte del beneficiario </w:t>
      </w:r>
      <w:proofErr w:type="spellStart"/>
      <w:r w:rsidR="00BB4E15">
        <w:rPr>
          <w:rFonts w:ascii="Arial" w:eastAsia="Arial" w:hAnsi="Arial" w:cs="Arial"/>
          <w:color w:val="000000"/>
          <w:sz w:val="22"/>
          <w:szCs w:val="22"/>
        </w:rPr>
        <w:t>garantizable</w:t>
      </w:r>
      <w:proofErr w:type="spellEnd"/>
      <w:r w:rsidR="00BB4E15">
        <w:rPr>
          <w:rFonts w:ascii="Arial" w:eastAsia="Arial" w:hAnsi="Arial" w:cs="Arial"/>
          <w:color w:val="000000"/>
          <w:sz w:val="22"/>
          <w:szCs w:val="22"/>
        </w:rPr>
        <w:t>.</w:t>
      </w:r>
    </w:p>
    <w:p w14:paraId="271F3F2E" w14:textId="77777777" w:rsidR="00AC02DE" w:rsidRDefault="00AC02DE" w:rsidP="00B337CE">
      <w:pPr>
        <w:pBdr>
          <w:top w:val="nil"/>
          <w:left w:val="nil"/>
          <w:bottom w:val="nil"/>
          <w:right w:val="nil"/>
          <w:between w:val="nil"/>
        </w:pBdr>
        <w:ind w:left="907"/>
        <w:jc w:val="both"/>
        <w:rPr>
          <w:rFonts w:ascii="Arial" w:eastAsia="Arial" w:hAnsi="Arial" w:cs="Arial"/>
          <w:color w:val="000000"/>
        </w:rPr>
      </w:pPr>
    </w:p>
    <w:p w14:paraId="67619DD5" w14:textId="22C8BD48" w:rsidR="005115F5" w:rsidRDefault="00E1185C" w:rsidP="00B337CE">
      <w:pPr>
        <w:numPr>
          <w:ilvl w:val="1"/>
          <w:numId w:val="11"/>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Para fines</w:t>
      </w:r>
      <w:r w:rsidR="005115F5">
        <w:rPr>
          <w:rFonts w:ascii="Arial" w:eastAsia="Arial" w:hAnsi="Arial" w:cs="Arial"/>
          <w:sz w:val="22"/>
          <w:szCs w:val="22"/>
        </w:rPr>
        <w:t xml:space="preserve"> del </w:t>
      </w:r>
      <w:r>
        <w:rPr>
          <w:rFonts w:ascii="Arial" w:eastAsia="Arial" w:hAnsi="Arial" w:cs="Arial"/>
          <w:sz w:val="22"/>
          <w:szCs w:val="22"/>
        </w:rPr>
        <w:t xml:space="preserve">presente programa, </w:t>
      </w:r>
      <w:r w:rsidR="002656A4">
        <w:rPr>
          <w:rFonts w:ascii="Arial" w:eastAsia="Arial" w:hAnsi="Arial" w:cs="Arial"/>
          <w:sz w:val="22"/>
          <w:szCs w:val="22"/>
        </w:rPr>
        <w:t>e</w:t>
      </w:r>
      <w:r w:rsidR="005115F5">
        <w:rPr>
          <w:rFonts w:ascii="Arial" w:eastAsia="Arial" w:hAnsi="Arial" w:cs="Arial"/>
          <w:sz w:val="22"/>
          <w:szCs w:val="22"/>
        </w:rPr>
        <w:t>l F</w:t>
      </w:r>
      <w:r w:rsidR="007C1B9F">
        <w:rPr>
          <w:rFonts w:ascii="Arial" w:eastAsia="Arial" w:hAnsi="Arial" w:cs="Arial"/>
          <w:sz w:val="22"/>
          <w:szCs w:val="22"/>
        </w:rPr>
        <w:t>O</w:t>
      </w:r>
      <w:r w:rsidR="005115F5">
        <w:rPr>
          <w:rFonts w:ascii="Arial" w:eastAsia="Arial" w:hAnsi="Arial" w:cs="Arial"/>
          <w:sz w:val="22"/>
          <w:szCs w:val="22"/>
        </w:rPr>
        <w:t>GA</w:t>
      </w:r>
      <w:r w:rsidR="007C1B9F">
        <w:rPr>
          <w:rFonts w:ascii="Arial" w:eastAsia="Arial" w:hAnsi="Arial" w:cs="Arial"/>
          <w:sz w:val="22"/>
          <w:szCs w:val="22"/>
        </w:rPr>
        <w:t>R</w:t>
      </w:r>
      <w:r w:rsidR="005115F5">
        <w:rPr>
          <w:rFonts w:ascii="Arial" w:eastAsia="Arial" w:hAnsi="Arial" w:cs="Arial"/>
          <w:sz w:val="22"/>
          <w:szCs w:val="22"/>
        </w:rPr>
        <w:t xml:space="preserve"> </w:t>
      </w:r>
      <w:r w:rsidR="00A420D8">
        <w:rPr>
          <w:rFonts w:ascii="Arial" w:eastAsia="Arial" w:hAnsi="Arial" w:cs="Arial"/>
          <w:sz w:val="22"/>
          <w:szCs w:val="22"/>
        </w:rPr>
        <w:t>podrá</w:t>
      </w:r>
      <w:r w:rsidR="005115F5">
        <w:rPr>
          <w:rFonts w:ascii="Arial" w:eastAsia="Arial" w:hAnsi="Arial" w:cs="Arial"/>
          <w:sz w:val="22"/>
          <w:szCs w:val="22"/>
        </w:rPr>
        <w:t xml:space="preserve"> otorgar garantías en respaldo de las que emitan las sociedades de garantía recíproca </w:t>
      </w:r>
      <w:r w:rsidR="00AC5543">
        <w:rPr>
          <w:rFonts w:ascii="Arial" w:eastAsia="Arial" w:hAnsi="Arial" w:cs="Arial"/>
          <w:sz w:val="22"/>
          <w:szCs w:val="22"/>
        </w:rPr>
        <w:t xml:space="preserve">(SGR) </w:t>
      </w:r>
      <w:r w:rsidR="005115F5">
        <w:rPr>
          <w:rFonts w:ascii="Arial" w:eastAsia="Arial" w:hAnsi="Arial" w:cs="Arial"/>
          <w:sz w:val="22"/>
          <w:szCs w:val="22"/>
        </w:rPr>
        <w:t xml:space="preserve">y ofrecer garantías directas e indirectas, a fin de mejorar las condiciones de acceso al crédito de las personas </w:t>
      </w:r>
      <w:r w:rsidR="00283FA6">
        <w:rPr>
          <w:rFonts w:ascii="Arial" w:eastAsia="Arial" w:hAnsi="Arial" w:cs="Arial"/>
          <w:sz w:val="22"/>
          <w:szCs w:val="22"/>
        </w:rPr>
        <w:t xml:space="preserve">naturales o jurídicas, consideradas como MIPYME, </w:t>
      </w:r>
      <w:r w:rsidR="005115F5">
        <w:rPr>
          <w:rFonts w:ascii="Arial" w:eastAsia="Arial" w:hAnsi="Arial" w:cs="Arial"/>
          <w:sz w:val="22"/>
          <w:szCs w:val="22"/>
        </w:rPr>
        <w:t>que desarrollen actividades económicas y/o productivas en el país, a:</w:t>
      </w:r>
    </w:p>
    <w:p w14:paraId="26F0E333" w14:textId="77777777" w:rsidR="005115F5" w:rsidRDefault="005115F5" w:rsidP="005115F5">
      <w:pPr>
        <w:pBdr>
          <w:top w:val="nil"/>
          <w:left w:val="nil"/>
          <w:bottom w:val="nil"/>
          <w:right w:val="nil"/>
          <w:between w:val="nil"/>
        </w:pBdr>
        <w:ind w:left="907"/>
        <w:jc w:val="both"/>
        <w:rPr>
          <w:rFonts w:ascii="Arial" w:eastAsia="Arial" w:hAnsi="Arial" w:cs="Arial"/>
          <w:sz w:val="22"/>
          <w:szCs w:val="22"/>
        </w:rPr>
      </w:pPr>
    </w:p>
    <w:p w14:paraId="0248E7CF" w14:textId="0F0674CB" w:rsidR="005115F5" w:rsidRPr="00B337CE" w:rsidRDefault="005115F5" w:rsidP="00B337CE">
      <w:pPr>
        <w:numPr>
          <w:ilvl w:val="0"/>
          <w:numId w:val="24"/>
        </w:numPr>
        <w:pBdr>
          <w:top w:val="nil"/>
          <w:left w:val="nil"/>
          <w:bottom w:val="nil"/>
          <w:right w:val="nil"/>
          <w:between w:val="nil"/>
        </w:pBdr>
        <w:jc w:val="both"/>
        <w:rPr>
          <w:rFonts w:ascii="Arial" w:eastAsia="Arial" w:hAnsi="Arial" w:cs="Arial"/>
          <w:bCs/>
          <w:color w:val="000000"/>
          <w:sz w:val="22"/>
          <w:szCs w:val="22"/>
        </w:rPr>
      </w:pPr>
      <w:r w:rsidRPr="00B337CE">
        <w:rPr>
          <w:rFonts w:ascii="Arial" w:eastAsia="Arial" w:hAnsi="Arial" w:cs="Arial"/>
          <w:bCs/>
          <w:color w:val="000000"/>
          <w:sz w:val="22"/>
          <w:szCs w:val="22"/>
        </w:rPr>
        <w:t xml:space="preserve">Las entidades financieras autorizadas por el </w:t>
      </w:r>
      <w:r w:rsidR="00AC02DE">
        <w:rPr>
          <w:rFonts w:ascii="Arial" w:eastAsia="Arial" w:hAnsi="Arial" w:cs="Arial"/>
          <w:bCs/>
          <w:color w:val="000000"/>
          <w:sz w:val="22"/>
          <w:szCs w:val="22"/>
        </w:rPr>
        <w:t>BCRA</w:t>
      </w:r>
      <w:r w:rsidRPr="00B337CE">
        <w:rPr>
          <w:rFonts w:ascii="Arial" w:eastAsia="Arial" w:hAnsi="Arial" w:cs="Arial"/>
          <w:bCs/>
          <w:color w:val="000000"/>
          <w:sz w:val="22"/>
          <w:szCs w:val="22"/>
        </w:rPr>
        <w:t>.</w:t>
      </w:r>
    </w:p>
    <w:p w14:paraId="6D9CBB78" w14:textId="27EA3A01" w:rsidR="005115F5" w:rsidRPr="00B337CE" w:rsidRDefault="005115F5" w:rsidP="00B337CE">
      <w:pPr>
        <w:numPr>
          <w:ilvl w:val="0"/>
          <w:numId w:val="24"/>
        </w:numPr>
        <w:pBdr>
          <w:top w:val="nil"/>
          <w:left w:val="nil"/>
          <w:bottom w:val="nil"/>
          <w:right w:val="nil"/>
          <w:between w:val="nil"/>
        </w:pBdr>
        <w:jc w:val="both"/>
        <w:rPr>
          <w:rFonts w:ascii="Arial" w:eastAsia="Arial" w:hAnsi="Arial" w:cs="Arial"/>
          <w:bCs/>
          <w:color w:val="000000"/>
          <w:sz w:val="22"/>
          <w:szCs w:val="22"/>
        </w:rPr>
      </w:pPr>
      <w:r w:rsidRPr="00B337CE">
        <w:rPr>
          <w:rFonts w:ascii="Arial" w:eastAsia="Arial" w:hAnsi="Arial" w:cs="Arial"/>
          <w:bCs/>
          <w:color w:val="000000"/>
          <w:sz w:val="22"/>
          <w:szCs w:val="22"/>
        </w:rPr>
        <w:t>Las entidades no financieras que desarrollen herramientas de financiamiento.</w:t>
      </w:r>
    </w:p>
    <w:p w14:paraId="30D0D8BD" w14:textId="77777777" w:rsidR="005115F5" w:rsidRDefault="005115F5" w:rsidP="005115F5">
      <w:pPr>
        <w:pBdr>
          <w:top w:val="nil"/>
          <w:left w:val="nil"/>
          <w:bottom w:val="nil"/>
          <w:right w:val="nil"/>
          <w:between w:val="nil"/>
        </w:pBdr>
        <w:ind w:left="907"/>
        <w:jc w:val="both"/>
        <w:rPr>
          <w:rFonts w:ascii="Arial" w:eastAsia="Arial" w:hAnsi="Arial" w:cs="Arial"/>
          <w:sz w:val="22"/>
          <w:szCs w:val="22"/>
        </w:rPr>
      </w:pPr>
    </w:p>
    <w:p w14:paraId="5717A519" w14:textId="67686437" w:rsidR="005115F5" w:rsidRDefault="005115F5" w:rsidP="00B337CE">
      <w:pPr>
        <w:numPr>
          <w:ilvl w:val="1"/>
          <w:numId w:val="11"/>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Asimismo, podrá otorgar garantías en respaldo de las que emitan los fondos nacionales, provinciales, regionales o de la Ciudad Autónoma de Buenos Aires constituidos por los gobiernos respectivos, cualquiera sea la forma jurídica que los mismos adopten, siempre que cumplan con los requisitos técnicos que establezca la Autoridad de Aplicación.</w:t>
      </w:r>
    </w:p>
    <w:p w14:paraId="52F9DF6A" w14:textId="77777777" w:rsidR="00726C0B" w:rsidRDefault="00726C0B">
      <w:pPr>
        <w:pBdr>
          <w:top w:val="nil"/>
          <w:left w:val="nil"/>
          <w:bottom w:val="nil"/>
          <w:right w:val="nil"/>
          <w:between w:val="nil"/>
        </w:pBdr>
        <w:ind w:left="907"/>
        <w:jc w:val="both"/>
        <w:rPr>
          <w:rFonts w:ascii="Arial" w:eastAsia="Arial" w:hAnsi="Arial" w:cs="Arial"/>
          <w:sz w:val="22"/>
          <w:szCs w:val="22"/>
        </w:rPr>
      </w:pPr>
    </w:p>
    <w:p w14:paraId="195403E4" w14:textId="7BD94CFE" w:rsidR="00675A09" w:rsidRPr="00283FA6" w:rsidRDefault="00BB4E15" w:rsidP="00283FA6">
      <w:pPr>
        <w:numPr>
          <w:ilvl w:val="1"/>
          <w:numId w:val="11"/>
        </w:numPr>
        <w:pBdr>
          <w:top w:val="nil"/>
          <w:left w:val="nil"/>
          <w:bottom w:val="nil"/>
          <w:right w:val="nil"/>
          <w:between w:val="nil"/>
        </w:pBdr>
        <w:jc w:val="both"/>
        <w:rPr>
          <w:rFonts w:ascii="Arial" w:eastAsia="Arial" w:hAnsi="Arial" w:cs="Arial"/>
          <w:color w:val="000000"/>
          <w:sz w:val="22"/>
          <w:szCs w:val="22"/>
        </w:rPr>
      </w:pPr>
      <w:r w:rsidRPr="00B337CE" w:rsidDel="00675A09">
        <w:rPr>
          <w:rFonts w:ascii="Arial" w:eastAsia="Arial" w:hAnsi="Arial" w:cs="Arial"/>
          <w:b/>
          <w:bCs/>
          <w:sz w:val="22"/>
          <w:szCs w:val="22"/>
        </w:rPr>
        <w:t>I</w:t>
      </w:r>
      <w:r w:rsidRPr="00B337CE">
        <w:rPr>
          <w:rFonts w:ascii="Arial" w:eastAsia="Arial" w:hAnsi="Arial" w:cs="Arial"/>
          <w:b/>
          <w:bCs/>
          <w:sz w:val="22"/>
          <w:szCs w:val="22"/>
        </w:rPr>
        <w:t>nstrucción de la Autoridad de Aplicación al Fiduciario</w:t>
      </w:r>
      <w:r w:rsidR="00AC02DE" w:rsidRPr="00B337CE">
        <w:rPr>
          <w:rFonts w:ascii="Arial" w:eastAsia="Arial" w:hAnsi="Arial" w:cs="Arial"/>
          <w:b/>
          <w:bCs/>
          <w:sz w:val="22"/>
          <w:szCs w:val="22"/>
        </w:rPr>
        <w:t xml:space="preserve">. </w:t>
      </w:r>
      <w:r w:rsidR="00AC02DE" w:rsidRPr="00B337CE">
        <w:rPr>
          <w:rFonts w:ascii="Arial" w:eastAsia="Arial" w:hAnsi="Arial" w:cs="Arial"/>
          <w:sz w:val="22"/>
          <w:szCs w:val="22"/>
        </w:rPr>
        <w:t>E</w:t>
      </w:r>
      <w:r w:rsidR="00AC02DE">
        <w:rPr>
          <w:rFonts w:ascii="Arial" w:eastAsia="Arial" w:hAnsi="Arial" w:cs="Arial"/>
          <w:sz w:val="22"/>
          <w:szCs w:val="22"/>
        </w:rPr>
        <w:t>l</w:t>
      </w:r>
      <w:r w:rsidR="00AC02DE" w:rsidRPr="00B337CE">
        <w:rPr>
          <w:rFonts w:ascii="Arial" w:eastAsia="Arial" w:hAnsi="Arial" w:cs="Arial"/>
          <w:sz w:val="22"/>
          <w:szCs w:val="22"/>
        </w:rPr>
        <w:t xml:space="preserve"> OE</w:t>
      </w:r>
      <w:r w:rsidR="00AC02DE">
        <w:rPr>
          <w:rFonts w:ascii="Arial" w:eastAsia="Arial" w:hAnsi="Arial" w:cs="Arial"/>
          <w:b/>
          <w:bCs/>
          <w:sz w:val="22"/>
          <w:szCs w:val="22"/>
        </w:rPr>
        <w:t xml:space="preserve"> </w:t>
      </w:r>
      <w:r w:rsidR="00AC02DE">
        <w:rPr>
          <w:rFonts w:ascii="Arial" w:eastAsia="Arial" w:hAnsi="Arial" w:cs="Arial"/>
          <w:sz w:val="22"/>
          <w:szCs w:val="22"/>
        </w:rPr>
        <w:t xml:space="preserve">como </w:t>
      </w:r>
      <w:r>
        <w:rPr>
          <w:rFonts w:ascii="Arial" w:eastAsia="Arial" w:hAnsi="Arial" w:cs="Arial"/>
          <w:sz w:val="22"/>
          <w:szCs w:val="22"/>
        </w:rPr>
        <w:t>Autoridad de Aplicación del FOGAR</w:t>
      </w:r>
      <w:r w:rsidR="00AC02DE">
        <w:rPr>
          <w:rFonts w:ascii="Arial" w:eastAsia="Arial" w:hAnsi="Arial" w:cs="Arial"/>
          <w:sz w:val="22"/>
          <w:szCs w:val="22"/>
        </w:rPr>
        <w:t xml:space="preserve"> y </w:t>
      </w:r>
      <w:proofErr w:type="gramStart"/>
      <w:r>
        <w:rPr>
          <w:rFonts w:ascii="Arial" w:eastAsia="Arial" w:hAnsi="Arial" w:cs="Arial"/>
          <w:sz w:val="22"/>
          <w:szCs w:val="22"/>
        </w:rPr>
        <w:t>de acuerdo a</w:t>
      </w:r>
      <w:proofErr w:type="gramEnd"/>
      <w:r>
        <w:rPr>
          <w:rFonts w:ascii="Arial" w:eastAsia="Arial" w:hAnsi="Arial" w:cs="Arial"/>
          <w:sz w:val="22"/>
          <w:szCs w:val="22"/>
        </w:rPr>
        <w:t xml:space="preserve"> lo resuelto por el Comité de Administración del FOGAR instruye a</w:t>
      </w:r>
      <w:r w:rsidR="00AC02DE">
        <w:rPr>
          <w:rFonts w:ascii="Arial" w:eastAsia="Arial" w:hAnsi="Arial" w:cs="Arial"/>
          <w:sz w:val="22"/>
          <w:szCs w:val="22"/>
        </w:rPr>
        <w:t>l fiduciario (</w:t>
      </w:r>
      <w:r w:rsidR="00DA6D00">
        <w:rPr>
          <w:rFonts w:ascii="Arial" w:eastAsia="Arial" w:hAnsi="Arial" w:cs="Arial"/>
          <w:sz w:val="22"/>
          <w:szCs w:val="22"/>
        </w:rPr>
        <w:t>BFSA</w:t>
      </w:r>
      <w:r w:rsidR="00AC02DE">
        <w:rPr>
          <w:rFonts w:ascii="Arial" w:eastAsia="Arial" w:hAnsi="Arial" w:cs="Arial"/>
          <w:sz w:val="22"/>
          <w:szCs w:val="22"/>
        </w:rPr>
        <w:t xml:space="preserve">) </w:t>
      </w:r>
      <w:r>
        <w:rPr>
          <w:rFonts w:ascii="Arial" w:eastAsia="Arial" w:hAnsi="Arial" w:cs="Arial"/>
          <w:sz w:val="22"/>
          <w:szCs w:val="22"/>
        </w:rPr>
        <w:t>a implementar el Régimen de Garantías y de Reafianzamientos (según corresponda), mediante la celebración de contratos con: la/s IFI, y/o con la/s Sociedad/es de Garantías Reciprocas, y/o con los Fondos de Garantías</w:t>
      </w:r>
      <w:r w:rsidR="00675A09">
        <w:rPr>
          <w:rFonts w:ascii="Arial" w:eastAsia="Arial" w:hAnsi="Arial" w:cs="Arial"/>
          <w:color w:val="000000"/>
          <w:sz w:val="22"/>
          <w:szCs w:val="22"/>
        </w:rPr>
        <w:t>.</w:t>
      </w:r>
    </w:p>
    <w:p w14:paraId="03B63C45" w14:textId="7566552F" w:rsidR="00AC02DE" w:rsidRPr="00283FA6" w:rsidRDefault="00AC02DE" w:rsidP="00283FA6">
      <w:pPr>
        <w:pStyle w:val="Heading1"/>
        <w:numPr>
          <w:ilvl w:val="0"/>
          <w:numId w:val="36"/>
        </w:numPr>
        <w:jc w:val="both"/>
        <w:rPr>
          <w:sz w:val="22"/>
          <w:szCs w:val="22"/>
        </w:rPr>
      </w:pPr>
      <w:bookmarkStart w:id="15" w:name="_Toc42709760"/>
      <w:r w:rsidRPr="00283FA6">
        <w:rPr>
          <w:sz w:val="22"/>
          <w:szCs w:val="22"/>
        </w:rPr>
        <w:t xml:space="preserve">Instrumentación del </w:t>
      </w:r>
      <w:r w:rsidR="009B3357" w:rsidRPr="00283FA6">
        <w:rPr>
          <w:sz w:val="22"/>
          <w:szCs w:val="22"/>
        </w:rPr>
        <w:t>c</w:t>
      </w:r>
      <w:r w:rsidRPr="00283FA6">
        <w:rPr>
          <w:sz w:val="22"/>
          <w:szCs w:val="22"/>
        </w:rPr>
        <w:t>onvenio</w:t>
      </w:r>
      <w:bookmarkEnd w:id="15"/>
      <w:r w:rsidRPr="00283FA6">
        <w:rPr>
          <w:sz w:val="22"/>
          <w:szCs w:val="22"/>
        </w:rPr>
        <w:t xml:space="preserve"> </w:t>
      </w:r>
    </w:p>
    <w:p w14:paraId="2094B37B" w14:textId="77777777" w:rsidR="00AC02DE" w:rsidRDefault="00AC02DE">
      <w:pPr>
        <w:pBdr>
          <w:top w:val="nil"/>
          <w:left w:val="nil"/>
          <w:bottom w:val="nil"/>
          <w:right w:val="nil"/>
          <w:between w:val="nil"/>
        </w:pBdr>
        <w:ind w:left="907"/>
        <w:jc w:val="both"/>
        <w:rPr>
          <w:rFonts w:ascii="Arial" w:eastAsia="Arial" w:hAnsi="Arial" w:cs="Arial"/>
          <w:color w:val="000000"/>
          <w:sz w:val="22"/>
          <w:szCs w:val="22"/>
        </w:rPr>
      </w:pPr>
    </w:p>
    <w:p w14:paraId="7AC7659F" w14:textId="3D8F3B90" w:rsidR="00675A09" w:rsidRDefault="00675A09" w:rsidP="00B337CE">
      <w:pPr>
        <w:pStyle w:val="ListParagraph"/>
        <w:widowControl w:val="0"/>
        <w:numPr>
          <w:ilvl w:val="1"/>
          <w:numId w:val="11"/>
        </w:numPr>
        <w:tabs>
          <w:tab w:val="left" w:pos="705"/>
        </w:tabs>
        <w:ind w:left="901" w:right="-6" w:hanging="544"/>
        <w:jc w:val="both"/>
        <w:rPr>
          <w:rFonts w:ascii="Arial" w:eastAsia="Arial" w:hAnsi="Arial" w:cs="Arial"/>
          <w:color w:val="000000"/>
          <w:sz w:val="22"/>
          <w:szCs w:val="22"/>
        </w:rPr>
      </w:pPr>
      <w:r>
        <w:rPr>
          <w:rFonts w:ascii="Arial" w:eastAsia="Arial" w:hAnsi="Arial" w:cs="Arial"/>
          <w:color w:val="000000"/>
          <w:sz w:val="22"/>
          <w:szCs w:val="22"/>
        </w:rPr>
        <w:t xml:space="preserve">Se procederá a la firma del convenio entre </w:t>
      </w:r>
      <w:r w:rsidR="00AC02DE">
        <w:rPr>
          <w:rFonts w:ascii="Arial" w:eastAsia="Arial" w:hAnsi="Arial" w:cs="Arial"/>
          <w:color w:val="000000"/>
          <w:sz w:val="22"/>
          <w:szCs w:val="22"/>
        </w:rPr>
        <w:t>el fiduciario</w:t>
      </w:r>
      <w:r>
        <w:rPr>
          <w:rFonts w:ascii="Arial" w:eastAsia="Arial" w:hAnsi="Arial" w:cs="Arial"/>
          <w:color w:val="000000"/>
          <w:sz w:val="22"/>
          <w:szCs w:val="22"/>
        </w:rPr>
        <w:t xml:space="preserve"> y la/s IFI,</w:t>
      </w:r>
      <w:r w:rsidDel="00AC02DE">
        <w:rPr>
          <w:rFonts w:ascii="Arial" w:eastAsia="Arial" w:hAnsi="Arial" w:cs="Arial"/>
          <w:color w:val="000000"/>
          <w:sz w:val="22"/>
          <w:szCs w:val="22"/>
        </w:rPr>
        <w:t xml:space="preserve"> </w:t>
      </w:r>
      <w:r>
        <w:rPr>
          <w:rFonts w:ascii="Arial" w:eastAsia="Arial" w:hAnsi="Arial" w:cs="Arial"/>
          <w:color w:val="000000"/>
          <w:sz w:val="22"/>
          <w:szCs w:val="22"/>
        </w:rPr>
        <w:t>que contendrá:</w:t>
      </w:r>
    </w:p>
    <w:p w14:paraId="4E926E7C" w14:textId="77777777" w:rsidR="00675A09" w:rsidRDefault="00675A09" w:rsidP="00675A09">
      <w:pPr>
        <w:widowControl w:val="0"/>
        <w:tabs>
          <w:tab w:val="left" w:pos="1291"/>
        </w:tabs>
        <w:ind w:left="993" w:right="-8"/>
        <w:jc w:val="both"/>
        <w:rPr>
          <w:rFonts w:ascii="Arial" w:eastAsia="Arial" w:hAnsi="Arial" w:cs="Arial"/>
          <w:color w:val="000000"/>
          <w:sz w:val="22"/>
          <w:szCs w:val="22"/>
        </w:rPr>
      </w:pPr>
      <w:r>
        <w:rPr>
          <w:rFonts w:ascii="Arial" w:eastAsia="Arial" w:hAnsi="Arial" w:cs="Arial"/>
          <w:color w:val="000000"/>
          <w:sz w:val="22"/>
          <w:szCs w:val="22"/>
        </w:rPr>
        <w:t xml:space="preserve"> </w:t>
      </w:r>
    </w:p>
    <w:p w14:paraId="62A57046" w14:textId="2D4BA310" w:rsidR="00675A09" w:rsidRPr="00BD3BD4" w:rsidRDefault="00675A09" w:rsidP="00B337CE">
      <w:pPr>
        <w:numPr>
          <w:ilvl w:val="0"/>
          <w:numId w:val="25"/>
        </w:numPr>
        <w:pBdr>
          <w:top w:val="nil"/>
          <w:left w:val="nil"/>
          <w:bottom w:val="nil"/>
          <w:right w:val="nil"/>
          <w:between w:val="nil"/>
        </w:pBdr>
        <w:jc w:val="both"/>
        <w:rPr>
          <w:rFonts w:ascii="Arial" w:eastAsia="Arial" w:hAnsi="Arial" w:cs="Arial"/>
          <w:color w:val="000000"/>
          <w:sz w:val="22"/>
          <w:szCs w:val="22"/>
        </w:rPr>
      </w:pPr>
      <w:r w:rsidRPr="00B337CE">
        <w:rPr>
          <w:rFonts w:ascii="Arial" w:eastAsia="Arial" w:hAnsi="Arial" w:cs="Arial"/>
          <w:bCs/>
          <w:color w:val="000000"/>
          <w:sz w:val="22"/>
          <w:szCs w:val="22"/>
        </w:rPr>
        <w:t>Objeto</w:t>
      </w:r>
      <w:r w:rsidRPr="00BD3BD4">
        <w:rPr>
          <w:rFonts w:ascii="Arial" w:eastAsia="Arial" w:hAnsi="Arial" w:cs="Arial"/>
          <w:color w:val="000000"/>
          <w:sz w:val="22"/>
          <w:szCs w:val="22"/>
        </w:rPr>
        <w:t xml:space="preserve"> </w:t>
      </w:r>
    </w:p>
    <w:p w14:paraId="7FD1167A" w14:textId="11B62F8F" w:rsidR="00675A09" w:rsidRPr="00BD3BD4" w:rsidRDefault="00675A09" w:rsidP="00B337CE">
      <w:pPr>
        <w:numPr>
          <w:ilvl w:val="0"/>
          <w:numId w:val="25"/>
        </w:numPr>
        <w:pBdr>
          <w:top w:val="nil"/>
          <w:left w:val="nil"/>
          <w:bottom w:val="nil"/>
          <w:right w:val="nil"/>
          <w:between w:val="nil"/>
        </w:pBdr>
        <w:jc w:val="both"/>
        <w:rPr>
          <w:rFonts w:ascii="Arial" w:eastAsia="Arial" w:hAnsi="Arial" w:cs="Arial"/>
          <w:color w:val="000000"/>
          <w:sz w:val="22"/>
          <w:szCs w:val="22"/>
        </w:rPr>
      </w:pPr>
      <w:r w:rsidRPr="00191A3D">
        <w:rPr>
          <w:rFonts w:ascii="Arial" w:eastAsia="Arial" w:hAnsi="Arial" w:cs="Arial"/>
          <w:color w:val="000000"/>
          <w:sz w:val="22"/>
          <w:szCs w:val="22"/>
        </w:rPr>
        <w:t xml:space="preserve">Características de los </w:t>
      </w:r>
      <w:r w:rsidR="00AC02DE">
        <w:rPr>
          <w:rFonts w:ascii="Arial" w:eastAsia="Arial" w:hAnsi="Arial" w:cs="Arial"/>
          <w:bCs/>
          <w:color w:val="000000"/>
          <w:sz w:val="22"/>
          <w:szCs w:val="22"/>
        </w:rPr>
        <w:t>b</w:t>
      </w:r>
      <w:r w:rsidRPr="00B337CE">
        <w:rPr>
          <w:rFonts w:ascii="Arial" w:eastAsia="Arial" w:hAnsi="Arial" w:cs="Arial"/>
          <w:bCs/>
          <w:color w:val="000000"/>
          <w:sz w:val="22"/>
          <w:szCs w:val="22"/>
        </w:rPr>
        <w:t>eneficiarios</w:t>
      </w:r>
      <w:r w:rsidRPr="00BD3BD4">
        <w:rPr>
          <w:rFonts w:ascii="Arial" w:eastAsia="Arial" w:hAnsi="Arial" w:cs="Arial"/>
          <w:color w:val="000000"/>
          <w:sz w:val="22"/>
          <w:szCs w:val="22"/>
        </w:rPr>
        <w:t xml:space="preserve"> </w:t>
      </w:r>
    </w:p>
    <w:p w14:paraId="1358397D" w14:textId="0F6F454B" w:rsidR="00675A09" w:rsidRPr="00B337CE" w:rsidRDefault="00675A09" w:rsidP="00B337CE">
      <w:pPr>
        <w:numPr>
          <w:ilvl w:val="0"/>
          <w:numId w:val="25"/>
        </w:numPr>
        <w:pBdr>
          <w:top w:val="nil"/>
          <w:left w:val="nil"/>
          <w:bottom w:val="nil"/>
          <w:right w:val="nil"/>
          <w:between w:val="nil"/>
        </w:pBdr>
        <w:jc w:val="both"/>
        <w:rPr>
          <w:rFonts w:ascii="Arial" w:eastAsia="Arial" w:hAnsi="Arial" w:cs="Arial"/>
          <w:bCs/>
          <w:color w:val="000000"/>
          <w:sz w:val="22"/>
          <w:szCs w:val="22"/>
        </w:rPr>
      </w:pPr>
      <w:r w:rsidRPr="00191A3D">
        <w:rPr>
          <w:rFonts w:ascii="Arial" w:eastAsia="Arial" w:hAnsi="Arial" w:cs="Arial"/>
          <w:color w:val="000000"/>
          <w:sz w:val="22"/>
          <w:szCs w:val="22"/>
        </w:rPr>
        <w:t xml:space="preserve">Características de las </w:t>
      </w:r>
      <w:r w:rsidR="00AC5543">
        <w:rPr>
          <w:rFonts w:ascii="Arial" w:eastAsia="Arial" w:hAnsi="Arial" w:cs="Arial"/>
          <w:bCs/>
          <w:color w:val="000000"/>
          <w:sz w:val="22"/>
          <w:szCs w:val="22"/>
        </w:rPr>
        <w:t>g</w:t>
      </w:r>
      <w:r w:rsidRPr="00B337CE">
        <w:rPr>
          <w:rFonts w:ascii="Arial" w:eastAsia="Arial" w:hAnsi="Arial" w:cs="Arial"/>
          <w:bCs/>
          <w:color w:val="000000"/>
          <w:sz w:val="22"/>
          <w:szCs w:val="22"/>
        </w:rPr>
        <w:t xml:space="preserve">arantías o </w:t>
      </w:r>
      <w:r w:rsidR="00AC5543">
        <w:rPr>
          <w:rFonts w:ascii="Arial" w:eastAsia="Arial" w:hAnsi="Arial" w:cs="Arial"/>
          <w:bCs/>
          <w:color w:val="000000"/>
          <w:sz w:val="22"/>
          <w:szCs w:val="22"/>
        </w:rPr>
        <w:t>r</w:t>
      </w:r>
      <w:r w:rsidRPr="00B337CE">
        <w:rPr>
          <w:rFonts w:ascii="Arial" w:eastAsia="Arial" w:hAnsi="Arial" w:cs="Arial"/>
          <w:bCs/>
          <w:color w:val="000000"/>
          <w:sz w:val="22"/>
          <w:szCs w:val="22"/>
        </w:rPr>
        <w:t>eafianzamiento, en adelante “</w:t>
      </w:r>
      <w:r w:rsidR="00AC5543">
        <w:rPr>
          <w:rFonts w:ascii="Arial" w:eastAsia="Arial" w:hAnsi="Arial" w:cs="Arial"/>
          <w:bCs/>
          <w:color w:val="000000"/>
          <w:sz w:val="22"/>
          <w:szCs w:val="22"/>
        </w:rPr>
        <w:t>o</w:t>
      </w:r>
      <w:r w:rsidRPr="00B337CE">
        <w:rPr>
          <w:rFonts w:ascii="Arial" w:eastAsia="Arial" w:hAnsi="Arial" w:cs="Arial"/>
          <w:bCs/>
          <w:color w:val="000000"/>
          <w:sz w:val="22"/>
          <w:szCs w:val="22"/>
        </w:rPr>
        <w:t xml:space="preserve">peración” </w:t>
      </w:r>
    </w:p>
    <w:p w14:paraId="3AA22AEE" w14:textId="19747C21" w:rsidR="00675A09" w:rsidRPr="00BD3BD4" w:rsidRDefault="00675A09" w:rsidP="00B337CE">
      <w:pPr>
        <w:numPr>
          <w:ilvl w:val="0"/>
          <w:numId w:val="25"/>
        </w:numPr>
        <w:pBdr>
          <w:top w:val="nil"/>
          <w:left w:val="nil"/>
          <w:bottom w:val="nil"/>
          <w:right w:val="nil"/>
          <w:between w:val="nil"/>
        </w:pBdr>
        <w:jc w:val="both"/>
        <w:rPr>
          <w:rFonts w:ascii="Arial" w:eastAsia="Arial" w:hAnsi="Arial" w:cs="Arial"/>
          <w:color w:val="000000"/>
          <w:sz w:val="22"/>
          <w:szCs w:val="22"/>
        </w:rPr>
      </w:pPr>
      <w:r w:rsidRPr="00B337CE">
        <w:rPr>
          <w:rFonts w:ascii="Arial" w:eastAsia="Arial" w:hAnsi="Arial" w:cs="Arial"/>
          <w:bCs/>
          <w:color w:val="000000"/>
          <w:sz w:val="22"/>
          <w:szCs w:val="22"/>
        </w:rPr>
        <w:t xml:space="preserve">Obligaciones de la </w:t>
      </w:r>
      <w:r w:rsidR="00AC5543">
        <w:rPr>
          <w:rFonts w:ascii="Arial" w:eastAsia="Arial" w:hAnsi="Arial" w:cs="Arial"/>
          <w:bCs/>
          <w:color w:val="000000"/>
          <w:sz w:val="22"/>
          <w:szCs w:val="22"/>
        </w:rPr>
        <w:t>e</w:t>
      </w:r>
      <w:r w:rsidRPr="00B337CE">
        <w:rPr>
          <w:rFonts w:ascii="Arial" w:eastAsia="Arial" w:hAnsi="Arial" w:cs="Arial"/>
          <w:bCs/>
          <w:color w:val="000000"/>
          <w:sz w:val="22"/>
          <w:szCs w:val="22"/>
        </w:rPr>
        <w:t>ntidad o SGR (evaluación del riesgo crediticio y capacidad financiera del Beneficiario, corroborar la aplicación de destino de los fondos, cumplir con envío periódico de información de operaciones, etc.)</w:t>
      </w:r>
      <w:r w:rsidRPr="00BD3BD4">
        <w:rPr>
          <w:rFonts w:ascii="Arial" w:eastAsia="Arial" w:hAnsi="Arial" w:cs="Arial"/>
          <w:color w:val="000000"/>
          <w:sz w:val="22"/>
          <w:szCs w:val="22"/>
        </w:rPr>
        <w:t xml:space="preserve"> </w:t>
      </w:r>
    </w:p>
    <w:p w14:paraId="7A55C0FA" w14:textId="130925BC" w:rsidR="00675A09" w:rsidRPr="00612DF9" w:rsidRDefault="00675A09" w:rsidP="00B337CE">
      <w:pPr>
        <w:numPr>
          <w:ilvl w:val="0"/>
          <w:numId w:val="25"/>
        </w:numPr>
        <w:pBdr>
          <w:top w:val="nil"/>
          <w:left w:val="nil"/>
          <w:bottom w:val="nil"/>
          <w:right w:val="nil"/>
          <w:between w:val="nil"/>
        </w:pBdr>
        <w:jc w:val="both"/>
        <w:rPr>
          <w:rFonts w:ascii="Arial" w:eastAsia="Arial" w:hAnsi="Arial" w:cs="Arial"/>
          <w:color w:val="000000"/>
          <w:sz w:val="22"/>
          <w:szCs w:val="22"/>
        </w:rPr>
      </w:pPr>
      <w:r w:rsidRPr="00191A3D">
        <w:rPr>
          <w:rFonts w:ascii="Arial" w:eastAsia="Arial" w:hAnsi="Arial" w:cs="Arial"/>
          <w:color w:val="000000"/>
          <w:sz w:val="22"/>
          <w:szCs w:val="22"/>
        </w:rPr>
        <w:t>Sistema Informático (</w:t>
      </w:r>
      <w:proofErr w:type="spellStart"/>
      <w:r w:rsidRPr="00191A3D">
        <w:rPr>
          <w:rFonts w:ascii="Arial" w:eastAsia="Arial" w:hAnsi="Arial" w:cs="Arial"/>
          <w:color w:val="000000"/>
          <w:sz w:val="22"/>
          <w:szCs w:val="22"/>
        </w:rPr>
        <w:t>FogarNet</w:t>
      </w:r>
      <w:proofErr w:type="spellEnd"/>
      <w:r w:rsidRPr="00191A3D">
        <w:rPr>
          <w:rFonts w:ascii="Arial" w:eastAsia="Arial" w:hAnsi="Arial" w:cs="Arial"/>
          <w:color w:val="000000"/>
          <w:sz w:val="22"/>
          <w:szCs w:val="22"/>
        </w:rPr>
        <w:t>)</w:t>
      </w:r>
      <w:r w:rsidRPr="00612DF9">
        <w:rPr>
          <w:rFonts w:ascii="Arial" w:eastAsia="Arial" w:hAnsi="Arial" w:cs="Arial"/>
          <w:color w:val="000000"/>
          <w:sz w:val="22"/>
          <w:szCs w:val="22"/>
        </w:rPr>
        <w:t xml:space="preserve"> </w:t>
      </w:r>
    </w:p>
    <w:p w14:paraId="37E9012F" w14:textId="07E26896" w:rsidR="00AC5543" w:rsidRDefault="00675A09" w:rsidP="00AC02DE">
      <w:pPr>
        <w:numPr>
          <w:ilvl w:val="0"/>
          <w:numId w:val="25"/>
        </w:numPr>
        <w:pBdr>
          <w:top w:val="nil"/>
          <w:left w:val="nil"/>
          <w:bottom w:val="nil"/>
          <w:right w:val="nil"/>
          <w:between w:val="nil"/>
        </w:pBdr>
        <w:jc w:val="both"/>
        <w:rPr>
          <w:rFonts w:ascii="Arial" w:eastAsia="Arial" w:hAnsi="Arial" w:cs="Arial"/>
          <w:bCs/>
          <w:color w:val="000000"/>
          <w:sz w:val="22"/>
          <w:szCs w:val="22"/>
        </w:rPr>
      </w:pPr>
      <w:r w:rsidRPr="00E105BC">
        <w:rPr>
          <w:rFonts w:ascii="Arial" w:eastAsia="Arial" w:hAnsi="Arial" w:cs="Arial"/>
          <w:color w:val="000000"/>
          <w:sz w:val="22"/>
          <w:szCs w:val="22"/>
        </w:rPr>
        <w:t xml:space="preserve">Procedimiento ante incumplimientos de los </w:t>
      </w:r>
      <w:r w:rsidR="00AC5543">
        <w:rPr>
          <w:rFonts w:ascii="Arial" w:eastAsia="Arial" w:hAnsi="Arial" w:cs="Arial"/>
          <w:bCs/>
          <w:color w:val="000000"/>
          <w:sz w:val="22"/>
          <w:szCs w:val="22"/>
        </w:rPr>
        <w:t>b</w:t>
      </w:r>
      <w:r w:rsidRPr="00B337CE">
        <w:rPr>
          <w:rFonts w:ascii="Arial" w:eastAsia="Arial" w:hAnsi="Arial" w:cs="Arial"/>
          <w:bCs/>
          <w:color w:val="000000"/>
          <w:sz w:val="22"/>
          <w:szCs w:val="22"/>
        </w:rPr>
        <w:t>eneficiarios</w:t>
      </w:r>
    </w:p>
    <w:p w14:paraId="46D932D4" w14:textId="62B09AB7" w:rsidR="00675A09" w:rsidRPr="00BD3BD4" w:rsidRDefault="00675A09" w:rsidP="00B337CE">
      <w:pPr>
        <w:numPr>
          <w:ilvl w:val="0"/>
          <w:numId w:val="25"/>
        </w:numPr>
        <w:pBdr>
          <w:top w:val="nil"/>
          <w:left w:val="nil"/>
          <w:bottom w:val="nil"/>
          <w:right w:val="nil"/>
          <w:between w:val="nil"/>
        </w:pBdr>
        <w:jc w:val="both"/>
        <w:rPr>
          <w:rFonts w:ascii="Arial" w:eastAsia="Arial" w:hAnsi="Arial" w:cs="Arial"/>
          <w:color w:val="000000"/>
          <w:sz w:val="22"/>
          <w:szCs w:val="22"/>
        </w:rPr>
      </w:pPr>
      <w:r w:rsidRPr="00B337CE">
        <w:rPr>
          <w:rFonts w:ascii="Arial" w:eastAsia="Arial" w:hAnsi="Arial" w:cs="Arial"/>
          <w:bCs/>
          <w:color w:val="000000"/>
          <w:sz w:val="22"/>
          <w:szCs w:val="22"/>
        </w:rPr>
        <w:t xml:space="preserve">Mecanismo de pago de la </w:t>
      </w:r>
      <w:r w:rsidR="00AC5543">
        <w:rPr>
          <w:rFonts w:ascii="Arial" w:eastAsia="Arial" w:hAnsi="Arial" w:cs="Arial"/>
          <w:bCs/>
          <w:color w:val="000000"/>
          <w:sz w:val="22"/>
          <w:szCs w:val="22"/>
        </w:rPr>
        <w:t>g</w:t>
      </w:r>
      <w:r w:rsidRPr="00B337CE">
        <w:rPr>
          <w:rFonts w:ascii="Arial" w:eastAsia="Arial" w:hAnsi="Arial" w:cs="Arial"/>
          <w:bCs/>
          <w:color w:val="000000"/>
          <w:sz w:val="22"/>
          <w:szCs w:val="22"/>
        </w:rPr>
        <w:t>arantía/</w:t>
      </w:r>
      <w:r w:rsidR="00AC5543">
        <w:rPr>
          <w:rFonts w:ascii="Arial" w:eastAsia="Arial" w:hAnsi="Arial" w:cs="Arial"/>
          <w:bCs/>
          <w:color w:val="000000"/>
          <w:sz w:val="22"/>
          <w:szCs w:val="22"/>
        </w:rPr>
        <w:t>r</w:t>
      </w:r>
      <w:r w:rsidRPr="00B337CE">
        <w:rPr>
          <w:rFonts w:ascii="Arial" w:eastAsia="Arial" w:hAnsi="Arial" w:cs="Arial"/>
          <w:bCs/>
          <w:color w:val="000000"/>
          <w:sz w:val="22"/>
          <w:szCs w:val="22"/>
        </w:rPr>
        <w:t>eafianzamiento FOGAR</w:t>
      </w:r>
      <w:r w:rsidRPr="00BD3BD4">
        <w:rPr>
          <w:rFonts w:ascii="Arial" w:eastAsia="Arial" w:hAnsi="Arial" w:cs="Arial"/>
          <w:color w:val="000000"/>
          <w:sz w:val="22"/>
          <w:szCs w:val="22"/>
        </w:rPr>
        <w:t xml:space="preserve"> </w:t>
      </w:r>
    </w:p>
    <w:p w14:paraId="157FBA2C" w14:textId="3856C981" w:rsidR="00675A09" w:rsidRPr="00612DF9" w:rsidRDefault="00675A09" w:rsidP="00B337CE">
      <w:pPr>
        <w:numPr>
          <w:ilvl w:val="0"/>
          <w:numId w:val="25"/>
        </w:numPr>
        <w:pBdr>
          <w:top w:val="nil"/>
          <w:left w:val="nil"/>
          <w:bottom w:val="nil"/>
          <w:right w:val="nil"/>
          <w:between w:val="nil"/>
        </w:pBdr>
        <w:jc w:val="both"/>
        <w:rPr>
          <w:rFonts w:ascii="Arial" w:eastAsia="Arial" w:hAnsi="Arial" w:cs="Arial"/>
          <w:color w:val="000000"/>
          <w:sz w:val="22"/>
          <w:szCs w:val="22"/>
        </w:rPr>
      </w:pPr>
      <w:r w:rsidRPr="00191A3D">
        <w:rPr>
          <w:rFonts w:ascii="Arial" w:eastAsia="Arial" w:hAnsi="Arial" w:cs="Arial"/>
          <w:color w:val="000000"/>
          <w:sz w:val="22"/>
          <w:szCs w:val="22"/>
        </w:rPr>
        <w:t xml:space="preserve">Contragarantías (en caso de </w:t>
      </w:r>
      <w:r w:rsidRPr="00612DF9">
        <w:rPr>
          <w:rFonts w:ascii="Arial" w:eastAsia="Arial" w:hAnsi="Arial" w:cs="Arial"/>
          <w:color w:val="000000"/>
          <w:sz w:val="22"/>
          <w:szCs w:val="22"/>
        </w:rPr>
        <w:t xml:space="preserve">corresponder) </w:t>
      </w:r>
    </w:p>
    <w:p w14:paraId="6015E494" w14:textId="5CB80F21" w:rsidR="00675A09" w:rsidRPr="00BD3BD4" w:rsidRDefault="00675A09" w:rsidP="00B337CE">
      <w:pPr>
        <w:numPr>
          <w:ilvl w:val="0"/>
          <w:numId w:val="25"/>
        </w:numPr>
        <w:pBdr>
          <w:top w:val="nil"/>
          <w:left w:val="nil"/>
          <w:bottom w:val="nil"/>
          <w:right w:val="nil"/>
          <w:between w:val="nil"/>
        </w:pBdr>
        <w:jc w:val="both"/>
        <w:rPr>
          <w:rFonts w:ascii="Arial" w:eastAsia="Arial" w:hAnsi="Arial" w:cs="Arial"/>
          <w:color w:val="000000"/>
          <w:sz w:val="22"/>
          <w:szCs w:val="22"/>
        </w:rPr>
      </w:pPr>
      <w:r w:rsidRPr="00E105BC">
        <w:rPr>
          <w:rFonts w:ascii="Arial" w:eastAsia="Arial" w:hAnsi="Arial" w:cs="Arial"/>
          <w:color w:val="000000"/>
          <w:sz w:val="22"/>
          <w:szCs w:val="22"/>
        </w:rPr>
        <w:t xml:space="preserve">Gestión de </w:t>
      </w:r>
      <w:r w:rsidR="00AC5543">
        <w:rPr>
          <w:rFonts w:ascii="Arial" w:eastAsia="Arial" w:hAnsi="Arial" w:cs="Arial"/>
          <w:bCs/>
          <w:color w:val="000000"/>
          <w:sz w:val="22"/>
          <w:szCs w:val="22"/>
        </w:rPr>
        <w:t>r</w:t>
      </w:r>
      <w:r w:rsidRPr="00B337CE">
        <w:rPr>
          <w:rFonts w:ascii="Arial" w:eastAsia="Arial" w:hAnsi="Arial" w:cs="Arial"/>
          <w:bCs/>
          <w:color w:val="000000"/>
          <w:sz w:val="22"/>
          <w:szCs w:val="22"/>
        </w:rPr>
        <w:t>ecupero</w:t>
      </w:r>
      <w:r w:rsidRPr="00BD3BD4">
        <w:rPr>
          <w:rFonts w:ascii="Arial" w:eastAsia="Arial" w:hAnsi="Arial" w:cs="Arial"/>
          <w:color w:val="000000"/>
          <w:sz w:val="22"/>
          <w:szCs w:val="22"/>
        </w:rPr>
        <w:t xml:space="preserve"> </w:t>
      </w:r>
    </w:p>
    <w:p w14:paraId="42EEDD41" w14:textId="78056980" w:rsidR="00675A09" w:rsidRPr="00612DF9" w:rsidRDefault="00675A09" w:rsidP="00B337CE">
      <w:pPr>
        <w:numPr>
          <w:ilvl w:val="0"/>
          <w:numId w:val="25"/>
        </w:numPr>
        <w:pBdr>
          <w:top w:val="nil"/>
          <w:left w:val="nil"/>
          <w:bottom w:val="nil"/>
          <w:right w:val="nil"/>
          <w:between w:val="nil"/>
        </w:pBdr>
        <w:jc w:val="both"/>
        <w:rPr>
          <w:rFonts w:ascii="Arial" w:eastAsia="Arial" w:hAnsi="Arial" w:cs="Arial"/>
          <w:color w:val="000000"/>
          <w:sz w:val="22"/>
          <w:szCs w:val="22"/>
        </w:rPr>
      </w:pPr>
      <w:r w:rsidRPr="00191A3D">
        <w:rPr>
          <w:rFonts w:ascii="Arial" w:eastAsia="Arial" w:hAnsi="Arial" w:cs="Arial"/>
          <w:color w:val="000000"/>
          <w:sz w:val="22"/>
          <w:szCs w:val="22"/>
        </w:rPr>
        <w:t>Plazo para dar de alta operaciones</w:t>
      </w:r>
      <w:r w:rsidRPr="00612DF9">
        <w:rPr>
          <w:rFonts w:ascii="Arial" w:eastAsia="Arial" w:hAnsi="Arial" w:cs="Arial"/>
          <w:color w:val="000000"/>
          <w:sz w:val="22"/>
          <w:szCs w:val="22"/>
        </w:rPr>
        <w:t xml:space="preserve"> </w:t>
      </w:r>
    </w:p>
    <w:p w14:paraId="60AAD822" w14:textId="77777777" w:rsidR="00675A09" w:rsidRDefault="00675A09" w:rsidP="00F62FC1">
      <w:pPr>
        <w:widowControl w:val="0"/>
        <w:tabs>
          <w:tab w:val="left" w:pos="1291"/>
        </w:tabs>
        <w:ind w:left="993" w:right="-8"/>
        <w:jc w:val="both"/>
        <w:rPr>
          <w:rFonts w:ascii="Arial" w:eastAsia="Arial" w:hAnsi="Arial" w:cs="Arial"/>
          <w:color w:val="000000"/>
          <w:sz w:val="22"/>
          <w:szCs w:val="22"/>
        </w:rPr>
      </w:pPr>
    </w:p>
    <w:p w14:paraId="4DB88216" w14:textId="21A48C5F" w:rsidR="00675A09" w:rsidRPr="00283FA6" w:rsidRDefault="00675A09" w:rsidP="00283FA6">
      <w:pPr>
        <w:pStyle w:val="ListParagraph"/>
        <w:widowControl w:val="0"/>
        <w:numPr>
          <w:ilvl w:val="1"/>
          <w:numId w:val="11"/>
        </w:numPr>
        <w:tabs>
          <w:tab w:val="left" w:pos="705"/>
        </w:tabs>
        <w:ind w:left="901" w:right="-6" w:hanging="544"/>
        <w:jc w:val="both"/>
        <w:rPr>
          <w:rFonts w:ascii="Arial" w:eastAsia="Arial" w:hAnsi="Arial" w:cs="Arial"/>
          <w:color w:val="000000"/>
          <w:sz w:val="22"/>
          <w:szCs w:val="22"/>
        </w:rPr>
      </w:pPr>
      <w:r>
        <w:rPr>
          <w:rFonts w:ascii="Arial" w:eastAsia="Arial" w:hAnsi="Arial" w:cs="Arial"/>
          <w:color w:val="000000"/>
          <w:sz w:val="22"/>
          <w:szCs w:val="22"/>
        </w:rPr>
        <w:t xml:space="preserve">En caso que las IFI o SGR requieran información para evaluar el </w:t>
      </w:r>
      <w:r w:rsidR="00AC5543">
        <w:rPr>
          <w:rFonts w:ascii="Arial" w:eastAsia="Arial" w:hAnsi="Arial" w:cs="Arial"/>
          <w:color w:val="000000"/>
          <w:sz w:val="22"/>
          <w:szCs w:val="22"/>
        </w:rPr>
        <w:t>FOGAR</w:t>
      </w:r>
      <w:r>
        <w:rPr>
          <w:rFonts w:ascii="Arial" w:eastAsia="Arial" w:hAnsi="Arial" w:cs="Arial"/>
          <w:color w:val="000000"/>
          <w:sz w:val="22"/>
          <w:szCs w:val="22"/>
        </w:rPr>
        <w:t>,</w:t>
      </w:r>
      <w:r w:rsidDel="00AC5543">
        <w:rPr>
          <w:rFonts w:ascii="Arial" w:eastAsia="Arial" w:hAnsi="Arial" w:cs="Arial"/>
          <w:color w:val="000000"/>
          <w:sz w:val="22"/>
          <w:szCs w:val="22"/>
        </w:rPr>
        <w:t xml:space="preserve"> </w:t>
      </w:r>
      <w:r w:rsidR="00AC5543">
        <w:rPr>
          <w:rFonts w:ascii="Arial" w:eastAsia="Arial" w:hAnsi="Arial" w:cs="Arial"/>
          <w:color w:val="000000"/>
          <w:sz w:val="22"/>
          <w:szCs w:val="22"/>
        </w:rPr>
        <w:t xml:space="preserve">el fiduciario </w:t>
      </w:r>
      <w:r>
        <w:rPr>
          <w:rFonts w:ascii="Arial" w:eastAsia="Arial" w:hAnsi="Arial" w:cs="Arial"/>
          <w:color w:val="000000"/>
          <w:sz w:val="22"/>
          <w:szCs w:val="22"/>
        </w:rPr>
        <w:t xml:space="preserve">podrá enviar: último balance certificado, </w:t>
      </w:r>
      <w:r w:rsidR="00AC5543">
        <w:rPr>
          <w:rFonts w:ascii="Arial" w:eastAsia="Arial" w:hAnsi="Arial" w:cs="Arial"/>
          <w:color w:val="000000"/>
          <w:sz w:val="22"/>
          <w:szCs w:val="22"/>
        </w:rPr>
        <w:t>r</w:t>
      </w:r>
      <w:r>
        <w:rPr>
          <w:rFonts w:ascii="Arial" w:eastAsia="Arial" w:hAnsi="Arial" w:cs="Arial"/>
          <w:color w:val="000000"/>
          <w:sz w:val="22"/>
          <w:szCs w:val="22"/>
        </w:rPr>
        <w:t>egistro en BCRA de Garantía Preferida clase “</w:t>
      </w:r>
      <w:proofErr w:type="gramStart"/>
      <w:r>
        <w:rPr>
          <w:rFonts w:ascii="Arial" w:eastAsia="Arial" w:hAnsi="Arial" w:cs="Arial"/>
          <w:color w:val="000000"/>
          <w:sz w:val="22"/>
          <w:szCs w:val="22"/>
        </w:rPr>
        <w:t>A“</w:t>
      </w:r>
      <w:proofErr w:type="gramEnd"/>
      <w:r>
        <w:rPr>
          <w:rFonts w:ascii="Arial" w:eastAsia="Arial" w:hAnsi="Arial" w:cs="Arial"/>
          <w:color w:val="000000"/>
          <w:sz w:val="22"/>
          <w:szCs w:val="22"/>
        </w:rPr>
        <w:t xml:space="preserve">, cartera actual de inversiones, indicadores de gestión (fondo de riesgo, riesgo vivo, cantidad de garantías otorgadas, etc.), así como cualquier otra información operativa que se le requiera. </w:t>
      </w:r>
    </w:p>
    <w:p w14:paraId="3A63775C" w14:textId="4DA47357" w:rsidR="00675A09" w:rsidRPr="00283FA6" w:rsidRDefault="00675A09" w:rsidP="00283FA6">
      <w:pPr>
        <w:pStyle w:val="Heading1"/>
        <w:numPr>
          <w:ilvl w:val="0"/>
          <w:numId w:val="36"/>
        </w:numPr>
        <w:jc w:val="both"/>
        <w:rPr>
          <w:sz w:val="22"/>
          <w:szCs w:val="22"/>
        </w:rPr>
      </w:pPr>
      <w:bookmarkStart w:id="16" w:name="_Toc42709761"/>
      <w:r w:rsidRPr="00283FA6">
        <w:rPr>
          <w:sz w:val="22"/>
          <w:szCs w:val="22"/>
        </w:rPr>
        <w:t>Operatoria</w:t>
      </w:r>
      <w:bookmarkEnd w:id="16"/>
      <w:r w:rsidRPr="00283FA6">
        <w:rPr>
          <w:sz w:val="22"/>
          <w:szCs w:val="22"/>
        </w:rPr>
        <w:t xml:space="preserve"> </w:t>
      </w:r>
    </w:p>
    <w:p w14:paraId="14E6D772" w14:textId="77777777" w:rsidR="00675A09" w:rsidRDefault="00675A09" w:rsidP="00F62FC1">
      <w:pPr>
        <w:pBdr>
          <w:top w:val="nil"/>
          <w:left w:val="nil"/>
          <w:bottom w:val="nil"/>
          <w:right w:val="nil"/>
          <w:between w:val="nil"/>
        </w:pBdr>
        <w:ind w:left="907"/>
        <w:jc w:val="both"/>
        <w:rPr>
          <w:rFonts w:ascii="Arial" w:eastAsia="Arial" w:hAnsi="Arial" w:cs="Arial"/>
          <w:color w:val="000000"/>
          <w:sz w:val="22"/>
          <w:szCs w:val="22"/>
        </w:rPr>
      </w:pPr>
    </w:p>
    <w:p w14:paraId="6AF5E98F" w14:textId="49A3B7AD" w:rsidR="00675A09" w:rsidRPr="001011A1" w:rsidRDefault="00675A09" w:rsidP="00B337CE">
      <w:pPr>
        <w:pStyle w:val="ListParagraph"/>
        <w:widowControl w:val="0"/>
        <w:numPr>
          <w:ilvl w:val="1"/>
          <w:numId w:val="11"/>
        </w:numPr>
        <w:tabs>
          <w:tab w:val="left" w:pos="705"/>
        </w:tabs>
        <w:ind w:left="901" w:right="-6" w:hanging="544"/>
        <w:jc w:val="both"/>
        <w:rPr>
          <w:rFonts w:ascii="Arial" w:eastAsia="Arial" w:hAnsi="Arial" w:cs="Arial"/>
          <w:color w:val="000000"/>
          <w:sz w:val="22"/>
          <w:szCs w:val="22"/>
        </w:rPr>
      </w:pPr>
      <w:r w:rsidRPr="00B337CE">
        <w:rPr>
          <w:rFonts w:ascii="Arial" w:eastAsia="Arial" w:hAnsi="Arial" w:cs="Arial"/>
          <w:b/>
          <w:bCs/>
          <w:color w:val="000000"/>
          <w:sz w:val="22"/>
          <w:szCs w:val="22"/>
        </w:rPr>
        <w:t xml:space="preserve">Alta de usuarios de las IFI en el sistema de garantías </w:t>
      </w:r>
      <w:r w:rsidR="00AC5543" w:rsidRPr="00B337CE">
        <w:rPr>
          <w:rFonts w:ascii="Arial" w:eastAsia="Arial" w:hAnsi="Arial" w:cs="Arial"/>
          <w:b/>
          <w:bCs/>
          <w:color w:val="000000"/>
          <w:sz w:val="22"/>
          <w:szCs w:val="22"/>
        </w:rPr>
        <w:t>“</w:t>
      </w:r>
      <w:proofErr w:type="spellStart"/>
      <w:r w:rsidR="00F073C2" w:rsidRPr="00B337CE">
        <w:rPr>
          <w:rFonts w:ascii="Arial" w:eastAsia="Arial" w:hAnsi="Arial" w:cs="Arial"/>
          <w:b/>
          <w:bCs/>
          <w:sz w:val="22"/>
          <w:szCs w:val="22"/>
        </w:rPr>
        <w:t>FogarNet</w:t>
      </w:r>
      <w:proofErr w:type="spellEnd"/>
      <w:r w:rsidR="00AC5543" w:rsidRPr="00B337CE">
        <w:rPr>
          <w:rFonts w:ascii="Arial" w:eastAsia="Arial" w:hAnsi="Arial" w:cs="Arial"/>
          <w:b/>
          <w:bCs/>
          <w:color w:val="000000"/>
          <w:sz w:val="22"/>
          <w:szCs w:val="22"/>
        </w:rPr>
        <w:t xml:space="preserve">”. </w:t>
      </w:r>
      <w:r w:rsidRPr="00B337CE">
        <w:rPr>
          <w:rFonts w:ascii="Arial" w:eastAsia="Arial" w:hAnsi="Arial" w:cs="Arial"/>
          <w:color w:val="000000"/>
          <w:sz w:val="22"/>
          <w:szCs w:val="22"/>
        </w:rPr>
        <w:t xml:space="preserve">Celebrado el convenio, la IFI/SGR deberá remitir al correo electrónico declarado, el detalle del personal autorizado para representarlo, en donde conste el/los nombre/s, apellido/s, C.U.I.L., correo electrónico y perfil/es de usuario. </w:t>
      </w:r>
      <w:r w:rsidR="00AC5543" w:rsidRPr="00B337CE">
        <w:rPr>
          <w:rFonts w:ascii="Arial" w:eastAsia="Arial" w:hAnsi="Arial" w:cs="Arial"/>
          <w:color w:val="000000"/>
          <w:sz w:val="22"/>
          <w:szCs w:val="22"/>
        </w:rPr>
        <w:t xml:space="preserve">El fiduciario </w:t>
      </w:r>
      <w:r w:rsidRPr="00B337CE">
        <w:rPr>
          <w:rFonts w:ascii="Arial" w:eastAsia="Arial" w:hAnsi="Arial" w:cs="Arial"/>
          <w:color w:val="000000"/>
          <w:sz w:val="22"/>
          <w:szCs w:val="22"/>
        </w:rPr>
        <w:t xml:space="preserve">creará y habilitará los usuarios en el Sistema Informático </w:t>
      </w:r>
      <w:proofErr w:type="spellStart"/>
      <w:r w:rsidR="00F073C2" w:rsidRPr="00F035B4">
        <w:rPr>
          <w:rFonts w:ascii="Arial" w:eastAsia="Arial" w:hAnsi="Arial" w:cs="Arial"/>
          <w:sz w:val="22"/>
          <w:szCs w:val="22"/>
        </w:rPr>
        <w:t>FogarNet</w:t>
      </w:r>
      <w:proofErr w:type="spellEnd"/>
      <w:r w:rsidRPr="001011A1">
        <w:rPr>
          <w:rFonts w:ascii="Arial" w:eastAsia="Arial" w:hAnsi="Arial" w:cs="Arial"/>
          <w:color w:val="000000"/>
          <w:sz w:val="22"/>
          <w:szCs w:val="22"/>
        </w:rPr>
        <w:t>, informará a la IFI/SGR para que los usuarios realicen el blanqueo de contraseña y posterior ingreso al sistema.</w:t>
      </w:r>
    </w:p>
    <w:p w14:paraId="770DF853" w14:textId="77777777" w:rsidR="00675A09" w:rsidRDefault="00675A09" w:rsidP="00675A09">
      <w:pPr>
        <w:widowControl w:val="0"/>
        <w:tabs>
          <w:tab w:val="left" w:pos="1291"/>
        </w:tabs>
        <w:ind w:right="-8"/>
        <w:jc w:val="both"/>
        <w:rPr>
          <w:rFonts w:ascii="Arial" w:eastAsia="Arial" w:hAnsi="Arial" w:cs="Arial"/>
          <w:color w:val="000000"/>
          <w:sz w:val="22"/>
          <w:szCs w:val="22"/>
        </w:rPr>
      </w:pPr>
    </w:p>
    <w:p w14:paraId="27DB4B7F" w14:textId="385BF8A0" w:rsidR="00F073C2" w:rsidRDefault="00675A09" w:rsidP="00F073C2">
      <w:pPr>
        <w:pStyle w:val="ListParagraph"/>
        <w:widowControl w:val="0"/>
        <w:numPr>
          <w:ilvl w:val="1"/>
          <w:numId w:val="11"/>
        </w:numPr>
        <w:tabs>
          <w:tab w:val="left" w:pos="705"/>
        </w:tabs>
        <w:ind w:left="901" w:right="-6" w:hanging="544"/>
        <w:jc w:val="both"/>
        <w:rPr>
          <w:rFonts w:ascii="Arial" w:eastAsia="Arial" w:hAnsi="Arial" w:cs="Arial"/>
          <w:sz w:val="22"/>
          <w:szCs w:val="22"/>
        </w:rPr>
      </w:pPr>
      <w:r w:rsidRPr="00B337CE">
        <w:rPr>
          <w:rFonts w:ascii="Arial" w:eastAsia="Arial" w:hAnsi="Arial" w:cs="Arial"/>
          <w:b/>
          <w:bCs/>
          <w:color w:val="000000"/>
          <w:sz w:val="22"/>
          <w:szCs w:val="22"/>
        </w:rPr>
        <w:t xml:space="preserve">Alta de </w:t>
      </w:r>
      <w:r w:rsidR="00F073C2">
        <w:rPr>
          <w:rFonts w:ascii="Arial" w:eastAsia="Arial" w:hAnsi="Arial" w:cs="Arial"/>
          <w:b/>
          <w:bCs/>
          <w:color w:val="000000"/>
          <w:sz w:val="22"/>
          <w:szCs w:val="22"/>
        </w:rPr>
        <w:t>o</w:t>
      </w:r>
      <w:r w:rsidRPr="00B337CE">
        <w:rPr>
          <w:rFonts w:ascii="Arial" w:eastAsia="Arial" w:hAnsi="Arial" w:cs="Arial"/>
          <w:b/>
          <w:bCs/>
          <w:color w:val="000000"/>
          <w:sz w:val="22"/>
          <w:szCs w:val="22"/>
        </w:rPr>
        <w:t>peraciones</w:t>
      </w:r>
      <w:r w:rsidR="00F073C2" w:rsidRPr="00B337CE">
        <w:rPr>
          <w:rFonts w:ascii="Arial" w:eastAsia="Arial" w:hAnsi="Arial" w:cs="Arial"/>
          <w:b/>
          <w:bCs/>
          <w:color w:val="000000"/>
          <w:sz w:val="22"/>
          <w:szCs w:val="22"/>
        </w:rPr>
        <w:t>.</w:t>
      </w:r>
      <w:r w:rsidRPr="00B337CE">
        <w:rPr>
          <w:rFonts w:ascii="Arial" w:eastAsia="Arial" w:hAnsi="Arial" w:cs="Arial"/>
          <w:b/>
          <w:bCs/>
          <w:color w:val="000000"/>
          <w:sz w:val="22"/>
          <w:szCs w:val="22"/>
        </w:rPr>
        <w:t xml:space="preserve"> </w:t>
      </w:r>
      <w:r w:rsidRPr="00B337CE">
        <w:rPr>
          <w:rFonts w:ascii="Arial" w:eastAsia="Arial" w:hAnsi="Arial" w:cs="Arial"/>
          <w:sz w:val="22"/>
          <w:szCs w:val="22"/>
        </w:rPr>
        <w:t xml:space="preserve">La IFI/SGR deberá ingresar, con carácter de declaración </w:t>
      </w:r>
      <w:r w:rsidRPr="00B337CE">
        <w:rPr>
          <w:rFonts w:ascii="Arial" w:eastAsia="Arial" w:hAnsi="Arial" w:cs="Arial"/>
          <w:sz w:val="22"/>
          <w:szCs w:val="22"/>
        </w:rPr>
        <w:lastRenderedPageBreak/>
        <w:t xml:space="preserve">jurada, el detalle de las operaciones en </w:t>
      </w:r>
      <w:proofErr w:type="spellStart"/>
      <w:r w:rsidRPr="00B337CE">
        <w:rPr>
          <w:rFonts w:ascii="Arial" w:eastAsia="Arial" w:hAnsi="Arial" w:cs="Arial"/>
          <w:sz w:val="22"/>
          <w:szCs w:val="22"/>
        </w:rPr>
        <w:t>FogarNet</w:t>
      </w:r>
      <w:proofErr w:type="spellEnd"/>
      <w:r w:rsidRPr="00B337CE">
        <w:rPr>
          <w:rFonts w:ascii="Arial" w:eastAsia="Arial" w:hAnsi="Arial" w:cs="Arial"/>
          <w:sz w:val="22"/>
          <w:szCs w:val="22"/>
        </w:rPr>
        <w:t>. El sistema controlará y validará, de manera automática y online, el cumplimiento de las condiciones establecidas en el convenio firmado, e informará si la operación fue aprobada o rechazada. De haber sido aprobada, el sistema generará un archivo con el “certificado de garantía”.</w:t>
      </w:r>
    </w:p>
    <w:p w14:paraId="682A56EA" w14:textId="77777777" w:rsidR="00F073C2" w:rsidRPr="00B337CE" w:rsidRDefault="00F073C2" w:rsidP="00B337CE">
      <w:pPr>
        <w:pStyle w:val="ListParagraph"/>
        <w:widowControl w:val="0"/>
        <w:tabs>
          <w:tab w:val="left" w:pos="705"/>
        </w:tabs>
        <w:ind w:left="901" w:right="-6"/>
        <w:jc w:val="both"/>
        <w:rPr>
          <w:rFonts w:ascii="Arial" w:eastAsia="Arial" w:hAnsi="Arial" w:cs="Arial"/>
          <w:sz w:val="22"/>
          <w:szCs w:val="22"/>
        </w:rPr>
      </w:pPr>
    </w:p>
    <w:p w14:paraId="1AB0D091" w14:textId="2D86C0CF" w:rsidR="00675A09" w:rsidRPr="00B337CE" w:rsidRDefault="00675A09" w:rsidP="00B337CE">
      <w:pPr>
        <w:pStyle w:val="ListParagraph"/>
        <w:widowControl w:val="0"/>
        <w:numPr>
          <w:ilvl w:val="1"/>
          <w:numId w:val="11"/>
        </w:numPr>
        <w:tabs>
          <w:tab w:val="left" w:pos="705"/>
        </w:tabs>
        <w:ind w:left="901" w:right="-6" w:hanging="544"/>
        <w:jc w:val="both"/>
        <w:rPr>
          <w:rFonts w:ascii="Arial" w:eastAsia="Arial" w:hAnsi="Arial" w:cs="Arial"/>
          <w:color w:val="000000"/>
          <w:sz w:val="22"/>
          <w:szCs w:val="22"/>
        </w:rPr>
      </w:pPr>
      <w:r w:rsidRPr="00B337CE">
        <w:rPr>
          <w:rFonts w:ascii="Arial" w:eastAsia="Arial" w:hAnsi="Arial" w:cs="Arial"/>
          <w:color w:val="000000"/>
          <w:sz w:val="22"/>
          <w:szCs w:val="22"/>
        </w:rPr>
        <w:t xml:space="preserve">La carga de operaciones en el sistema puede ser individual (una operación) o masiva (para más de una operación) mediante la carga de un archivo en formato </w:t>
      </w:r>
      <w:r w:rsidR="00337797">
        <w:rPr>
          <w:rFonts w:ascii="Arial" w:eastAsia="Arial" w:hAnsi="Arial" w:cs="Arial"/>
          <w:color w:val="000000"/>
          <w:sz w:val="22"/>
          <w:szCs w:val="22"/>
        </w:rPr>
        <w:t>E</w:t>
      </w:r>
      <w:r w:rsidRPr="00B337CE">
        <w:rPr>
          <w:rFonts w:ascii="Arial" w:eastAsia="Arial" w:hAnsi="Arial" w:cs="Arial"/>
          <w:color w:val="000000"/>
          <w:sz w:val="22"/>
          <w:szCs w:val="22"/>
        </w:rPr>
        <w:t xml:space="preserve">xcel. La información de carga para el alta de una operación es: </w:t>
      </w:r>
    </w:p>
    <w:p w14:paraId="0C3E0C64" w14:textId="77777777" w:rsidR="00675A09" w:rsidRDefault="00675A09" w:rsidP="00F62FC1">
      <w:pPr>
        <w:widowControl w:val="0"/>
        <w:pBdr>
          <w:top w:val="nil"/>
          <w:left w:val="nil"/>
          <w:bottom w:val="nil"/>
          <w:right w:val="nil"/>
          <w:between w:val="nil"/>
        </w:pBdr>
        <w:tabs>
          <w:tab w:val="left" w:pos="1291"/>
        </w:tabs>
        <w:ind w:left="993" w:right="-8"/>
        <w:jc w:val="both"/>
        <w:rPr>
          <w:rFonts w:ascii="Arial" w:eastAsia="Arial" w:hAnsi="Arial" w:cs="Arial"/>
          <w:color w:val="000000"/>
          <w:sz w:val="22"/>
          <w:szCs w:val="22"/>
        </w:rPr>
      </w:pPr>
    </w:p>
    <w:p w14:paraId="436E1745" w14:textId="47010412" w:rsidR="00675A09" w:rsidRPr="00BD3BD4" w:rsidRDefault="00675A09" w:rsidP="00B337CE">
      <w:pPr>
        <w:numPr>
          <w:ilvl w:val="0"/>
          <w:numId w:val="26"/>
        </w:numPr>
        <w:pBdr>
          <w:top w:val="nil"/>
          <w:left w:val="nil"/>
          <w:bottom w:val="nil"/>
          <w:right w:val="nil"/>
          <w:between w:val="nil"/>
        </w:pBdr>
        <w:jc w:val="both"/>
        <w:rPr>
          <w:rFonts w:ascii="Arial" w:eastAsia="Arial" w:hAnsi="Arial" w:cs="Arial"/>
          <w:color w:val="000000"/>
          <w:sz w:val="22"/>
          <w:szCs w:val="22"/>
        </w:rPr>
      </w:pPr>
      <w:r w:rsidRPr="00B337CE">
        <w:rPr>
          <w:rFonts w:ascii="Arial" w:eastAsia="Arial" w:hAnsi="Arial" w:cs="Arial"/>
          <w:bCs/>
          <w:color w:val="000000"/>
          <w:sz w:val="22"/>
          <w:szCs w:val="22"/>
        </w:rPr>
        <w:t xml:space="preserve">CUIT del </w:t>
      </w:r>
      <w:r w:rsidR="009B3357">
        <w:rPr>
          <w:rFonts w:ascii="Arial" w:eastAsia="Arial" w:hAnsi="Arial" w:cs="Arial"/>
          <w:bCs/>
          <w:color w:val="000000"/>
          <w:sz w:val="22"/>
          <w:szCs w:val="22"/>
        </w:rPr>
        <w:t>b</w:t>
      </w:r>
      <w:r w:rsidRPr="00B337CE">
        <w:rPr>
          <w:rFonts w:ascii="Arial" w:eastAsia="Arial" w:hAnsi="Arial" w:cs="Arial"/>
          <w:bCs/>
          <w:color w:val="000000"/>
          <w:sz w:val="22"/>
          <w:szCs w:val="22"/>
        </w:rPr>
        <w:t>eneficiario</w:t>
      </w:r>
      <w:r w:rsidRPr="00BD3BD4">
        <w:rPr>
          <w:rFonts w:ascii="Arial" w:eastAsia="Arial" w:hAnsi="Arial" w:cs="Arial"/>
          <w:color w:val="000000"/>
          <w:sz w:val="22"/>
          <w:szCs w:val="22"/>
        </w:rPr>
        <w:t xml:space="preserve"> </w:t>
      </w:r>
    </w:p>
    <w:p w14:paraId="67C212C5" w14:textId="56CF90DE" w:rsidR="009B3357" w:rsidRPr="00B337CE" w:rsidRDefault="00675A09" w:rsidP="00B337CE">
      <w:pPr>
        <w:numPr>
          <w:ilvl w:val="0"/>
          <w:numId w:val="26"/>
        </w:numPr>
        <w:pBdr>
          <w:top w:val="nil"/>
          <w:left w:val="nil"/>
          <w:bottom w:val="nil"/>
          <w:right w:val="nil"/>
          <w:between w:val="nil"/>
        </w:pBdr>
        <w:jc w:val="both"/>
        <w:rPr>
          <w:rFonts w:ascii="Arial" w:eastAsia="Arial" w:hAnsi="Arial" w:cs="Arial"/>
          <w:bCs/>
          <w:color w:val="000000"/>
          <w:sz w:val="22"/>
          <w:szCs w:val="22"/>
        </w:rPr>
      </w:pPr>
      <w:r w:rsidRPr="1024079A">
        <w:rPr>
          <w:rFonts w:ascii="Arial" w:eastAsia="Arial" w:hAnsi="Arial" w:cs="Arial"/>
          <w:color w:val="000000" w:themeColor="text1"/>
          <w:sz w:val="22"/>
          <w:szCs w:val="22"/>
        </w:rPr>
        <w:t xml:space="preserve">Tipo de </w:t>
      </w:r>
      <w:r w:rsidR="009B3357" w:rsidRPr="1024079A">
        <w:rPr>
          <w:rFonts w:ascii="Arial" w:eastAsia="Arial" w:hAnsi="Arial" w:cs="Arial"/>
          <w:color w:val="000000" w:themeColor="text1"/>
          <w:sz w:val="22"/>
          <w:szCs w:val="22"/>
        </w:rPr>
        <w:t>o</w:t>
      </w:r>
      <w:r w:rsidRPr="1024079A">
        <w:rPr>
          <w:rFonts w:ascii="Arial" w:eastAsia="Arial" w:hAnsi="Arial" w:cs="Arial"/>
          <w:color w:val="000000" w:themeColor="text1"/>
          <w:sz w:val="22"/>
          <w:szCs w:val="22"/>
        </w:rPr>
        <w:t>peración</w:t>
      </w:r>
    </w:p>
    <w:p w14:paraId="5E331695" w14:textId="520819AF" w:rsidR="00675A09" w:rsidRDefault="00675A09" w:rsidP="00B337CE">
      <w:pPr>
        <w:numPr>
          <w:ilvl w:val="0"/>
          <w:numId w:val="2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Fecha de primer vencimiento de amortización del capital </w:t>
      </w:r>
    </w:p>
    <w:p w14:paraId="22388901" w14:textId="413E55B5" w:rsidR="009B3357" w:rsidRPr="00857398" w:rsidRDefault="009B3357" w:rsidP="00B337CE">
      <w:pPr>
        <w:numPr>
          <w:ilvl w:val="0"/>
          <w:numId w:val="26"/>
        </w:numPr>
        <w:pBdr>
          <w:top w:val="nil"/>
          <w:left w:val="nil"/>
          <w:bottom w:val="nil"/>
          <w:right w:val="nil"/>
          <w:between w:val="nil"/>
        </w:pBdr>
        <w:jc w:val="both"/>
        <w:rPr>
          <w:rFonts w:ascii="Arial" w:eastAsia="Arial" w:hAnsi="Arial" w:cs="Arial"/>
          <w:bCs/>
          <w:color w:val="000000"/>
          <w:sz w:val="22"/>
          <w:szCs w:val="22"/>
        </w:rPr>
      </w:pPr>
      <w:r w:rsidRPr="00857398">
        <w:rPr>
          <w:rFonts w:ascii="Arial" w:eastAsia="Arial" w:hAnsi="Arial" w:cs="Arial"/>
          <w:bCs/>
          <w:color w:val="000000"/>
          <w:sz w:val="22"/>
          <w:szCs w:val="22"/>
        </w:rPr>
        <w:t xml:space="preserve">Número de la </w:t>
      </w:r>
      <w:r>
        <w:rPr>
          <w:rFonts w:ascii="Arial" w:eastAsia="Arial" w:hAnsi="Arial" w:cs="Arial"/>
          <w:bCs/>
          <w:color w:val="000000"/>
          <w:sz w:val="22"/>
          <w:szCs w:val="22"/>
        </w:rPr>
        <w:t>o</w:t>
      </w:r>
      <w:r w:rsidRPr="00857398">
        <w:rPr>
          <w:rFonts w:ascii="Arial" w:eastAsia="Arial" w:hAnsi="Arial" w:cs="Arial"/>
          <w:bCs/>
          <w:color w:val="000000"/>
          <w:sz w:val="22"/>
          <w:szCs w:val="22"/>
        </w:rPr>
        <w:t xml:space="preserve">peración </w:t>
      </w:r>
    </w:p>
    <w:p w14:paraId="6DECAE46" w14:textId="120E825C" w:rsidR="009B3357" w:rsidRPr="00857398" w:rsidRDefault="009B3357" w:rsidP="00B337CE">
      <w:pPr>
        <w:numPr>
          <w:ilvl w:val="0"/>
          <w:numId w:val="26"/>
        </w:numPr>
        <w:pBdr>
          <w:top w:val="nil"/>
          <w:left w:val="nil"/>
          <w:bottom w:val="nil"/>
          <w:right w:val="nil"/>
          <w:between w:val="nil"/>
        </w:pBdr>
        <w:jc w:val="both"/>
        <w:rPr>
          <w:rFonts w:ascii="Arial" w:eastAsia="Arial" w:hAnsi="Arial" w:cs="Arial"/>
          <w:bCs/>
          <w:color w:val="000000"/>
          <w:sz w:val="22"/>
          <w:szCs w:val="22"/>
        </w:rPr>
      </w:pPr>
      <w:r w:rsidRPr="00857398">
        <w:rPr>
          <w:rFonts w:ascii="Arial" w:eastAsia="Arial" w:hAnsi="Arial" w:cs="Arial"/>
          <w:bCs/>
          <w:color w:val="000000"/>
          <w:sz w:val="22"/>
          <w:szCs w:val="22"/>
        </w:rPr>
        <w:t xml:space="preserve">Fecha de acreditación </w:t>
      </w:r>
    </w:p>
    <w:p w14:paraId="2BE69523" w14:textId="48FB7325" w:rsidR="009B3357" w:rsidRPr="00857398" w:rsidRDefault="009B3357" w:rsidP="00B337CE">
      <w:pPr>
        <w:numPr>
          <w:ilvl w:val="0"/>
          <w:numId w:val="26"/>
        </w:numPr>
        <w:pBdr>
          <w:top w:val="nil"/>
          <w:left w:val="nil"/>
          <w:bottom w:val="nil"/>
          <w:right w:val="nil"/>
          <w:between w:val="nil"/>
        </w:pBdr>
        <w:jc w:val="both"/>
        <w:rPr>
          <w:rFonts w:ascii="Arial" w:eastAsia="Arial" w:hAnsi="Arial" w:cs="Arial"/>
          <w:bCs/>
          <w:color w:val="000000"/>
          <w:sz w:val="22"/>
          <w:szCs w:val="22"/>
        </w:rPr>
      </w:pPr>
      <w:r w:rsidRPr="00857398">
        <w:rPr>
          <w:rFonts w:ascii="Arial" w:eastAsia="Arial" w:hAnsi="Arial" w:cs="Arial"/>
          <w:bCs/>
          <w:color w:val="000000"/>
          <w:sz w:val="22"/>
          <w:szCs w:val="22"/>
        </w:rPr>
        <w:t xml:space="preserve">Monto total de la </w:t>
      </w:r>
      <w:r>
        <w:rPr>
          <w:rFonts w:ascii="Arial" w:eastAsia="Arial" w:hAnsi="Arial" w:cs="Arial"/>
          <w:bCs/>
          <w:color w:val="000000"/>
          <w:sz w:val="22"/>
          <w:szCs w:val="22"/>
        </w:rPr>
        <w:t>o</w:t>
      </w:r>
      <w:r w:rsidRPr="00857398">
        <w:rPr>
          <w:rFonts w:ascii="Arial" w:eastAsia="Arial" w:hAnsi="Arial" w:cs="Arial"/>
          <w:bCs/>
          <w:color w:val="000000"/>
          <w:sz w:val="22"/>
          <w:szCs w:val="22"/>
        </w:rPr>
        <w:t xml:space="preserve">peración </w:t>
      </w:r>
    </w:p>
    <w:p w14:paraId="47F43429" w14:textId="6B2F6B48" w:rsidR="009B3357" w:rsidRPr="00857398" w:rsidRDefault="009B3357" w:rsidP="00B337CE">
      <w:pPr>
        <w:numPr>
          <w:ilvl w:val="0"/>
          <w:numId w:val="26"/>
        </w:numPr>
        <w:pBdr>
          <w:top w:val="nil"/>
          <w:left w:val="nil"/>
          <w:bottom w:val="nil"/>
          <w:right w:val="nil"/>
          <w:between w:val="nil"/>
        </w:pBdr>
        <w:jc w:val="both"/>
        <w:rPr>
          <w:rFonts w:ascii="Arial" w:eastAsia="Arial" w:hAnsi="Arial" w:cs="Arial"/>
          <w:bCs/>
          <w:color w:val="000000"/>
          <w:sz w:val="22"/>
          <w:szCs w:val="22"/>
        </w:rPr>
      </w:pPr>
      <w:r w:rsidRPr="00857398">
        <w:rPr>
          <w:rFonts w:ascii="Arial" w:eastAsia="Arial" w:hAnsi="Arial" w:cs="Arial"/>
          <w:bCs/>
          <w:color w:val="000000"/>
          <w:sz w:val="22"/>
          <w:szCs w:val="22"/>
        </w:rPr>
        <w:t xml:space="preserve">Moneda </w:t>
      </w:r>
    </w:p>
    <w:p w14:paraId="7E81D791" w14:textId="777C9C9E" w:rsidR="009B3357" w:rsidRPr="00857398" w:rsidRDefault="009B3357" w:rsidP="00B337CE">
      <w:pPr>
        <w:numPr>
          <w:ilvl w:val="0"/>
          <w:numId w:val="26"/>
        </w:numPr>
        <w:pBdr>
          <w:top w:val="nil"/>
          <w:left w:val="nil"/>
          <w:bottom w:val="nil"/>
          <w:right w:val="nil"/>
          <w:between w:val="nil"/>
        </w:pBdr>
        <w:jc w:val="both"/>
        <w:rPr>
          <w:rFonts w:ascii="Arial" w:eastAsia="Arial" w:hAnsi="Arial" w:cs="Arial"/>
          <w:bCs/>
          <w:color w:val="000000"/>
          <w:sz w:val="22"/>
          <w:szCs w:val="22"/>
        </w:rPr>
      </w:pPr>
      <w:r w:rsidRPr="00857398">
        <w:rPr>
          <w:rFonts w:ascii="Arial" w:eastAsia="Arial" w:hAnsi="Arial" w:cs="Arial"/>
          <w:bCs/>
          <w:color w:val="000000"/>
          <w:sz w:val="22"/>
          <w:szCs w:val="22"/>
        </w:rPr>
        <w:t xml:space="preserve">Monto total garantizado </w:t>
      </w:r>
    </w:p>
    <w:p w14:paraId="5637CB3D" w14:textId="033E9194" w:rsidR="009B3357" w:rsidRPr="00857398" w:rsidRDefault="009B3357" w:rsidP="00B337CE">
      <w:pPr>
        <w:numPr>
          <w:ilvl w:val="0"/>
          <w:numId w:val="26"/>
        </w:numPr>
        <w:pBdr>
          <w:top w:val="nil"/>
          <w:left w:val="nil"/>
          <w:bottom w:val="nil"/>
          <w:right w:val="nil"/>
          <w:between w:val="nil"/>
        </w:pBdr>
        <w:jc w:val="both"/>
        <w:rPr>
          <w:rFonts w:ascii="Arial" w:eastAsia="Arial" w:hAnsi="Arial" w:cs="Arial"/>
          <w:bCs/>
          <w:color w:val="000000"/>
          <w:sz w:val="22"/>
          <w:szCs w:val="22"/>
        </w:rPr>
      </w:pPr>
      <w:r w:rsidRPr="00857398">
        <w:rPr>
          <w:rFonts w:ascii="Arial" w:eastAsia="Arial" w:hAnsi="Arial" w:cs="Arial"/>
          <w:bCs/>
          <w:color w:val="000000"/>
          <w:sz w:val="22"/>
          <w:szCs w:val="22"/>
        </w:rPr>
        <w:t xml:space="preserve">Porcentaje de </w:t>
      </w:r>
      <w:r>
        <w:rPr>
          <w:rFonts w:ascii="Arial" w:eastAsia="Arial" w:hAnsi="Arial" w:cs="Arial"/>
          <w:bCs/>
          <w:color w:val="000000"/>
          <w:sz w:val="22"/>
          <w:szCs w:val="22"/>
        </w:rPr>
        <w:t>c</w:t>
      </w:r>
      <w:r w:rsidRPr="00857398">
        <w:rPr>
          <w:rFonts w:ascii="Arial" w:eastAsia="Arial" w:hAnsi="Arial" w:cs="Arial"/>
          <w:bCs/>
          <w:color w:val="000000"/>
          <w:sz w:val="22"/>
          <w:szCs w:val="22"/>
        </w:rPr>
        <w:t xml:space="preserve">obertura </w:t>
      </w:r>
    </w:p>
    <w:p w14:paraId="357CBCDA" w14:textId="37BF5D33" w:rsidR="009B3357" w:rsidRPr="00857398" w:rsidRDefault="009B3357" w:rsidP="00B337CE">
      <w:pPr>
        <w:numPr>
          <w:ilvl w:val="0"/>
          <w:numId w:val="26"/>
        </w:numPr>
        <w:pBdr>
          <w:top w:val="nil"/>
          <w:left w:val="nil"/>
          <w:bottom w:val="nil"/>
          <w:right w:val="nil"/>
          <w:between w:val="nil"/>
        </w:pBdr>
        <w:jc w:val="both"/>
        <w:rPr>
          <w:rFonts w:ascii="Arial" w:eastAsia="Arial" w:hAnsi="Arial" w:cs="Arial"/>
          <w:bCs/>
          <w:color w:val="000000"/>
          <w:sz w:val="22"/>
          <w:szCs w:val="22"/>
        </w:rPr>
      </w:pPr>
      <w:r w:rsidRPr="00857398">
        <w:rPr>
          <w:rFonts w:ascii="Arial" w:eastAsia="Arial" w:hAnsi="Arial" w:cs="Arial"/>
          <w:bCs/>
          <w:color w:val="000000"/>
          <w:sz w:val="22"/>
          <w:szCs w:val="22"/>
        </w:rPr>
        <w:t xml:space="preserve">Plazo </w:t>
      </w:r>
      <w:r>
        <w:rPr>
          <w:rFonts w:ascii="Arial" w:eastAsia="Arial" w:hAnsi="Arial" w:cs="Arial"/>
          <w:bCs/>
          <w:color w:val="000000"/>
          <w:sz w:val="22"/>
          <w:szCs w:val="22"/>
        </w:rPr>
        <w:t>t</w:t>
      </w:r>
      <w:r w:rsidRPr="00857398">
        <w:rPr>
          <w:rFonts w:ascii="Arial" w:eastAsia="Arial" w:hAnsi="Arial" w:cs="Arial"/>
          <w:bCs/>
          <w:color w:val="000000"/>
          <w:sz w:val="22"/>
          <w:szCs w:val="22"/>
        </w:rPr>
        <w:t xml:space="preserve">otal (en meses) </w:t>
      </w:r>
    </w:p>
    <w:p w14:paraId="0D65BAEF" w14:textId="3C372912" w:rsidR="009B3357" w:rsidRPr="00857398" w:rsidRDefault="009B3357" w:rsidP="00B337CE">
      <w:pPr>
        <w:numPr>
          <w:ilvl w:val="0"/>
          <w:numId w:val="26"/>
        </w:numPr>
        <w:pBdr>
          <w:top w:val="nil"/>
          <w:left w:val="nil"/>
          <w:bottom w:val="nil"/>
          <w:right w:val="nil"/>
          <w:between w:val="nil"/>
        </w:pBdr>
        <w:jc w:val="both"/>
        <w:rPr>
          <w:rFonts w:ascii="Arial" w:eastAsia="Arial" w:hAnsi="Arial" w:cs="Arial"/>
          <w:bCs/>
          <w:color w:val="000000"/>
          <w:sz w:val="22"/>
          <w:szCs w:val="22"/>
        </w:rPr>
      </w:pPr>
      <w:r w:rsidRPr="00857398">
        <w:rPr>
          <w:rFonts w:ascii="Arial" w:eastAsia="Arial" w:hAnsi="Arial" w:cs="Arial"/>
          <w:bCs/>
          <w:color w:val="000000"/>
          <w:sz w:val="22"/>
          <w:szCs w:val="22"/>
        </w:rPr>
        <w:t xml:space="preserve">Tasa de </w:t>
      </w:r>
      <w:r>
        <w:rPr>
          <w:rFonts w:ascii="Arial" w:eastAsia="Arial" w:hAnsi="Arial" w:cs="Arial"/>
          <w:bCs/>
          <w:color w:val="000000"/>
          <w:sz w:val="22"/>
          <w:szCs w:val="22"/>
        </w:rPr>
        <w:t>i</w:t>
      </w:r>
      <w:r w:rsidRPr="00857398">
        <w:rPr>
          <w:rFonts w:ascii="Arial" w:eastAsia="Arial" w:hAnsi="Arial" w:cs="Arial"/>
          <w:bCs/>
          <w:color w:val="000000"/>
          <w:sz w:val="22"/>
          <w:szCs w:val="22"/>
        </w:rPr>
        <w:t xml:space="preserve">nterés </w:t>
      </w:r>
    </w:p>
    <w:p w14:paraId="12C11E18" w14:textId="1470C8B6" w:rsidR="009B3357" w:rsidRPr="00857398" w:rsidRDefault="009B3357" w:rsidP="00B337CE">
      <w:pPr>
        <w:numPr>
          <w:ilvl w:val="0"/>
          <w:numId w:val="26"/>
        </w:numPr>
        <w:pBdr>
          <w:top w:val="nil"/>
          <w:left w:val="nil"/>
          <w:bottom w:val="nil"/>
          <w:right w:val="nil"/>
          <w:between w:val="nil"/>
        </w:pBdr>
        <w:jc w:val="both"/>
        <w:rPr>
          <w:rFonts w:ascii="Arial" w:eastAsia="Arial" w:hAnsi="Arial" w:cs="Arial"/>
          <w:bCs/>
          <w:color w:val="000000"/>
          <w:sz w:val="22"/>
          <w:szCs w:val="22"/>
        </w:rPr>
      </w:pPr>
      <w:r w:rsidRPr="00857398">
        <w:rPr>
          <w:rFonts w:ascii="Arial" w:eastAsia="Arial" w:hAnsi="Arial" w:cs="Arial"/>
          <w:bCs/>
          <w:color w:val="000000"/>
          <w:sz w:val="22"/>
          <w:szCs w:val="22"/>
        </w:rPr>
        <w:t xml:space="preserve">Sistema de </w:t>
      </w:r>
      <w:r>
        <w:rPr>
          <w:rFonts w:ascii="Arial" w:eastAsia="Arial" w:hAnsi="Arial" w:cs="Arial"/>
          <w:bCs/>
          <w:color w:val="000000"/>
          <w:sz w:val="22"/>
          <w:szCs w:val="22"/>
        </w:rPr>
        <w:t>a</w:t>
      </w:r>
      <w:r w:rsidRPr="00857398">
        <w:rPr>
          <w:rFonts w:ascii="Arial" w:eastAsia="Arial" w:hAnsi="Arial" w:cs="Arial"/>
          <w:bCs/>
          <w:color w:val="000000"/>
          <w:sz w:val="22"/>
          <w:szCs w:val="22"/>
        </w:rPr>
        <w:t xml:space="preserve">mortización </w:t>
      </w:r>
    </w:p>
    <w:p w14:paraId="6796A232" w14:textId="737B1CC9" w:rsidR="009B3357" w:rsidRPr="00857398" w:rsidRDefault="009B3357" w:rsidP="00B337CE">
      <w:pPr>
        <w:numPr>
          <w:ilvl w:val="0"/>
          <w:numId w:val="26"/>
        </w:numPr>
        <w:pBdr>
          <w:top w:val="nil"/>
          <w:left w:val="nil"/>
          <w:bottom w:val="nil"/>
          <w:right w:val="nil"/>
          <w:between w:val="nil"/>
        </w:pBdr>
        <w:jc w:val="both"/>
        <w:rPr>
          <w:rFonts w:ascii="Arial" w:eastAsia="Arial" w:hAnsi="Arial" w:cs="Arial"/>
          <w:bCs/>
          <w:color w:val="000000"/>
          <w:sz w:val="22"/>
          <w:szCs w:val="22"/>
        </w:rPr>
      </w:pPr>
      <w:r w:rsidRPr="1024079A">
        <w:rPr>
          <w:rFonts w:ascii="Arial" w:eastAsia="Arial" w:hAnsi="Arial" w:cs="Arial"/>
          <w:color w:val="000000" w:themeColor="text1"/>
          <w:sz w:val="22"/>
          <w:szCs w:val="22"/>
        </w:rPr>
        <w:t xml:space="preserve">Frecuencia de amortización del capital </w:t>
      </w:r>
    </w:p>
    <w:p w14:paraId="68F6315C" w14:textId="550C447A" w:rsidR="00675A09" w:rsidRPr="009B3357" w:rsidRDefault="00675A09" w:rsidP="00B337CE">
      <w:pPr>
        <w:numPr>
          <w:ilvl w:val="0"/>
          <w:numId w:val="26"/>
        </w:numPr>
        <w:pBdr>
          <w:top w:val="nil"/>
          <w:left w:val="nil"/>
          <w:bottom w:val="nil"/>
          <w:right w:val="nil"/>
          <w:between w:val="nil"/>
        </w:pBdr>
        <w:jc w:val="both"/>
        <w:rPr>
          <w:rFonts w:ascii="Arial" w:eastAsia="Arial" w:hAnsi="Arial" w:cs="Arial"/>
          <w:color w:val="000000"/>
          <w:sz w:val="22"/>
          <w:szCs w:val="22"/>
        </w:rPr>
      </w:pPr>
      <w:r w:rsidRPr="00B337CE">
        <w:rPr>
          <w:rFonts w:ascii="Arial" w:eastAsia="Arial" w:hAnsi="Arial" w:cs="Arial"/>
          <w:color w:val="000000"/>
          <w:sz w:val="22"/>
          <w:szCs w:val="22"/>
        </w:rPr>
        <w:t>Destino de la operación</w:t>
      </w:r>
      <w:r w:rsidRPr="009B3357">
        <w:rPr>
          <w:rFonts w:ascii="Arial" w:eastAsia="Arial" w:hAnsi="Arial" w:cs="Arial"/>
          <w:color w:val="000000"/>
          <w:sz w:val="22"/>
          <w:szCs w:val="22"/>
        </w:rPr>
        <w:t xml:space="preserve"> </w:t>
      </w:r>
    </w:p>
    <w:p w14:paraId="47D09174" w14:textId="77777777" w:rsidR="00675A09" w:rsidRDefault="00675A09" w:rsidP="00675A09">
      <w:pPr>
        <w:widowControl w:val="0"/>
        <w:pBdr>
          <w:top w:val="nil"/>
          <w:left w:val="nil"/>
          <w:bottom w:val="nil"/>
          <w:right w:val="nil"/>
          <w:between w:val="nil"/>
        </w:pBdr>
        <w:tabs>
          <w:tab w:val="left" w:pos="1291"/>
        </w:tabs>
        <w:ind w:left="720" w:right="-8"/>
        <w:jc w:val="both"/>
        <w:rPr>
          <w:rFonts w:ascii="Arial" w:eastAsia="Arial" w:hAnsi="Arial" w:cs="Arial"/>
          <w:color w:val="000000"/>
          <w:sz w:val="22"/>
          <w:szCs w:val="22"/>
        </w:rPr>
      </w:pPr>
    </w:p>
    <w:p w14:paraId="2768F2B9" w14:textId="77777777" w:rsidR="00675A09" w:rsidRPr="00B337CE" w:rsidRDefault="00675A09" w:rsidP="00B337CE">
      <w:pPr>
        <w:pStyle w:val="ListParagraph"/>
        <w:widowControl w:val="0"/>
        <w:numPr>
          <w:ilvl w:val="1"/>
          <w:numId w:val="11"/>
        </w:numPr>
        <w:tabs>
          <w:tab w:val="left" w:pos="705"/>
        </w:tabs>
        <w:ind w:left="901" w:right="-6" w:hanging="544"/>
        <w:jc w:val="both"/>
        <w:rPr>
          <w:rFonts w:ascii="Arial" w:eastAsia="Arial" w:hAnsi="Arial" w:cs="Arial"/>
          <w:color w:val="000000"/>
          <w:sz w:val="22"/>
          <w:szCs w:val="22"/>
        </w:rPr>
      </w:pPr>
      <w:r w:rsidRPr="00B337CE">
        <w:rPr>
          <w:rFonts w:ascii="Arial" w:eastAsia="Arial" w:hAnsi="Arial" w:cs="Arial"/>
          <w:color w:val="000000"/>
          <w:sz w:val="22"/>
          <w:szCs w:val="22"/>
        </w:rPr>
        <w:t xml:space="preserve">El FOGAR podrá solicitar la rectificación en caso de inconsistencia en la información, o proceder a la baja, una vez notificada la Entidad de la inconsistencia o bien cuando no cumpla los términos y condiciones del convenio, dejando sin efecto la garantía. </w:t>
      </w:r>
    </w:p>
    <w:p w14:paraId="0034660C" w14:textId="77777777" w:rsidR="00675A09" w:rsidRPr="00B337CE" w:rsidRDefault="00675A09" w:rsidP="00B337CE">
      <w:pPr>
        <w:pStyle w:val="ListParagraph"/>
        <w:widowControl w:val="0"/>
        <w:tabs>
          <w:tab w:val="left" w:pos="705"/>
        </w:tabs>
        <w:ind w:left="901" w:right="-6"/>
        <w:jc w:val="both"/>
        <w:rPr>
          <w:rFonts w:ascii="Arial" w:eastAsia="Arial" w:hAnsi="Arial" w:cs="Arial"/>
          <w:b/>
          <w:bCs/>
          <w:color w:val="000000"/>
          <w:sz w:val="22"/>
          <w:szCs w:val="22"/>
        </w:rPr>
      </w:pPr>
    </w:p>
    <w:p w14:paraId="0544ECFA" w14:textId="12760E78" w:rsidR="00675A09" w:rsidRPr="00B337CE" w:rsidRDefault="00675A09" w:rsidP="00B337CE">
      <w:pPr>
        <w:pStyle w:val="ListParagraph"/>
        <w:widowControl w:val="0"/>
        <w:numPr>
          <w:ilvl w:val="1"/>
          <w:numId w:val="11"/>
        </w:numPr>
        <w:tabs>
          <w:tab w:val="left" w:pos="705"/>
        </w:tabs>
        <w:ind w:left="901" w:right="-6" w:hanging="544"/>
        <w:jc w:val="both"/>
        <w:rPr>
          <w:rFonts w:ascii="Arial" w:eastAsia="Arial" w:hAnsi="Arial" w:cs="Arial"/>
          <w:sz w:val="22"/>
          <w:szCs w:val="22"/>
        </w:rPr>
      </w:pPr>
      <w:r w:rsidRPr="00B337CE">
        <w:rPr>
          <w:rFonts w:ascii="Arial" w:eastAsia="Arial" w:hAnsi="Arial" w:cs="Arial"/>
          <w:b/>
          <w:bCs/>
          <w:color w:val="000000"/>
          <w:sz w:val="22"/>
          <w:szCs w:val="22"/>
        </w:rPr>
        <w:t>Régimen informativo mensual</w:t>
      </w:r>
      <w:r w:rsidR="009B3357" w:rsidRPr="00B337CE">
        <w:rPr>
          <w:rFonts w:ascii="Arial" w:eastAsia="Arial" w:hAnsi="Arial" w:cs="Arial"/>
          <w:b/>
          <w:bCs/>
          <w:color w:val="000000"/>
          <w:sz w:val="22"/>
          <w:szCs w:val="22"/>
        </w:rPr>
        <w:t>.</w:t>
      </w:r>
      <w:r w:rsidRPr="00B337CE">
        <w:rPr>
          <w:rFonts w:ascii="Arial" w:eastAsia="Arial" w:hAnsi="Arial" w:cs="Arial"/>
          <w:b/>
          <w:bCs/>
          <w:color w:val="000000"/>
          <w:sz w:val="22"/>
          <w:szCs w:val="22"/>
        </w:rPr>
        <w:t xml:space="preserve"> </w:t>
      </w:r>
      <w:r w:rsidRPr="00B337CE">
        <w:rPr>
          <w:rFonts w:ascii="Arial" w:eastAsia="Arial" w:hAnsi="Arial" w:cs="Arial"/>
          <w:sz w:val="22"/>
          <w:szCs w:val="22"/>
        </w:rPr>
        <w:t xml:space="preserve">La IFI/SGR deberá informar mensualmente entre los días uno (1) y quince (15) de cada mes en el Sistema </w:t>
      </w:r>
      <w:proofErr w:type="spellStart"/>
      <w:r w:rsidRPr="00B337CE">
        <w:rPr>
          <w:rFonts w:ascii="Arial" w:eastAsia="Arial" w:hAnsi="Arial" w:cs="Arial"/>
          <w:sz w:val="22"/>
          <w:szCs w:val="22"/>
        </w:rPr>
        <w:t>FogarNet</w:t>
      </w:r>
      <w:proofErr w:type="spellEnd"/>
      <w:r w:rsidRPr="00B337CE">
        <w:rPr>
          <w:rFonts w:ascii="Arial" w:eastAsia="Arial" w:hAnsi="Arial" w:cs="Arial"/>
          <w:sz w:val="22"/>
          <w:szCs w:val="22"/>
        </w:rPr>
        <w:t xml:space="preserve">, con carácter de declaración jurada, el saldo de las operaciones y el estado de cumplimiento del beneficiario. La misma contendrá los siguientes datos: </w:t>
      </w:r>
    </w:p>
    <w:p w14:paraId="4043DA62" w14:textId="77777777" w:rsidR="00675A09" w:rsidRDefault="00675A09" w:rsidP="00F62FC1">
      <w:pPr>
        <w:widowControl w:val="0"/>
        <w:pBdr>
          <w:top w:val="nil"/>
          <w:left w:val="nil"/>
          <w:bottom w:val="nil"/>
          <w:right w:val="nil"/>
          <w:between w:val="nil"/>
        </w:pBdr>
        <w:tabs>
          <w:tab w:val="left" w:pos="1291"/>
        </w:tabs>
        <w:ind w:left="720" w:right="-8" w:firstLine="273"/>
        <w:jc w:val="both"/>
        <w:rPr>
          <w:rFonts w:ascii="Arial" w:eastAsia="Arial" w:hAnsi="Arial" w:cs="Arial"/>
          <w:color w:val="000000"/>
          <w:sz w:val="22"/>
          <w:szCs w:val="22"/>
        </w:rPr>
      </w:pPr>
    </w:p>
    <w:p w14:paraId="061DB7D9" w14:textId="1D050BE7" w:rsidR="00675A09" w:rsidRPr="00BD3BD4" w:rsidRDefault="00675A09" w:rsidP="00B337CE">
      <w:pPr>
        <w:numPr>
          <w:ilvl w:val="0"/>
          <w:numId w:val="27"/>
        </w:numPr>
        <w:pBdr>
          <w:top w:val="nil"/>
          <w:left w:val="nil"/>
          <w:bottom w:val="nil"/>
          <w:right w:val="nil"/>
          <w:between w:val="nil"/>
        </w:pBdr>
        <w:jc w:val="both"/>
        <w:rPr>
          <w:rFonts w:ascii="Arial" w:eastAsia="Arial" w:hAnsi="Arial" w:cs="Arial"/>
          <w:color w:val="000000"/>
          <w:sz w:val="22"/>
          <w:szCs w:val="22"/>
        </w:rPr>
      </w:pPr>
      <w:r w:rsidRPr="00B337CE">
        <w:rPr>
          <w:rFonts w:ascii="Arial" w:eastAsia="Arial" w:hAnsi="Arial" w:cs="Arial"/>
          <w:bCs/>
          <w:color w:val="000000"/>
          <w:sz w:val="22"/>
          <w:szCs w:val="22"/>
        </w:rPr>
        <w:t>Período</w:t>
      </w:r>
      <w:r w:rsidRPr="00BD3BD4">
        <w:rPr>
          <w:rFonts w:ascii="Arial" w:eastAsia="Arial" w:hAnsi="Arial" w:cs="Arial"/>
          <w:color w:val="000000"/>
          <w:sz w:val="22"/>
          <w:szCs w:val="22"/>
        </w:rPr>
        <w:t xml:space="preserve"> </w:t>
      </w:r>
    </w:p>
    <w:p w14:paraId="3D22B5EE" w14:textId="39DCB38D" w:rsidR="00675A09" w:rsidRPr="00404570" w:rsidRDefault="00675A09" w:rsidP="00B337CE">
      <w:pPr>
        <w:numPr>
          <w:ilvl w:val="0"/>
          <w:numId w:val="27"/>
        </w:numPr>
        <w:pBdr>
          <w:top w:val="nil"/>
          <w:left w:val="nil"/>
          <w:bottom w:val="nil"/>
          <w:right w:val="nil"/>
          <w:between w:val="nil"/>
        </w:pBdr>
        <w:jc w:val="both"/>
        <w:rPr>
          <w:rFonts w:ascii="Arial" w:eastAsia="Arial" w:hAnsi="Arial" w:cs="Arial"/>
          <w:color w:val="000000"/>
          <w:sz w:val="22"/>
          <w:szCs w:val="22"/>
        </w:rPr>
      </w:pPr>
      <w:r w:rsidRPr="00191A3D">
        <w:rPr>
          <w:rFonts w:ascii="Arial" w:eastAsia="Arial" w:hAnsi="Arial" w:cs="Arial"/>
          <w:color w:val="000000"/>
          <w:sz w:val="22"/>
          <w:szCs w:val="22"/>
        </w:rPr>
        <w:t>Número de la Operación</w:t>
      </w:r>
      <w:r w:rsidRPr="00612DF9">
        <w:rPr>
          <w:rFonts w:ascii="Arial" w:eastAsia="Arial" w:hAnsi="Arial" w:cs="Arial"/>
          <w:color w:val="000000"/>
          <w:sz w:val="22"/>
          <w:szCs w:val="22"/>
        </w:rPr>
        <w:t xml:space="preserve"> </w:t>
      </w:r>
    </w:p>
    <w:p w14:paraId="77AA4AD7" w14:textId="6D3B6FEE" w:rsidR="00675A09" w:rsidRPr="000C5E68" w:rsidRDefault="00675A09" w:rsidP="00B337CE">
      <w:pPr>
        <w:numPr>
          <w:ilvl w:val="0"/>
          <w:numId w:val="27"/>
        </w:numPr>
        <w:pBdr>
          <w:top w:val="nil"/>
          <w:left w:val="nil"/>
          <w:bottom w:val="nil"/>
          <w:right w:val="nil"/>
          <w:between w:val="nil"/>
        </w:pBdr>
        <w:jc w:val="both"/>
        <w:rPr>
          <w:rFonts w:ascii="Arial" w:eastAsia="Arial" w:hAnsi="Arial" w:cs="Arial"/>
          <w:color w:val="000000"/>
          <w:sz w:val="22"/>
          <w:szCs w:val="22"/>
        </w:rPr>
      </w:pPr>
      <w:r w:rsidRPr="00E105BC">
        <w:rPr>
          <w:rFonts w:ascii="Arial" w:eastAsia="Arial" w:hAnsi="Arial" w:cs="Arial"/>
          <w:color w:val="000000"/>
          <w:sz w:val="22"/>
          <w:szCs w:val="22"/>
        </w:rPr>
        <w:t>Número de la garantía/reafianzamiento</w:t>
      </w:r>
    </w:p>
    <w:p w14:paraId="5B062313" w14:textId="28F2886C" w:rsidR="00675A09" w:rsidRPr="007C05D6" w:rsidRDefault="00675A09" w:rsidP="00B337CE">
      <w:pPr>
        <w:numPr>
          <w:ilvl w:val="0"/>
          <w:numId w:val="27"/>
        </w:numPr>
        <w:pBdr>
          <w:top w:val="nil"/>
          <w:left w:val="nil"/>
          <w:bottom w:val="nil"/>
          <w:right w:val="nil"/>
          <w:between w:val="nil"/>
        </w:pBdr>
        <w:jc w:val="both"/>
        <w:rPr>
          <w:rFonts w:ascii="Arial" w:eastAsia="Arial" w:hAnsi="Arial" w:cs="Arial"/>
          <w:color w:val="000000"/>
          <w:sz w:val="22"/>
          <w:szCs w:val="22"/>
        </w:rPr>
      </w:pPr>
      <w:r w:rsidRPr="000E1A36">
        <w:rPr>
          <w:rFonts w:ascii="Arial" w:eastAsia="Arial" w:hAnsi="Arial" w:cs="Arial"/>
          <w:bCs/>
          <w:color w:val="000000"/>
          <w:sz w:val="22"/>
          <w:szCs w:val="22"/>
        </w:rPr>
        <w:t>Saldo adeudado</w:t>
      </w:r>
      <w:r w:rsidRPr="007C05D6">
        <w:rPr>
          <w:rFonts w:ascii="Arial" w:eastAsia="Arial" w:hAnsi="Arial" w:cs="Arial"/>
          <w:color w:val="000000"/>
          <w:sz w:val="22"/>
          <w:szCs w:val="22"/>
        </w:rPr>
        <w:t xml:space="preserve"> </w:t>
      </w:r>
    </w:p>
    <w:p w14:paraId="157C6B3E" w14:textId="6F202A95" w:rsidR="00675A09" w:rsidRPr="007C05D6" w:rsidRDefault="00675A09" w:rsidP="00B337CE">
      <w:pPr>
        <w:numPr>
          <w:ilvl w:val="0"/>
          <w:numId w:val="27"/>
        </w:numPr>
        <w:pBdr>
          <w:top w:val="nil"/>
          <w:left w:val="nil"/>
          <w:bottom w:val="nil"/>
          <w:right w:val="nil"/>
          <w:between w:val="nil"/>
        </w:pBdr>
        <w:jc w:val="both"/>
        <w:rPr>
          <w:rFonts w:ascii="Arial" w:eastAsia="Arial" w:hAnsi="Arial" w:cs="Arial"/>
          <w:color w:val="000000"/>
          <w:sz w:val="22"/>
          <w:szCs w:val="22"/>
        </w:rPr>
      </w:pPr>
      <w:r w:rsidRPr="007C05D6">
        <w:rPr>
          <w:rFonts w:ascii="Arial" w:eastAsia="Arial" w:hAnsi="Arial" w:cs="Arial"/>
          <w:color w:val="000000"/>
          <w:sz w:val="22"/>
          <w:szCs w:val="22"/>
        </w:rPr>
        <w:t xml:space="preserve">Saldo vencido </w:t>
      </w:r>
    </w:p>
    <w:p w14:paraId="612AED1B" w14:textId="09681B1D" w:rsidR="00675A09" w:rsidRPr="007C05D6" w:rsidRDefault="00675A09" w:rsidP="00B337CE">
      <w:pPr>
        <w:numPr>
          <w:ilvl w:val="0"/>
          <w:numId w:val="27"/>
        </w:numPr>
        <w:pBdr>
          <w:top w:val="nil"/>
          <w:left w:val="nil"/>
          <w:bottom w:val="nil"/>
          <w:right w:val="nil"/>
          <w:between w:val="nil"/>
        </w:pBdr>
        <w:jc w:val="both"/>
        <w:rPr>
          <w:rFonts w:ascii="Arial" w:eastAsia="Arial" w:hAnsi="Arial" w:cs="Arial"/>
          <w:color w:val="000000"/>
          <w:sz w:val="22"/>
          <w:szCs w:val="22"/>
        </w:rPr>
      </w:pPr>
      <w:r w:rsidRPr="007C05D6">
        <w:rPr>
          <w:rFonts w:ascii="Arial" w:eastAsia="Arial" w:hAnsi="Arial" w:cs="Arial"/>
          <w:color w:val="000000"/>
          <w:sz w:val="22"/>
          <w:szCs w:val="22"/>
        </w:rPr>
        <w:t xml:space="preserve">Días de mora </w:t>
      </w:r>
    </w:p>
    <w:p w14:paraId="46D71EDE" w14:textId="5CDAE671" w:rsidR="00675A09" w:rsidRPr="00B337CE" w:rsidRDefault="00675A09" w:rsidP="00B337CE">
      <w:pPr>
        <w:numPr>
          <w:ilvl w:val="0"/>
          <w:numId w:val="27"/>
        </w:numPr>
        <w:pBdr>
          <w:top w:val="nil"/>
          <w:left w:val="nil"/>
          <w:bottom w:val="nil"/>
          <w:right w:val="nil"/>
          <w:between w:val="nil"/>
        </w:pBdr>
        <w:jc w:val="both"/>
        <w:rPr>
          <w:rFonts w:ascii="Arial" w:eastAsia="Arial" w:hAnsi="Arial" w:cs="Arial"/>
          <w:bCs/>
          <w:color w:val="000000"/>
          <w:sz w:val="22"/>
          <w:szCs w:val="22"/>
        </w:rPr>
      </w:pPr>
      <w:r w:rsidRPr="007C05D6">
        <w:rPr>
          <w:rFonts w:ascii="Arial" w:eastAsia="Arial" w:hAnsi="Arial" w:cs="Arial"/>
          <w:color w:val="000000"/>
          <w:sz w:val="22"/>
          <w:szCs w:val="22"/>
        </w:rPr>
        <w:t xml:space="preserve">Observaciones de la </w:t>
      </w:r>
      <w:r w:rsidR="00152209">
        <w:rPr>
          <w:rFonts w:ascii="Arial" w:eastAsia="Arial" w:hAnsi="Arial" w:cs="Arial"/>
          <w:bCs/>
          <w:color w:val="000000"/>
          <w:sz w:val="22"/>
          <w:szCs w:val="22"/>
        </w:rPr>
        <w:t>e</w:t>
      </w:r>
      <w:r w:rsidRPr="00B337CE">
        <w:rPr>
          <w:rFonts w:ascii="Arial" w:eastAsia="Arial" w:hAnsi="Arial" w:cs="Arial"/>
          <w:bCs/>
          <w:color w:val="000000"/>
          <w:sz w:val="22"/>
          <w:szCs w:val="22"/>
        </w:rPr>
        <w:t xml:space="preserve">ntidad </w:t>
      </w:r>
    </w:p>
    <w:p w14:paraId="45C8005E" w14:textId="77777777" w:rsidR="00675A09" w:rsidRDefault="00675A09" w:rsidP="00675A09">
      <w:pPr>
        <w:widowControl w:val="0"/>
        <w:tabs>
          <w:tab w:val="left" w:pos="1291"/>
        </w:tabs>
        <w:ind w:left="720" w:right="-8"/>
        <w:jc w:val="both"/>
        <w:rPr>
          <w:rFonts w:ascii="Arial" w:eastAsia="Arial" w:hAnsi="Arial" w:cs="Arial"/>
          <w:color w:val="000000"/>
          <w:sz w:val="22"/>
          <w:szCs w:val="22"/>
        </w:rPr>
      </w:pPr>
    </w:p>
    <w:p w14:paraId="5038BEE4" w14:textId="61C59158" w:rsidR="00675A09" w:rsidRDefault="00675A09" w:rsidP="00B337CE">
      <w:pPr>
        <w:pStyle w:val="ListParagraph"/>
        <w:widowControl w:val="0"/>
        <w:numPr>
          <w:ilvl w:val="1"/>
          <w:numId w:val="11"/>
        </w:numPr>
        <w:tabs>
          <w:tab w:val="left" w:pos="705"/>
        </w:tabs>
        <w:ind w:left="901" w:right="-6" w:hanging="544"/>
        <w:jc w:val="both"/>
        <w:rPr>
          <w:rFonts w:ascii="Arial" w:eastAsia="Arial" w:hAnsi="Arial" w:cs="Arial"/>
          <w:color w:val="000000"/>
          <w:sz w:val="22"/>
          <w:szCs w:val="22"/>
        </w:rPr>
      </w:pPr>
      <w:r w:rsidRPr="00B337CE">
        <w:rPr>
          <w:rFonts w:ascii="Arial" w:eastAsia="Arial" w:hAnsi="Arial" w:cs="Arial"/>
          <w:b/>
          <w:bCs/>
          <w:color w:val="000000"/>
          <w:sz w:val="22"/>
          <w:szCs w:val="22"/>
        </w:rPr>
        <w:t>Pago mensual de comisiones a</w:t>
      </w:r>
      <w:r w:rsidR="00152209">
        <w:rPr>
          <w:rFonts w:ascii="Arial" w:eastAsia="Arial" w:hAnsi="Arial" w:cs="Arial"/>
          <w:b/>
          <w:bCs/>
          <w:color w:val="000000"/>
          <w:sz w:val="22"/>
          <w:szCs w:val="22"/>
        </w:rPr>
        <w:t>l</w:t>
      </w:r>
      <w:r w:rsidRPr="00B337CE">
        <w:rPr>
          <w:rFonts w:ascii="Arial" w:eastAsia="Arial" w:hAnsi="Arial" w:cs="Arial"/>
          <w:b/>
          <w:bCs/>
          <w:color w:val="000000"/>
          <w:sz w:val="22"/>
          <w:szCs w:val="22"/>
        </w:rPr>
        <w:t xml:space="preserve"> FOGAR por operaciones dadas de alta</w:t>
      </w:r>
      <w:r w:rsidR="00152209" w:rsidRPr="00B337CE">
        <w:rPr>
          <w:rFonts w:ascii="Arial" w:eastAsia="Arial" w:hAnsi="Arial" w:cs="Arial"/>
          <w:b/>
          <w:bCs/>
          <w:color w:val="000000"/>
          <w:sz w:val="22"/>
          <w:szCs w:val="22"/>
        </w:rPr>
        <w:t>.</w:t>
      </w:r>
      <w:r w:rsidRPr="00B337CE">
        <w:rPr>
          <w:rFonts w:ascii="Arial" w:eastAsia="Arial" w:hAnsi="Arial" w:cs="Arial"/>
          <w:b/>
          <w:bCs/>
          <w:color w:val="000000"/>
          <w:sz w:val="22"/>
          <w:szCs w:val="22"/>
        </w:rPr>
        <w:t xml:space="preserve"> </w:t>
      </w:r>
      <w:r>
        <w:rPr>
          <w:rFonts w:ascii="Arial" w:eastAsia="Arial" w:hAnsi="Arial" w:cs="Arial"/>
          <w:color w:val="000000"/>
          <w:sz w:val="22"/>
          <w:szCs w:val="22"/>
        </w:rPr>
        <w:t xml:space="preserve">El FOGAR percibirá una comisión por el monto garantizado en cada operación. Dentro de los primeros cinco (5) días hábiles de cada mes calendario, </w:t>
      </w:r>
      <w:r w:rsidR="00152209">
        <w:rPr>
          <w:rFonts w:ascii="Arial" w:eastAsia="Arial" w:hAnsi="Arial" w:cs="Arial"/>
          <w:color w:val="000000"/>
          <w:sz w:val="22"/>
          <w:szCs w:val="22"/>
        </w:rPr>
        <w:t xml:space="preserve">el fiduciario </w:t>
      </w:r>
      <w:r>
        <w:rPr>
          <w:rFonts w:ascii="Arial" w:eastAsia="Arial" w:hAnsi="Arial" w:cs="Arial"/>
          <w:color w:val="000000"/>
          <w:sz w:val="22"/>
          <w:szCs w:val="22"/>
        </w:rPr>
        <w:t xml:space="preserve">remitirá un correo electrónico a la entidad con la liquidación definitiva de acuerdo </w:t>
      </w:r>
      <w:r w:rsidR="00152209">
        <w:rPr>
          <w:rFonts w:ascii="Arial" w:eastAsia="Arial" w:hAnsi="Arial" w:cs="Arial"/>
          <w:color w:val="000000"/>
          <w:sz w:val="22"/>
          <w:szCs w:val="22"/>
        </w:rPr>
        <w:t>con</w:t>
      </w:r>
      <w:r>
        <w:rPr>
          <w:rFonts w:ascii="Arial" w:eastAsia="Arial" w:hAnsi="Arial" w:cs="Arial"/>
          <w:color w:val="000000"/>
          <w:sz w:val="22"/>
          <w:szCs w:val="22"/>
        </w:rPr>
        <w:t xml:space="preserve"> las operaciones informadas durante el mes inmediato anterior. La </w:t>
      </w:r>
      <w:r w:rsidR="00152209">
        <w:rPr>
          <w:rFonts w:ascii="Arial" w:eastAsia="Arial" w:hAnsi="Arial" w:cs="Arial"/>
          <w:color w:val="000000"/>
          <w:sz w:val="22"/>
          <w:szCs w:val="22"/>
        </w:rPr>
        <w:t>e</w:t>
      </w:r>
      <w:r>
        <w:rPr>
          <w:rFonts w:ascii="Arial" w:eastAsia="Arial" w:hAnsi="Arial" w:cs="Arial"/>
          <w:color w:val="000000"/>
          <w:sz w:val="22"/>
          <w:szCs w:val="22"/>
        </w:rPr>
        <w:t xml:space="preserve">ntidad deberá abonar el total de las Comisiones informadas por </w:t>
      </w:r>
      <w:r w:rsidR="00152209">
        <w:rPr>
          <w:rFonts w:ascii="Arial" w:eastAsia="Arial" w:hAnsi="Arial" w:cs="Arial"/>
          <w:color w:val="000000"/>
          <w:sz w:val="22"/>
          <w:szCs w:val="22"/>
        </w:rPr>
        <w:t xml:space="preserve">el fiduciario </w:t>
      </w:r>
      <w:r>
        <w:rPr>
          <w:rFonts w:ascii="Arial" w:eastAsia="Arial" w:hAnsi="Arial" w:cs="Arial"/>
          <w:color w:val="000000"/>
          <w:sz w:val="22"/>
          <w:szCs w:val="22"/>
        </w:rPr>
        <w:t xml:space="preserve">dentro de los treinta (30) días corridos. </w:t>
      </w:r>
    </w:p>
    <w:p w14:paraId="2BFFFE75" w14:textId="77777777" w:rsidR="00675A09" w:rsidRDefault="00675A09" w:rsidP="00675A09">
      <w:pPr>
        <w:widowControl w:val="0"/>
        <w:tabs>
          <w:tab w:val="left" w:pos="1291"/>
        </w:tabs>
        <w:ind w:left="720" w:right="-8"/>
        <w:jc w:val="both"/>
        <w:rPr>
          <w:rFonts w:ascii="Arial" w:eastAsia="Arial" w:hAnsi="Arial" w:cs="Arial"/>
          <w:color w:val="000000"/>
          <w:sz w:val="22"/>
          <w:szCs w:val="22"/>
        </w:rPr>
      </w:pPr>
    </w:p>
    <w:p w14:paraId="1A7BA58E" w14:textId="56D56452" w:rsidR="00152209" w:rsidRDefault="00675A09" w:rsidP="00152209">
      <w:pPr>
        <w:pStyle w:val="ListParagraph"/>
        <w:widowControl w:val="0"/>
        <w:numPr>
          <w:ilvl w:val="1"/>
          <w:numId w:val="11"/>
        </w:numPr>
        <w:tabs>
          <w:tab w:val="left" w:pos="705"/>
        </w:tabs>
        <w:ind w:left="901" w:right="-6" w:hanging="544"/>
        <w:jc w:val="both"/>
        <w:rPr>
          <w:rFonts w:ascii="Arial" w:eastAsia="Arial" w:hAnsi="Arial" w:cs="Arial"/>
          <w:color w:val="000000"/>
          <w:sz w:val="22"/>
          <w:szCs w:val="22"/>
        </w:rPr>
      </w:pPr>
      <w:r w:rsidRPr="00B337CE">
        <w:rPr>
          <w:rFonts w:ascii="Arial" w:eastAsia="Arial" w:hAnsi="Arial" w:cs="Arial"/>
          <w:b/>
          <w:bCs/>
          <w:color w:val="000000"/>
          <w:sz w:val="22"/>
          <w:szCs w:val="22"/>
        </w:rPr>
        <w:t>Solicitud de pago a</w:t>
      </w:r>
      <w:r w:rsidR="00152209">
        <w:rPr>
          <w:rFonts w:ascii="Arial" w:eastAsia="Arial" w:hAnsi="Arial" w:cs="Arial"/>
          <w:b/>
          <w:bCs/>
          <w:color w:val="000000"/>
          <w:sz w:val="22"/>
          <w:szCs w:val="22"/>
        </w:rPr>
        <w:t>l</w:t>
      </w:r>
      <w:r w:rsidRPr="00B337CE">
        <w:rPr>
          <w:rFonts w:ascii="Arial" w:eastAsia="Arial" w:hAnsi="Arial" w:cs="Arial"/>
          <w:b/>
          <w:bCs/>
          <w:color w:val="000000"/>
          <w:sz w:val="22"/>
          <w:szCs w:val="22"/>
        </w:rPr>
        <w:t xml:space="preserve"> FOGAR.</w:t>
      </w:r>
      <w:r>
        <w:rPr>
          <w:rFonts w:ascii="Arial" w:eastAsia="Arial" w:hAnsi="Arial" w:cs="Arial"/>
          <w:color w:val="000000"/>
          <w:sz w:val="22"/>
          <w:szCs w:val="22"/>
        </w:rPr>
        <w:t xml:space="preserve"> Procedimiento ante el incumplimiento de los </w:t>
      </w:r>
      <w:r>
        <w:rPr>
          <w:rFonts w:ascii="Arial" w:eastAsia="Arial" w:hAnsi="Arial" w:cs="Arial"/>
          <w:color w:val="000000"/>
          <w:sz w:val="22"/>
          <w:szCs w:val="22"/>
        </w:rPr>
        <w:lastRenderedPageBreak/>
        <w:t>beneficiarios</w:t>
      </w:r>
      <w:r w:rsidR="00152209">
        <w:rPr>
          <w:rFonts w:ascii="Arial" w:eastAsia="Arial" w:hAnsi="Arial" w:cs="Arial"/>
          <w:color w:val="000000"/>
          <w:sz w:val="22"/>
          <w:szCs w:val="22"/>
        </w:rPr>
        <w:t xml:space="preserve">. </w:t>
      </w:r>
      <w:r w:rsidRPr="1024079A">
        <w:rPr>
          <w:rFonts w:ascii="Arial" w:eastAsia="Arial" w:hAnsi="Arial" w:cs="Arial"/>
          <w:color w:val="000000" w:themeColor="text1"/>
          <w:sz w:val="22"/>
          <w:szCs w:val="22"/>
        </w:rPr>
        <w:t xml:space="preserve">La IFI/SGR deberá remitir a BFSA la solicitud del pago de la garantía, previa notificación de la mora de la operación en el sistema </w:t>
      </w:r>
      <w:proofErr w:type="spellStart"/>
      <w:r w:rsidRPr="1024079A">
        <w:rPr>
          <w:rFonts w:ascii="Arial" w:eastAsia="Arial" w:hAnsi="Arial" w:cs="Arial"/>
          <w:color w:val="000000" w:themeColor="text1"/>
          <w:sz w:val="22"/>
          <w:szCs w:val="22"/>
        </w:rPr>
        <w:t>FogarNet</w:t>
      </w:r>
      <w:proofErr w:type="spellEnd"/>
      <w:r w:rsidRPr="1024079A">
        <w:rPr>
          <w:rFonts w:ascii="Arial" w:eastAsia="Arial" w:hAnsi="Arial" w:cs="Arial"/>
          <w:color w:val="000000" w:themeColor="text1"/>
          <w:sz w:val="22"/>
          <w:szCs w:val="22"/>
        </w:rPr>
        <w:t>, dentro del plazo establecido en el convenio según las características de la operación. Dicha solicitud deberá contener: saldo de capital impago, importe reclamado a</w:t>
      </w:r>
      <w:r w:rsidR="00152209" w:rsidRPr="1024079A">
        <w:rPr>
          <w:rFonts w:ascii="Arial" w:eastAsia="Arial" w:hAnsi="Arial" w:cs="Arial"/>
          <w:color w:val="000000" w:themeColor="text1"/>
          <w:sz w:val="22"/>
          <w:szCs w:val="22"/>
        </w:rPr>
        <w:t>l</w:t>
      </w:r>
      <w:r w:rsidRPr="1024079A">
        <w:rPr>
          <w:rFonts w:ascii="Arial" w:eastAsia="Arial" w:hAnsi="Arial" w:cs="Arial"/>
          <w:color w:val="000000" w:themeColor="text1"/>
          <w:sz w:val="22"/>
          <w:szCs w:val="22"/>
        </w:rPr>
        <w:t xml:space="preserve"> FOGAR, constancias de intimaciones debidamente notificadas, gestiones de recupero realizadas, copia de contragarantía vigente, etc.</w:t>
      </w:r>
    </w:p>
    <w:p w14:paraId="5167ED3A" w14:textId="77777777" w:rsidR="00152209" w:rsidRPr="00B337CE" w:rsidRDefault="00152209" w:rsidP="00B337CE">
      <w:pPr>
        <w:pStyle w:val="ListParagraph"/>
        <w:widowControl w:val="0"/>
        <w:tabs>
          <w:tab w:val="left" w:pos="705"/>
        </w:tabs>
        <w:ind w:left="901" w:right="-6"/>
        <w:jc w:val="both"/>
        <w:rPr>
          <w:rFonts w:ascii="Arial" w:eastAsia="Arial" w:hAnsi="Arial" w:cs="Arial"/>
          <w:color w:val="000000"/>
          <w:sz w:val="22"/>
          <w:szCs w:val="22"/>
        </w:rPr>
      </w:pPr>
    </w:p>
    <w:p w14:paraId="335BAF83" w14:textId="7269CDA2" w:rsidR="00675A09" w:rsidRPr="005831BC" w:rsidRDefault="00675A09" w:rsidP="005831BC">
      <w:pPr>
        <w:pStyle w:val="ListParagraph"/>
        <w:widowControl w:val="0"/>
        <w:numPr>
          <w:ilvl w:val="1"/>
          <w:numId w:val="11"/>
        </w:numPr>
        <w:tabs>
          <w:tab w:val="left" w:pos="705"/>
        </w:tabs>
        <w:ind w:left="901" w:right="-6" w:hanging="544"/>
        <w:jc w:val="both"/>
        <w:rPr>
          <w:rFonts w:ascii="Arial" w:eastAsia="Arial" w:hAnsi="Arial" w:cs="Arial"/>
          <w:sz w:val="22"/>
          <w:szCs w:val="22"/>
        </w:rPr>
      </w:pPr>
      <w:r w:rsidRPr="005831BC">
        <w:rPr>
          <w:rFonts w:ascii="Arial" w:eastAsia="Arial" w:hAnsi="Arial" w:cs="Arial"/>
          <w:sz w:val="22"/>
          <w:szCs w:val="22"/>
        </w:rPr>
        <w:t xml:space="preserve">En caso </w:t>
      </w:r>
      <w:r w:rsidR="00A97854" w:rsidRPr="005831BC">
        <w:rPr>
          <w:rFonts w:ascii="Arial" w:eastAsia="Arial" w:hAnsi="Arial" w:cs="Arial"/>
          <w:sz w:val="22"/>
          <w:szCs w:val="22"/>
        </w:rPr>
        <w:t xml:space="preserve">de </w:t>
      </w:r>
      <w:r w:rsidRPr="005831BC">
        <w:rPr>
          <w:rFonts w:ascii="Arial" w:eastAsia="Arial" w:hAnsi="Arial" w:cs="Arial"/>
          <w:sz w:val="22"/>
          <w:szCs w:val="22"/>
        </w:rPr>
        <w:t xml:space="preserve">que la documentación presentada por la IFI/SGR resultara insuficiente y/o deficiente, </w:t>
      </w:r>
      <w:r w:rsidR="00B337CE">
        <w:rPr>
          <w:rFonts w:ascii="Arial" w:eastAsia="Arial" w:hAnsi="Arial" w:cs="Arial"/>
          <w:sz w:val="22"/>
          <w:szCs w:val="22"/>
        </w:rPr>
        <w:t xml:space="preserve">el fiduciario </w:t>
      </w:r>
      <w:r w:rsidRPr="005831BC">
        <w:rPr>
          <w:rFonts w:ascii="Arial" w:eastAsia="Arial" w:hAnsi="Arial" w:cs="Arial"/>
          <w:sz w:val="22"/>
          <w:szCs w:val="22"/>
        </w:rPr>
        <w:t xml:space="preserve">le solicitará la documentación faltante debiendo la IFI/SGR remitirla en el plazo establecido en el convenio. Transcurrido dicho plazo sin que haya sido acompañada la documentación faltante se considerará automáticamente desistido el requerimiento, no pudiéndose reclamar nuevamente el mismo, quedando extinguida la garantía del FOGAR. </w:t>
      </w:r>
    </w:p>
    <w:p w14:paraId="5F68F387" w14:textId="77777777" w:rsidR="00675A09" w:rsidRPr="00B337CE" w:rsidRDefault="00675A09" w:rsidP="00C65FFB">
      <w:pPr>
        <w:widowControl w:val="0"/>
        <w:tabs>
          <w:tab w:val="left" w:pos="1291"/>
        </w:tabs>
        <w:ind w:left="993" w:right="-8"/>
        <w:jc w:val="both"/>
        <w:rPr>
          <w:rFonts w:ascii="Arial" w:eastAsia="Arial" w:hAnsi="Arial" w:cs="Arial"/>
          <w:color w:val="000000"/>
          <w:sz w:val="22"/>
          <w:szCs w:val="22"/>
        </w:rPr>
      </w:pPr>
    </w:p>
    <w:p w14:paraId="3325FAF5" w14:textId="01CD2DA3" w:rsidR="00675A09" w:rsidRPr="005831BC" w:rsidRDefault="00675A09" w:rsidP="005831BC">
      <w:pPr>
        <w:pStyle w:val="ListParagraph"/>
        <w:widowControl w:val="0"/>
        <w:numPr>
          <w:ilvl w:val="1"/>
          <w:numId w:val="11"/>
        </w:numPr>
        <w:tabs>
          <w:tab w:val="left" w:pos="705"/>
        </w:tabs>
        <w:ind w:left="901" w:right="-6" w:hanging="544"/>
        <w:jc w:val="both"/>
        <w:rPr>
          <w:rFonts w:ascii="Arial" w:eastAsia="Arial" w:hAnsi="Arial" w:cs="Arial"/>
          <w:sz w:val="22"/>
          <w:szCs w:val="22"/>
        </w:rPr>
      </w:pPr>
      <w:r w:rsidRPr="005831BC">
        <w:rPr>
          <w:rFonts w:ascii="Arial" w:eastAsia="Arial" w:hAnsi="Arial" w:cs="Arial"/>
          <w:b/>
          <w:bCs/>
          <w:color w:val="000000"/>
          <w:sz w:val="22"/>
          <w:szCs w:val="22"/>
        </w:rPr>
        <w:t>Pago de Garantía de</w:t>
      </w:r>
      <w:r w:rsidR="00B337CE">
        <w:rPr>
          <w:rFonts w:ascii="Arial" w:eastAsia="Arial" w:hAnsi="Arial" w:cs="Arial"/>
          <w:b/>
          <w:bCs/>
          <w:color w:val="000000"/>
          <w:sz w:val="22"/>
          <w:szCs w:val="22"/>
        </w:rPr>
        <w:t>l</w:t>
      </w:r>
      <w:r w:rsidRPr="005831BC">
        <w:rPr>
          <w:rFonts w:ascii="Arial" w:eastAsia="Arial" w:hAnsi="Arial" w:cs="Arial"/>
          <w:b/>
          <w:bCs/>
          <w:color w:val="000000"/>
          <w:sz w:val="22"/>
          <w:szCs w:val="22"/>
        </w:rPr>
        <w:t xml:space="preserve"> FOGAR a la IFI/SGR</w:t>
      </w:r>
      <w:r w:rsidR="00B337CE" w:rsidRPr="005831BC">
        <w:rPr>
          <w:rFonts w:ascii="Arial" w:eastAsia="Arial" w:hAnsi="Arial" w:cs="Arial"/>
          <w:b/>
          <w:bCs/>
          <w:color w:val="000000"/>
          <w:sz w:val="22"/>
          <w:szCs w:val="22"/>
        </w:rPr>
        <w:t xml:space="preserve">. </w:t>
      </w:r>
      <w:r w:rsidRPr="005831BC">
        <w:rPr>
          <w:rFonts w:ascii="Arial" w:eastAsia="Arial" w:hAnsi="Arial" w:cs="Arial"/>
          <w:sz w:val="22"/>
          <w:szCs w:val="22"/>
        </w:rPr>
        <w:t xml:space="preserve">Configurado el incumplimiento, </w:t>
      </w:r>
      <w:r w:rsidR="00B337CE">
        <w:rPr>
          <w:rFonts w:ascii="Arial" w:eastAsia="Arial" w:hAnsi="Arial" w:cs="Arial"/>
          <w:sz w:val="22"/>
          <w:szCs w:val="22"/>
        </w:rPr>
        <w:t xml:space="preserve">el fiduciario </w:t>
      </w:r>
      <w:r w:rsidRPr="005831BC">
        <w:rPr>
          <w:rFonts w:ascii="Arial" w:eastAsia="Arial" w:hAnsi="Arial" w:cs="Arial"/>
          <w:sz w:val="22"/>
          <w:szCs w:val="22"/>
        </w:rPr>
        <w:t xml:space="preserve">cuenta con un plazo de treinta (30) días corridos, a contar desde el requerimiento de la entidad financiera para honrar la garantía FOGAR. </w:t>
      </w:r>
    </w:p>
    <w:p w14:paraId="53195308" w14:textId="77777777" w:rsidR="00675A09" w:rsidRDefault="00675A09" w:rsidP="00C65FFB">
      <w:pPr>
        <w:widowControl w:val="0"/>
        <w:tabs>
          <w:tab w:val="left" w:pos="1291"/>
        </w:tabs>
        <w:ind w:left="993" w:right="-8"/>
        <w:jc w:val="both"/>
        <w:rPr>
          <w:rFonts w:ascii="Arial" w:eastAsia="Arial" w:hAnsi="Arial" w:cs="Arial"/>
          <w:color w:val="000000"/>
          <w:sz w:val="22"/>
          <w:szCs w:val="22"/>
        </w:rPr>
      </w:pPr>
    </w:p>
    <w:p w14:paraId="2B06CF09" w14:textId="75EDCA32" w:rsidR="00675A09" w:rsidRPr="005831BC" w:rsidRDefault="00675A09" w:rsidP="005831BC">
      <w:pPr>
        <w:pStyle w:val="ListParagraph"/>
        <w:widowControl w:val="0"/>
        <w:numPr>
          <w:ilvl w:val="1"/>
          <w:numId w:val="11"/>
        </w:numPr>
        <w:tabs>
          <w:tab w:val="left" w:pos="705"/>
        </w:tabs>
        <w:ind w:left="901" w:right="-6" w:hanging="544"/>
        <w:jc w:val="both"/>
        <w:rPr>
          <w:rFonts w:ascii="Arial" w:eastAsia="Arial" w:hAnsi="Arial" w:cs="Arial"/>
          <w:sz w:val="22"/>
          <w:szCs w:val="22"/>
        </w:rPr>
      </w:pPr>
      <w:r w:rsidRPr="005831BC">
        <w:rPr>
          <w:rFonts w:ascii="Arial" w:eastAsia="Arial" w:hAnsi="Arial" w:cs="Arial"/>
          <w:b/>
          <w:bCs/>
          <w:color w:val="000000"/>
          <w:sz w:val="22"/>
          <w:szCs w:val="22"/>
        </w:rPr>
        <w:t>Gestión de Recupero</w:t>
      </w:r>
      <w:r w:rsidR="00B337CE" w:rsidRPr="005831BC">
        <w:rPr>
          <w:rFonts w:ascii="Arial" w:eastAsia="Arial" w:hAnsi="Arial" w:cs="Arial"/>
          <w:b/>
          <w:bCs/>
          <w:color w:val="000000"/>
          <w:sz w:val="22"/>
          <w:szCs w:val="22"/>
        </w:rPr>
        <w:t xml:space="preserve">. </w:t>
      </w:r>
      <w:r w:rsidRPr="005831BC">
        <w:rPr>
          <w:rFonts w:ascii="Arial" w:eastAsia="Arial" w:hAnsi="Arial" w:cs="Arial"/>
          <w:sz w:val="22"/>
          <w:szCs w:val="22"/>
        </w:rPr>
        <w:t>La IFI/SGR tiene noventa (90) días corridos, a contar desde el pago de la garantía FOGAR, para concluir las gestiones de cobranza extrajudicial, tendientes a llegar a un acuerdo de pago con el Beneficiario. De arribar a un acuerdo, el mismo será analizado por el Comité de Administración de</w:t>
      </w:r>
      <w:r w:rsidR="00B337CE">
        <w:rPr>
          <w:rFonts w:ascii="Arial" w:eastAsia="Arial" w:hAnsi="Arial" w:cs="Arial"/>
          <w:sz w:val="22"/>
          <w:szCs w:val="22"/>
        </w:rPr>
        <w:t>l</w:t>
      </w:r>
      <w:r w:rsidRPr="005831BC">
        <w:rPr>
          <w:rFonts w:ascii="Arial" w:eastAsia="Arial" w:hAnsi="Arial" w:cs="Arial"/>
          <w:sz w:val="22"/>
          <w:szCs w:val="22"/>
        </w:rPr>
        <w:t xml:space="preserve"> FOGAR y aprobado o rechazado en consecuencia. Vencido el plazo máximo para el acuerdo extrajudicial sin una resolución favorable, la Entidad deberá informar al Comité de Administración del Fondo a efectos de determinar el inicio de la ejecución judicial.</w:t>
      </w:r>
    </w:p>
    <w:p w14:paraId="3F41662F" w14:textId="77777777" w:rsidR="00675A09" w:rsidRDefault="00675A09" w:rsidP="00675A09">
      <w:pPr>
        <w:widowControl w:val="0"/>
        <w:tabs>
          <w:tab w:val="left" w:pos="1291"/>
        </w:tabs>
        <w:ind w:right="-8"/>
        <w:jc w:val="both"/>
        <w:rPr>
          <w:rFonts w:ascii="Arial" w:eastAsia="Arial" w:hAnsi="Arial" w:cs="Arial"/>
          <w:color w:val="000000"/>
          <w:sz w:val="22"/>
          <w:szCs w:val="22"/>
        </w:rPr>
      </w:pPr>
    </w:p>
    <w:p w14:paraId="269A6A5A" w14:textId="5955216B" w:rsidR="00675A09" w:rsidRPr="005831BC" w:rsidRDefault="00675A09" w:rsidP="005831BC">
      <w:pPr>
        <w:pStyle w:val="ListParagraph"/>
        <w:widowControl w:val="0"/>
        <w:numPr>
          <w:ilvl w:val="1"/>
          <w:numId w:val="11"/>
        </w:numPr>
        <w:tabs>
          <w:tab w:val="left" w:pos="705"/>
        </w:tabs>
        <w:ind w:left="901" w:right="-6" w:hanging="544"/>
        <w:jc w:val="both"/>
        <w:rPr>
          <w:rFonts w:ascii="Arial" w:eastAsia="Arial" w:hAnsi="Arial" w:cs="Arial"/>
          <w:sz w:val="22"/>
          <w:szCs w:val="22"/>
        </w:rPr>
      </w:pPr>
      <w:r w:rsidRPr="005831BC">
        <w:rPr>
          <w:rFonts w:ascii="Arial" w:eastAsia="Arial" w:hAnsi="Arial" w:cs="Arial"/>
          <w:b/>
          <w:bCs/>
          <w:color w:val="000000"/>
          <w:sz w:val="22"/>
          <w:szCs w:val="22"/>
        </w:rPr>
        <w:t xml:space="preserve">Modificaciones al convenio entre </w:t>
      </w:r>
      <w:r w:rsidR="00B337CE" w:rsidRPr="005831BC">
        <w:rPr>
          <w:rFonts w:ascii="Arial" w:eastAsia="Arial" w:hAnsi="Arial" w:cs="Arial"/>
          <w:b/>
          <w:bCs/>
          <w:color w:val="000000"/>
          <w:sz w:val="22"/>
          <w:szCs w:val="22"/>
        </w:rPr>
        <w:t xml:space="preserve">el fiduciario </w:t>
      </w:r>
      <w:r w:rsidRPr="005831BC">
        <w:rPr>
          <w:rFonts w:ascii="Arial" w:eastAsia="Arial" w:hAnsi="Arial" w:cs="Arial"/>
          <w:b/>
          <w:bCs/>
          <w:color w:val="000000"/>
          <w:sz w:val="22"/>
          <w:szCs w:val="22"/>
        </w:rPr>
        <w:t>y la IFI/SGR</w:t>
      </w:r>
      <w:r w:rsidR="00B337CE" w:rsidRPr="005831BC">
        <w:rPr>
          <w:rFonts w:ascii="Arial" w:eastAsia="Arial" w:hAnsi="Arial" w:cs="Arial"/>
          <w:b/>
          <w:bCs/>
          <w:color w:val="000000"/>
          <w:sz w:val="22"/>
          <w:szCs w:val="22"/>
        </w:rPr>
        <w:t>.</w:t>
      </w:r>
      <w:r w:rsidR="00B337CE">
        <w:rPr>
          <w:rFonts w:ascii="Arial" w:eastAsia="Arial" w:hAnsi="Arial" w:cs="Arial"/>
          <w:color w:val="000000"/>
          <w:sz w:val="22"/>
          <w:szCs w:val="22"/>
        </w:rPr>
        <w:t xml:space="preserve"> </w:t>
      </w:r>
      <w:r w:rsidRPr="005831BC">
        <w:rPr>
          <w:rFonts w:ascii="Arial" w:eastAsia="Arial" w:hAnsi="Arial" w:cs="Arial"/>
          <w:sz w:val="22"/>
          <w:szCs w:val="22"/>
        </w:rPr>
        <w:t>Cualquier modificación a los términos y condiciones firmados en el contrato, deberá ser solicitado por la IFI/SGR a</w:t>
      </w:r>
      <w:r w:rsidR="00B337CE" w:rsidRPr="005831BC">
        <w:rPr>
          <w:rFonts w:ascii="Arial" w:eastAsia="Arial" w:hAnsi="Arial" w:cs="Arial"/>
          <w:sz w:val="22"/>
          <w:szCs w:val="22"/>
        </w:rPr>
        <w:t xml:space="preserve">l fiduciario </w:t>
      </w:r>
      <w:r w:rsidRPr="005831BC">
        <w:rPr>
          <w:rFonts w:ascii="Arial" w:eastAsia="Arial" w:hAnsi="Arial" w:cs="Arial"/>
          <w:sz w:val="22"/>
          <w:szCs w:val="22"/>
        </w:rPr>
        <w:t>y/o a</w:t>
      </w:r>
      <w:r w:rsidR="00B337CE" w:rsidRPr="005831BC">
        <w:rPr>
          <w:rFonts w:ascii="Arial" w:eastAsia="Arial" w:hAnsi="Arial" w:cs="Arial"/>
          <w:sz w:val="22"/>
          <w:szCs w:val="22"/>
        </w:rPr>
        <w:t>l OE</w:t>
      </w:r>
      <w:r w:rsidRPr="005831BC">
        <w:rPr>
          <w:rFonts w:ascii="Arial" w:eastAsia="Arial" w:hAnsi="Arial" w:cs="Arial"/>
          <w:sz w:val="22"/>
          <w:szCs w:val="22"/>
        </w:rPr>
        <w:t>. El Comité de Administración de FOGAR resolverá al respecto e instruirá al fiduciario a suscribir una adenda, en caso de corresponder.</w:t>
      </w:r>
    </w:p>
    <w:p w14:paraId="6E479F43" w14:textId="77777777" w:rsidR="00726C0B" w:rsidRDefault="00726C0B">
      <w:pPr>
        <w:ind w:left="360"/>
        <w:jc w:val="both"/>
        <w:rPr>
          <w:rFonts w:ascii="Arial" w:eastAsia="Arial" w:hAnsi="Arial" w:cs="Arial"/>
          <w:sz w:val="22"/>
          <w:szCs w:val="22"/>
        </w:rPr>
      </w:pPr>
    </w:p>
    <w:p w14:paraId="4CB5D2C0" w14:textId="5727497F" w:rsidR="00726C0B" w:rsidRPr="000053D0" w:rsidRDefault="00BB4E15">
      <w:pPr>
        <w:numPr>
          <w:ilvl w:val="1"/>
          <w:numId w:val="11"/>
        </w:numPr>
        <w:pBdr>
          <w:top w:val="nil"/>
          <w:left w:val="nil"/>
          <w:bottom w:val="nil"/>
          <w:right w:val="nil"/>
          <w:between w:val="nil"/>
        </w:pBdr>
        <w:jc w:val="both"/>
        <w:rPr>
          <w:color w:val="000000"/>
        </w:rPr>
      </w:pPr>
      <w:r w:rsidRPr="1024079A">
        <w:rPr>
          <w:rFonts w:ascii="Arial" w:eastAsia="Arial" w:hAnsi="Arial" w:cs="Arial"/>
          <w:color w:val="000000" w:themeColor="text1"/>
          <w:sz w:val="22"/>
          <w:szCs w:val="22"/>
        </w:rPr>
        <w:t xml:space="preserve">El FOGAR no podrá otorgar </w:t>
      </w:r>
      <w:r w:rsidRPr="005115F5">
        <w:rPr>
          <w:rFonts w:ascii="Arial" w:eastAsia="Arial" w:hAnsi="Arial" w:cs="Arial"/>
          <w:sz w:val="22"/>
          <w:szCs w:val="22"/>
        </w:rPr>
        <w:t xml:space="preserve">en forma directa </w:t>
      </w:r>
      <w:r w:rsidRPr="1024079A">
        <w:rPr>
          <w:rFonts w:ascii="Arial" w:eastAsia="Arial" w:hAnsi="Arial" w:cs="Arial"/>
          <w:color w:val="000000" w:themeColor="text1"/>
          <w:sz w:val="22"/>
          <w:szCs w:val="22"/>
        </w:rPr>
        <w:t>garant</w:t>
      </w:r>
      <w:r w:rsidRPr="005115F5">
        <w:rPr>
          <w:rFonts w:ascii="Arial" w:eastAsia="Arial" w:hAnsi="Arial" w:cs="Arial"/>
          <w:sz w:val="22"/>
          <w:szCs w:val="22"/>
        </w:rPr>
        <w:t>ías</w:t>
      </w:r>
      <w:r w:rsidRPr="1024079A">
        <w:rPr>
          <w:rFonts w:ascii="Arial" w:eastAsia="Arial" w:hAnsi="Arial" w:cs="Arial"/>
          <w:color w:val="000000" w:themeColor="text1"/>
          <w:sz w:val="22"/>
          <w:szCs w:val="22"/>
        </w:rPr>
        <w:t xml:space="preserve"> a los préstamos otorgados de forma directa por el FONDEP, con </w:t>
      </w:r>
      <w:r w:rsidRPr="000053D0">
        <w:rPr>
          <w:rFonts w:ascii="Arial" w:eastAsia="Arial" w:hAnsi="Arial" w:cs="Arial"/>
          <w:sz w:val="22"/>
          <w:szCs w:val="22"/>
        </w:rPr>
        <w:t xml:space="preserve">excepción de los reafianzamientos otorgados </w:t>
      </w:r>
      <w:r w:rsidR="000053D0" w:rsidRPr="000053D0">
        <w:rPr>
          <w:rFonts w:ascii="Arial" w:eastAsia="Arial" w:hAnsi="Arial" w:cs="Arial"/>
          <w:sz w:val="22"/>
          <w:szCs w:val="22"/>
        </w:rPr>
        <w:t>a</w:t>
      </w:r>
      <w:r w:rsidRPr="000053D0">
        <w:rPr>
          <w:rFonts w:ascii="Arial" w:eastAsia="Arial" w:hAnsi="Arial" w:cs="Arial"/>
          <w:sz w:val="22"/>
          <w:szCs w:val="22"/>
        </w:rPr>
        <w:t xml:space="preserve"> las </w:t>
      </w:r>
      <w:r w:rsidR="00B337CE">
        <w:rPr>
          <w:rFonts w:ascii="Arial" w:eastAsia="Arial" w:hAnsi="Arial" w:cs="Arial"/>
          <w:sz w:val="22"/>
          <w:szCs w:val="22"/>
        </w:rPr>
        <w:t>SGR</w:t>
      </w:r>
      <w:r w:rsidRPr="1024079A">
        <w:rPr>
          <w:rFonts w:ascii="Arial" w:eastAsia="Arial" w:hAnsi="Arial" w:cs="Arial"/>
          <w:color w:val="000000" w:themeColor="text1"/>
          <w:sz w:val="22"/>
          <w:szCs w:val="22"/>
        </w:rPr>
        <w:t>.</w:t>
      </w:r>
    </w:p>
    <w:p w14:paraId="7662E64A" w14:textId="77777777" w:rsidR="00726C0B" w:rsidRPr="000053D0" w:rsidRDefault="00726C0B">
      <w:pPr>
        <w:widowControl w:val="0"/>
        <w:tabs>
          <w:tab w:val="left" w:pos="1291"/>
        </w:tabs>
        <w:ind w:right="-8"/>
        <w:jc w:val="both"/>
        <w:rPr>
          <w:rFonts w:ascii="Arial" w:eastAsia="Arial" w:hAnsi="Arial" w:cs="Arial"/>
          <w:sz w:val="22"/>
          <w:szCs w:val="22"/>
        </w:rPr>
      </w:pPr>
    </w:p>
    <w:p w14:paraId="4B299D38" w14:textId="78430072" w:rsidR="00726C0B" w:rsidRPr="005831BC" w:rsidRDefault="00BB4E15">
      <w:pPr>
        <w:numPr>
          <w:ilvl w:val="1"/>
          <w:numId w:val="11"/>
        </w:numPr>
        <w:pBdr>
          <w:top w:val="nil"/>
          <w:left w:val="nil"/>
          <w:bottom w:val="nil"/>
          <w:right w:val="nil"/>
          <w:between w:val="nil"/>
        </w:pBdr>
        <w:jc w:val="both"/>
        <w:rPr>
          <w:rFonts w:ascii="Arial" w:eastAsia="Arial" w:hAnsi="Arial" w:cs="Arial"/>
          <w:color w:val="000000"/>
        </w:rPr>
      </w:pPr>
      <w:proofErr w:type="gramStart"/>
      <w:r w:rsidRPr="1024079A">
        <w:rPr>
          <w:rFonts w:ascii="Arial" w:eastAsia="Arial" w:hAnsi="Arial" w:cs="Arial"/>
          <w:color w:val="000000" w:themeColor="text1"/>
          <w:sz w:val="22"/>
          <w:szCs w:val="22"/>
        </w:rPr>
        <w:t xml:space="preserve">Los cupos </w:t>
      </w:r>
      <w:r w:rsidR="000053D0" w:rsidRPr="1024079A">
        <w:rPr>
          <w:rFonts w:ascii="Arial" w:eastAsia="Arial" w:hAnsi="Arial" w:cs="Arial"/>
          <w:color w:val="000000" w:themeColor="text1"/>
          <w:sz w:val="22"/>
          <w:szCs w:val="22"/>
        </w:rPr>
        <w:t xml:space="preserve">a </w:t>
      </w:r>
      <w:r w:rsidR="00F90C49" w:rsidRPr="1024079A">
        <w:rPr>
          <w:rFonts w:ascii="Arial" w:eastAsia="Arial" w:hAnsi="Arial" w:cs="Arial"/>
          <w:color w:val="000000" w:themeColor="text1"/>
          <w:sz w:val="22"/>
          <w:szCs w:val="22"/>
        </w:rPr>
        <w:t>otorgar</w:t>
      </w:r>
      <w:proofErr w:type="gramEnd"/>
      <w:r w:rsidR="00F90C49" w:rsidRPr="1024079A">
        <w:rPr>
          <w:rFonts w:ascii="Arial" w:eastAsia="Arial" w:hAnsi="Arial" w:cs="Arial"/>
          <w:color w:val="000000" w:themeColor="text1"/>
          <w:sz w:val="22"/>
          <w:szCs w:val="22"/>
        </w:rPr>
        <w:t xml:space="preserve"> </w:t>
      </w:r>
      <w:r w:rsidR="00F90C49" w:rsidRPr="001011A1">
        <w:rPr>
          <w:rFonts w:ascii="Arial" w:eastAsia="Arial" w:hAnsi="Arial" w:cs="Arial"/>
          <w:color w:val="000000" w:themeColor="text1"/>
          <w:sz w:val="22"/>
          <w:szCs w:val="22"/>
        </w:rPr>
        <w:t>serán</w:t>
      </w:r>
      <w:r w:rsidRPr="001011A1">
        <w:rPr>
          <w:rFonts w:ascii="Arial" w:eastAsia="Arial" w:hAnsi="Arial" w:cs="Arial"/>
          <w:color w:val="000000" w:themeColor="text1"/>
          <w:sz w:val="22"/>
          <w:szCs w:val="22"/>
        </w:rPr>
        <w:t xml:space="preserve"> asignados a las IFI</w:t>
      </w:r>
      <w:r w:rsidR="000053D0" w:rsidRPr="001011A1">
        <w:rPr>
          <w:rFonts w:ascii="Arial" w:eastAsia="Arial" w:hAnsi="Arial" w:cs="Arial"/>
          <w:color w:val="000000" w:themeColor="text1"/>
          <w:sz w:val="22"/>
          <w:szCs w:val="22"/>
        </w:rPr>
        <w:t>/SGR o</w:t>
      </w:r>
      <w:r w:rsidRPr="001011A1">
        <w:rPr>
          <w:rFonts w:ascii="Arial" w:eastAsia="Arial" w:hAnsi="Arial" w:cs="Arial"/>
          <w:color w:val="000000" w:themeColor="text1"/>
          <w:sz w:val="22"/>
          <w:szCs w:val="22"/>
        </w:rPr>
        <w:t xml:space="preserve"> en función del mecanismo de asignación aprobado por </w:t>
      </w:r>
      <w:r w:rsidR="00B337CE" w:rsidRPr="1024079A">
        <w:rPr>
          <w:rFonts w:ascii="Arial" w:eastAsia="Arial" w:hAnsi="Arial" w:cs="Arial"/>
          <w:color w:val="000000" w:themeColor="text1"/>
          <w:sz w:val="22"/>
          <w:szCs w:val="22"/>
        </w:rPr>
        <w:t>el OE</w:t>
      </w:r>
      <w:r w:rsidRPr="1024079A">
        <w:rPr>
          <w:rFonts w:ascii="Arial" w:eastAsia="Arial" w:hAnsi="Arial" w:cs="Arial"/>
          <w:color w:val="000000" w:themeColor="text1"/>
          <w:sz w:val="22"/>
          <w:szCs w:val="22"/>
        </w:rPr>
        <w:t>. Para acceder a dicho cupo, las IFI deberán entregar la documentación establecida por el FOGAR.</w:t>
      </w:r>
    </w:p>
    <w:p w14:paraId="72589385" w14:textId="77777777" w:rsidR="00726C0B" w:rsidRDefault="00726C0B">
      <w:pPr>
        <w:spacing w:before="20"/>
        <w:jc w:val="both"/>
        <w:rPr>
          <w:rFonts w:ascii="Arial" w:eastAsia="Arial" w:hAnsi="Arial" w:cs="Arial"/>
          <w:sz w:val="22"/>
          <w:szCs w:val="22"/>
        </w:rPr>
      </w:pPr>
    </w:p>
    <w:p w14:paraId="071E67E9" w14:textId="5A6BA61B" w:rsidR="00726C0B" w:rsidRPr="007C1B9F" w:rsidRDefault="00BB4E15" w:rsidP="005831BC">
      <w:pPr>
        <w:numPr>
          <w:ilvl w:val="1"/>
          <w:numId w:val="11"/>
        </w:numPr>
        <w:pBdr>
          <w:top w:val="nil"/>
          <w:left w:val="nil"/>
          <w:bottom w:val="nil"/>
          <w:right w:val="nil"/>
          <w:between w:val="nil"/>
        </w:pBdr>
        <w:jc w:val="both"/>
        <w:rPr>
          <w:rFonts w:ascii="Arial" w:eastAsia="Arial" w:hAnsi="Arial" w:cs="Arial"/>
          <w:color w:val="000000"/>
        </w:rPr>
      </w:pPr>
      <w:r w:rsidRPr="1024079A">
        <w:rPr>
          <w:rFonts w:ascii="Arial" w:eastAsia="Arial" w:hAnsi="Arial" w:cs="Arial"/>
          <w:color w:val="000000" w:themeColor="text1"/>
          <w:sz w:val="22"/>
          <w:szCs w:val="22"/>
        </w:rPr>
        <w:t>La máxima cuantía de las operaciones de crédito susceptibles de ser garantizadas será de US$ 200</w:t>
      </w:r>
      <w:r w:rsidR="00844159">
        <w:rPr>
          <w:rFonts w:ascii="Arial" w:eastAsia="Arial" w:hAnsi="Arial" w:cs="Arial"/>
          <w:color w:val="000000" w:themeColor="text1"/>
          <w:sz w:val="22"/>
          <w:szCs w:val="22"/>
        </w:rPr>
        <w:t>.000</w:t>
      </w:r>
      <w:r w:rsidRPr="1024079A">
        <w:rPr>
          <w:rFonts w:ascii="Arial" w:eastAsia="Arial" w:hAnsi="Arial" w:cs="Arial"/>
          <w:color w:val="000000" w:themeColor="text1"/>
          <w:sz w:val="22"/>
          <w:szCs w:val="22"/>
        </w:rPr>
        <w:t xml:space="preserve"> o su equivalente en moneda local y la cobertura máxima de la Garantía para cada beneficiario será de hasta 100% del monto de la operación garantizada para todos los beneficiarios finales</w:t>
      </w:r>
      <w:r w:rsidR="000053D0" w:rsidRPr="1024079A">
        <w:rPr>
          <w:rFonts w:ascii="Arial" w:eastAsia="Arial" w:hAnsi="Arial" w:cs="Arial"/>
          <w:color w:val="000000" w:themeColor="text1"/>
          <w:sz w:val="22"/>
          <w:szCs w:val="22"/>
        </w:rPr>
        <w:t xml:space="preserve">, a excepción de los reafianzamientos a las Sociedades de Garantía Recíproca y Fondos de Garantía Públicos, donde se podrá disponer de un porcentaje de cobertura similar o menor, según </w:t>
      </w:r>
      <w:r w:rsidR="00B337CE" w:rsidRPr="1024079A">
        <w:rPr>
          <w:rFonts w:ascii="Arial" w:eastAsia="Arial" w:hAnsi="Arial" w:cs="Arial"/>
          <w:color w:val="000000" w:themeColor="text1"/>
          <w:sz w:val="22"/>
          <w:szCs w:val="22"/>
        </w:rPr>
        <w:t xml:space="preserve">el OE </w:t>
      </w:r>
      <w:r w:rsidR="000053D0" w:rsidRPr="1024079A">
        <w:rPr>
          <w:rFonts w:ascii="Arial" w:eastAsia="Arial" w:hAnsi="Arial" w:cs="Arial"/>
          <w:color w:val="000000" w:themeColor="text1"/>
          <w:sz w:val="22"/>
          <w:szCs w:val="22"/>
        </w:rPr>
        <w:t>considere.</w:t>
      </w:r>
    </w:p>
    <w:p w14:paraId="3485085F" w14:textId="77777777" w:rsidR="00726C0B" w:rsidRDefault="00726C0B">
      <w:pPr>
        <w:jc w:val="both"/>
        <w:rPr>
          <w:rFonts w:ascii="Arial" w:eastAsia="Arial" w:hAnsi="Arial" w:cs="Arial"/>
          <w:sz w:val="22"/>
          <w:szCs w:val="22"/>
        </w:rPr>
      </w:pPr>
    </w:p>
    <w:p w14:paraId="6E9EFD39" w14:textId="2B745C19" w:rsidR="00726C0B" w:rsidRPr="00F8577A" w:rsidRDefault="00BB4E15">
      <w:pPr>
        <w:numPr>
          <w:ilvl w:val="1"/>
          <w:numId w:val="11"/>
        </w:numPr>
        <w:pBdr>
          <w:top w:val="nil"/>
          <w:left w:val="nil"/>
          <w:bottom w:val="nil"/>
          <w:right w:val="nil"/>
          <w:between w:val="nil"/>
        </w:pBdr>
        <w:jc w:val="both"/>
        <w:rPr>
          <w:rFonts w:ascii="Arial" w:eastAsia="Arial" w:hAnsi="Arial" w:cs="Arial"/>
          <w:color w:val="000000"/>
        </w:rPr>
      </w:pPr>
      <w:r w:rsidRPr="1024079A">
        <w:rPr>
          <w:rFonts w:ascii="Arial" w:eastAsia="Arial" w:hAnsi="Arial" w:cs="Arial"/>
          <w:color w:val="000000" w:themeColor="text1"/>
          <w:sz w:val="22"/>
          <w:szCs w:val="22"/>
        </w:rPr>
        <w:t xml:space="preserve">Los recursos asignados al FOGAR que no hubieren sido utilizados para el pago de garantías otorgadas podrán ser invertidos de acuerdo con la política de </w:t>
      </w:r>
      <w:r w:rsidRPr="1024079A">
        <w:rPr>
          <w:rFonts w:ascii="Arial" w:eastAsia="Arial" w:hAnsi="Arial" w:cs="Arial"/>
          <w:color w:val="000000" w:themeColor="text1"/>
          <w:sz w:val="22"/>
          <w:szCs w:val="22"/>
        </w:rPr>
        <w:lastRenderedPageBreak/>
        <w:t xml:space="preserve">inversiones sigue los lineamientos de la normativa del </w:t>
      </w:r>
      <w:r w:rsidR="00B337CE" w:rsidRPr="1024079A">
        <w:rPr>
          <w:rFonts w:ascii="Arial" w:eastAsia="Arial" w:hAnsi="Arial" w:cs="Arial"/>
          <w:color w:val="000000" w:themeColor="text1"/>
          <w:sz w:val="22"/>
          <w:szCs w:val="22"/>
        </w:rPr>
        <w:t xml:space="preserve">BCRA </w:t>
      </w:r>
      <w:r w:rsidRPr="1024079A">
        <w:rPr>
          <w:rFonts w:ascii="Arial" w:eastAsia="Arial" w:hAnsi="Arial" w:cs="Arial"/>
          <w:color w:val="000000" w:themeColor="text1"/>
          <w:sz w:val="22"/>
          <w:szCs w:val="22"/>
        </w:rPr>
        <w:t>aplicable a los “Fondos de Garantía de Carácter Público”.</w:t>
      </w:r>
    </w:p>
    <w:p w14:paraId="0791F437" w14:textId="77777777" w:rsidR="00726C0B" w:rsidRDefault="00BB4E15">
      <w:pPr>
        <w:pStyle w:val="Heading1"/>
        <w:numPr>
          <w:ilvl w:val="0"/>
          <w:numId w:val="11"/>
        </w:numPr>
        <w:rPr>
          <w:sz w:val="22"/>
          <w:szCs w:val="22"/>
        </w:rPr>
      </w:pPr>
      <w:bookmarkStart w:id="17" w:name="_Toc42709762"/>
      <w:r>
        <w:rPr>
          <w:sz w:val="22"/>
          <w:szCs w:val="22"/>
        </w:rPr>
        <w:t>Requerimientos Ambientales y Sociales (“SARAS del Programa”)</w:t>
      </w:r>
      <w:bookmarkEnd w:id="17"/>
    </w:p>
    <w:p w14:paraId="0552A87E" w14:textId="77777777" w:rsidR="00726C0B" w:rsidRPr="00F014DE" w:rsidRDefault="00726C0B">
      <w:pPr>
        <w:pBdr>
          <w:top w:val="nil"/>
          <w:left w:val="nil"/>
          <w:bottom w:val="nil"/>
          <w:right w:val="nil"/>
          <w:between w:val="nil"/>
        </w:pBdr>
        <w:ind w:left="720"/>
        <w:rPr>
          <w:rFonts w:ascii="Arial" w:eastAsia="Arial" w:hAnsi="Arial" w:cs="Arial"/>
          <w:color w:val="000000"/>
          <w:sz w:val="22"/>
          <w:szCs w:val="22"/>
        </w:rPr>
      </w:pPr>
    </w:p>
    <w:p w14:paraId="29447096" w14:textId="54181215" w:rsidR="009660F3" w:rsidRPr="00F014DE" w:rsidRDefault="009660F3">
      <w:pPr>
        <w:numPr>
          <w:ilvl w:val="1"/>
          <w:numId w:val="11"/>
        </w:numPr>
        <w:pBdr>
          <w:top w:val="nil"/>
          <w:left w:val="nil"/>
          <w:bottom w:val="nil"/>
          <w:right w:val="nil"/>
          <w:between w:val="nil"/>
        </w:pBdr>
        <w:jc w:val="both"/>
        <w:rPr>
          <w:rFonts w:ascii="Arial" w:eastAsia="Arial" w:hAnsi="Arial" w:cs="Arial"/>
          <w:color w:val="000000"/>
          <w:sz w:val="22"/>
          <w:szCs w:val="22"/>
        </w:rPr>
      </w:pPr>
      <w:r w:rsidRPr="00F014DE">
        <w:rPr>
          <w:rFonts w:ascii="Arial" w:eastAsia="Arial" w:hAnsi="Arial" w:cs="Arial"/>
          <w:color w:val="000000"/>
          <w:sz w:val="22"/>
          <w:szCs w:val="22"/>
        </w:rPr>
        <w:t>El BICE</w:t>
      </w:r>
      <w:r w:rsidR="009E68FA">
        <w:rPr>
          <w:rFonts w:ascii="Arial" w:eastAsia="Arial" w:hAnsi="Arial" w:cs="Arial"/>
          <w:color w:val="000000"/>
          <w:sz w:val="22"/>
          <w:szCs w:val="22"/>
        </w:rPr>
        <w:t xml:space="preserve"> </w:t>
      </w:r>
      <w:r w:rsidRPr="00F014DE">
        <w:rPr>
          <w:rFonts w:ascii="Arial" w:eastAsia="Arial" w:hAnsi="Arial" w:cs="Arial"/>
          <w:color w:val="000000"/>
          <w:sz w:val="22"/>
          <w:szCs w:val="22"/>
        </w:rPr>
        <w:t xml:space="preserve">será responsable de velar por el cumplimiento con el SARAS del </w:t>
      </w:r>
      <w:r w:rsidR="00520617">
        <w:rPr>
          <w:rFonts w:ascii="Arial" w:eastAsia="Arial" w:hAnsi="Arial" w:cs="Arial"/>
          <w:color w:val="000000"/>
          <w:sz w:val="22"/>
          <w:szCs w:val="22"/>
        </w:rPr>
        <w:t>p</w:t>
      </w:r>
      <w:r w:rsidRPr="00F014DE">
        <w:rPr>
          <w:rFonts w:ascii="Arial" w:eastAsia="Arial" w:hAnsi="Arial" w:cs="Arial"/>
          <w:color w:val="000000"/>
          <w:sz w:val="22"/>
          <w:szCs w:val="22"/>
        </w:rPr>
        <w:t xml:space="preserve">rograma. Esta responsabilidad se </w:t>
      </w:r>
      <w:r w:rsidR="00F014DE" w:rsidRPr="00F014DE">
        <w:rPr>
          <w:rFonts w:ascii="Arial" w:eastAsia="Arial" w:hAnsi="Arial" w:cs="Arial"/>
          <w:color w:val="000000"/>
          <w:sz w:val="22"/>
          <w:szCs w:val="22"/>
        </w:rPr>
        <w:t>formalizará</w:t>
      </w:r>
      <w:r w:rsidRPr="00F014DE">
        <w:rPr>
          <w:rFonts w:ascii="Arial" w:eastAsia="Arial" w:hAnsi="Arial" w:cs="Arial"/>
          <w:color w:val="000000"/>
          <w:sz w:val="22"/>
          <w:szCs w:val="22"/>
        </w:rPr>
        <w:t xml:space="preserve"> en </w:t>
      </w:r>
      <w:r w:rsidR="001C1D78">
        <w:rPr>
          <w:rFonts w:ascii="Arial" w:eastAsia="Arial" w:hAnsi="Arial" w:cs="Arial"/>
          <w:color w:val="000000"/>
          <w:sz w:val="22"/>
          <w:szCs w:val="22"/>
        </w:rPr>
        <w:t xml:space="preserve">el </w:t>
      </w:r>
      <w:r w:rsidRPr="00F014DE">
        <w:rPr>
          <w:rFonts w:ascii="Arial" w:eastAsia="Arial" w:hAnsi="Arial" w:cs="Arial"/>
          <w:color w:val="000000"/>
          <w:sz w:val="22"/>
          <w:szCs w:val="22"/>
        </w:rPr>
        <w:t xml:space="preserve">acuerdo entre </w:t>
      </w:r>
      <w:r w:rsidR="00F014DE" w:rsidRPr="00F014DE">
        <w:rPr>
          <w:rFonts w:ascii="Arial" w:eastAsia="Arial" w:hAnsi="Arial" w:cs="Arial"/>
          <w:color w:val="000000"/>
          <w:sz w:val="22"/>
          <w:szCs w:val="22"/>
        </w:rPr>
        <w:t xml:space="preserve">el OE </w:t>
      </w:r>
      <w:r w:rsidRPr="00F014DE">
        <w:rPr>
          <w:rFonts w:ascii="Arial" w:eastAsia="Arial" w:hAnsi="Arial" w:cs="Arial"/>
          <w:color w:val="000000"/>
          <w:sz w:val="22"/>
          <w:szCs w:val="22"/>
        </w:rPr>
        <w:t xml:space="preserve">y el </w:t>
      </w:r>
      <w:r w:rsidR="00F118B4">
        <w:rPr>
          <w:rFonts w:ascii="Arial" w:eastAsia="Arial" w:hAnsi="Arial" w:cs="Arial"/>
          <w:color w:val="000000"/>
          <w:sz w:val="22"/>
          <w:szCs w:val="22"/>
        </w:rPr>
        <w:t>BFSA</w:t>
      </w:r>
      <w:r w:rsidRPr="00F014DE">
        <w:rPr>
          <w:rFonts w:ascii="Arial" w:eastAsia="Arial" w:hAnsi="Arial" w:cs="Arial"/>
          <w:color w:val="000000"/>
          <w:sz w:val="22"/>
          <w:szCs w:val="22"/>
        </w:rPr>
        <w:t xml:space="preserve">, en los términos previamente acordados con el </w:t>
      </w:r>
      <w:r w:rsidR="00F014DE" w:rsidRPr="00F014DE">
        <w:rPr>
          <w:rFonts w:ascii="Arial" w:eastAsia="Arial" w:hAnsi="Arial" w:cs="Arial"/>
          <w:color w:val="000000"/>
          <w:sz w:val="22"/>
          <w:szCs w:val="22"/>
        </w:rPr>
        <w:t>BID</w:t>
      </w:r>
      <w:r w:rsidRPr="00F014DE">
        <w:rPr>
          <w:rFonts w:ascii="Arial" w:eastAsia="Arial" w:hAnsi="Arial" w:cs="Arial"/>
          <w:color w:val="000000"/>
          <w:sz w:val="22"/>
          <w:szCs w:val="22"/>
        </w:rPr>
        <w:t xml:space="preserve">, formalizando el rol del BICE en el manejo y la supervisión socioambiental del programa y en el cumplimiento del </w:t>
      </w:r>
      <w:r w:rsidR="00520617">
        <w:rPr>
          <w:rFonts w:ascii="Arial" w:eastAsia="Arial" w:hAnsi="Arial" w:cs="Arial"/>
          <w:color w:val="000000"/>
          <w:sz w:val="22"/>
          <w:szCs w:val="22"/>
        </w:rPr>
        <w:t>p</w:t>
      </w:r>
      <w:r w:rsidRPr="00F014DE">
        <w:rPr>
          <w:rFonts w:ascii="Arial" w:eastAsia="Arial" w:hAnsi="Arial" w:cs="Arial"/>
          <w:color w:val="000000"/>
          <w:sz w:val="22"/>
          <w:szCs w:val="22"/>
        </w:rPr>
        <w:t xml:space="preserve">rograma con este SARAS del </w:t>
      </w:r>
      <w:r w:rsidR="00520617">
        <w:rPr>
          <w:rFonts w:ascii="Arial" w:eastAsia="Arial" w:hAnsi="Arial" w:cs="Arial"/>
          <w:color w:val="000000"/>
          <w:sz w:val="22"/>
          <w:szCs w:val="22"/>
        </w:rPr>
        <w:t>p</w:t>
      </w:r>
      <w:r w:rsidRPr="00F014DE">
        <w:rPr>
          <w:rFonts w:ascii="Arial" w:eastAsia="Arial" w:hAnsi="Arial" w:cs="Arial"/>
          <w:color w:val="000000"/>
          <w:sz w:val="22"/>
          <w:szCs w:val="22"/>
        </w:rPr>
        <w:t xml:space="preserve">rograma. Cualquier cambio en este acuerdo deberá recibir la no objeción del </w:t>
      </w:r>
      <w:r w:rsidR="00F014DE">
        <w:rPr>
          <w:rFonts w:ascii="Arial" w:eastAsia="Arial" w:hAnsi="Arial" w:cs="Arial"/>
          <w:color w:val="000000"/>
          <w:sz w:val="22"/>
          <w:szCs w:val="22"/>
        </w:rPr>
        <w:t>BID</w:t>
      </w:r>
      <w:r w:rsidRPr="00F014DE">
        <w:rPr>
          <w:rFonts w:ascii="Arial" w:eastAsia="Arial" w:hAnsi="Arial" w:cs="Arial"/>
          <w:color w:val="000000"/>
          <w:sz w:val="22"/>
          <w:szCs w:val="22"/>
        </w:rPr>
        <w:t>.</w:t>
      </w:r>
    </w:p>
    <w:p w14:paraId="0AA27F43" w14:textId="77777777" w:rsidR="009660F3" w:rsidRPr="00F014DE" w:rsidRDefault="009660F3" w:rsidP="00F014DE">
      <w:pPr>
        <w:pBdr>
          <w:top w:val="nil"/>
          <w:left w:val="nil"/>
          <w:bottom w:val="nil"/>
          <w:right w:val="nil"/>
          <w:between w:val="nil"/>
        </w:pBdr>
        <w:ind w:left="907"/>
        <w:jc w:val="both"/>
        <w:rPr>
          <w:rFonts w:ascii="Arial" w:eastAsia="Arial" w:hAnsi="Arial" w:cs="Arial"/>
          <w:color w:val="000000"/>
          <w:sz w:val="22"/>
          <w:szCs w:val="22"/>
        </w:rPr>
      </w:pPr>
    </w:p>
    <w:p w14:paraId="4F169A54" w14:textId="79436346" w:rsidR="00726C0B" w:rsidRDefault="00BB4E15">
      <w:pPr>
        <w:numPr>
          <w:ilvl w:val="1"/>
          <w:numId w:val="11"/>
        </w:numPr>
        <w:pBdr>
          <w:top w:val="nil"/>
          <w:left w:val="nil"/>
          <w:bottom w:val="nil"/>
          <w:right w:val="nil"/>
          <w:between w:val="nil"/>
        </w:pBdr>
        <w:jc w:val="both"/>
        <w:rPr>
          <w:rFonts w:ascii="Arial" w:eastAsia="Arial" w:hAnsi="Arial" w:cs="Arial"/>
          <w:color w:val="000000"/>
        </w:rPr>
      </w:pPr>
      <w:r w:rsidRPr="1024079A">
        <w:rPr>
          <w:rFonts w:ascii="Arial" w:eastAsia="Arial" w:hAnsi="Arial" w:cs="Arial"/>
          <w:color w:val="000000" w:themeColor="text1"/>
          <w:sz w:val="22"/>
          <w:szCs w:val="22"/>
        </w:rPr>
        <w:t xml:space="preserve">Solo serán elegibles de financiamiento con recursos del programa MIPYME que cumplen con los criterios de elegibilidad definidos en este documento y con los criterios siguientes: </w:t>
      </w:r>
    </w:p>
    <w:p w14:paraId="312B56F7" w14:textId="77777777" w:rsidR="00726C0B" w:rsidRDefault="00726C0B">
      <w:pPr>
        <w:pBdr>
          <w:top w:val="nil"/>
          <w:left w:val="nil"/>
          <w:bottom w:val="nil"/>
          <w:right w:val="nil"/>
          <w:between w:val="nil"/>
        </w:pBdr>
        <w:ind w:left="907" w:hanging="720"/>
        <w:jc w:val="both"/>
        <w:rPr>
          <w:rFonts w:ascii="Arial" w:eastAsia="Arial" w:hAnsi="Arial" w:cs="Arial"/>
          <w:color w:val="000000"/>
          <w:sz w:val="22"/>
          <w:szCs w:val="22"/>
        </w:rPr>
      </w:pPr>
    </w:p>
    <w:p w14:paraId="66B42263" w14:textId="7145336F" w:rsidR="00726C0B" w:rsidRDefault="00BB4E15">
      <w:pPr>
        <w:numPr>
          <w:ilvl w:val="0"/>
          <w:numId w:val="1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El cumplimiento con la lista de exclusión </w:t>
      </w:r>
      <w:r w:rsidR="00CF6FF4">
        <w:rPr>
          <w:rFonts w:ascii="Arial" w:eastAsia="Arial" w:hAnsi="Arial" w:cs="Arial"/>
          <w:color w:val="000000"/>
          <w:sz w:val="22"/>
          <w:szCs w:val="22"/>
        </w:rPr>
        <w:t xml:space="preserve">del programa </w:t>
      </w:r>
      <w:r>
        <w:rPr>
          <w:rFonts w:ascii="Arial" w:eastAsia="Arial" w:hAnsi="Arial" w:cs="Arial"/>
          <w:color w:val="000000"/>
          <w:sz w:val="22"/>
          <w:szCs w:val="22"/>
        </w:rPr>
        <w:t xml:space="preserve">en Anexo </w:t>
      </w:r>
      <w:r w:rsidR="008C7B45">
        <w:rPr>
          <w:rFonts w:ascii="Arial" w:eastAsia="Arial" w:hAnsi="Arial" w:cs="Arial"/>
          <w:color w:val="000000"/>
          <w:sz w:val="22"/>
          <w:szCs w:val="22"/>
        </w:rPr>
        <w:t>1</w:t>
      </w:r>
      <w:r>
        <w:rPr>
          <w:rFonts w:ascii="Arial" w:eastAsia="Arial" w:hAnsi="Arial" w:cs="Arial"/>
          <w:color w:val="000000"/>
          <w:sz w:val="22"/>
          <w:szCs w:val="22"/>
        </w:rPr>
        <w:t xml:space="preserve"> de este documento.</w:t>
      </w:r>
    </w:p>
    <w:p w14:paraId="279815F2" w14:textId="77777777" w:rsidR="00726C0B" w:rsidRDefault="00726C0B">
      <w:pPr>
        <w:pBdr>
          <w:top w:val="nil"/>
          <w:left w:val="nil"/>
          <w:bottom w:val="nil"/>
          <w:right w:val="nil"/>
          <w:between w:val="nil"/>
        </w:pBdr>
        <w:ind w:left="1152" w:hanging="720"/>
        <w:jc w:val="both"/>
        <w:rPr>
          <w:rFonts w:ascii="Arial" w:eastAsia="Arial" w:hAnsi="Arial" w:cs="Arial"/>
          <w:color w:val="000000"/>
          <w:sz w:val="22"/>
          <w:szCs w:val="22"/>
        </w:rPr>
      </w:pPr>
    </w:p>
    <w:p w14:paraId="108EA08F" w14:textId="77777777" w:rsidR="00726C0B" w:rsidRDefault="00BB4E15">
      <w:pPr>
        <w:numPr>
          <w:ilvl w:val="0"/>
          <w:numId w:val="1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cumplimiento con la regulación local aplicable.</w:t>
      </w:r>
    </w:p>
    <w:p w14:paraId="4AB257E7" w14:textId="77777777" w:rsidR="00726C0B" w:rsidRDefault="00726C0B">
      <w:pPr>
        <w:pBdr>
          <w:top w:val="nil"/>
          <w:left w:val="nil"/>
          <w:bottom w:val="nil"/>
          <w:right w:val="nil"/>
          <w:between w:val="nil"/>
        </w:pBdr>
        <w:ind w:left="1152" w:hanging="720"/>
        <w:jc w:val="both"/>
        <w:rPr>
          <w:rFonts w:ascii="Arial" w:eastAsia="Arial" w:hAnsi="Arial" w:cs="Arial"/>
          <w:color w:val="000000"/>
          <w:sz w:val="22"/>
          <w:szCs w:val="22"/>
        </w:rPr>
      </w:pPr>
    </w:p>
    <w:p w14:paraId="36E31D79" w14:textId="7B1EE410" w:rsidR="00726C0B" w:rsidRDefault="00BB4E15">
      <w:pPr>
        <w:numPr>
          <w:ilvl w:val="0"/>
          <w:numId w:val="1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El cumplimiento con las políticas del FONDEP o </w:t>
      </w:r>
      <w:r w:rsidR="00F014DE">
        <w:rPr>
          <w:rFonts w:ascii="Arial" w:eastAsia="Arial" w:hAnsi="Arial" w:cs="Arial"/>
          <w:color w:val="000000"/>
          <w:sz w:val="22"/>
          <w:szCs w:val="22"/>
        </w:rPr>
        <w:t xml:space="preserve">el </w:t>
      </w:r>
      <w:r>
        <w:rPr>
          <w:rFonts w:ascii="Arial" w:eastAsia="Arial" w:hAnsi="Arial" w:cs="Arial"/>
          <w:color w:val="000000"/>
          <w:sz w:val="22"/>
          <w:szCs w:val="22"/>
        </w:rPr>
        <w:t>FOGAR, según corresponda</w:t>
      </w:r>
      <w:r w:rsidR="00F014DE">
        <w:rPr>
          <w:rFonts w:ascii="Arial" w:eastAsia="Arial" w:hAnsi="Arial" w:cs="Arial"/>
          <w:color w:val="000000"/>
          <w:sz w:val="22"/>
          <w:szCs w:val="22"/>
        </w:rPr>
        <w:t xml:space="preserve"> </w:t>
      </w:r>
      <w:r w:rsidR="00F014DE">
        <w:rPr>
          <w:rFonts w:ascii="Arial" w:hAnsi="Arial" w:cs="Arial"/>
          <w:sz w:val="22"/>
          <w:lang w:val="es-ES_tradnl"/>
        </w:rPr>
        <w:t>y con las políticas y procesos socioambientales del BICE</w:t>
      </w:r>
      <w:r>
        <w:rPr>
          <w:rFonts w:ascii="Arial" w:eastAsia="Arial" w:hAnsi="Arial" w:cs="Arial"/>
          <w:color w:val="000000"/>
          <w:sz w:val="22"/>
          <w:szCs w:val="22"/>
        </w:rPr>
        <w:t>.</w:t>
      </w:r>
    </w:p>
    <w:p w14:paraId="41EE7BA8" w14:textId="77777777" w:rsidR="00726C0B" w:rsidRDefault="00726C0B">
      <w:pPr>
        <w:pBdr>
          <w:top w:val="nil"/>
          <w:left w:val="nil"/>
          <w:bottom w:val="nil"/>
          <w:right w:val="nil"/>
          <w:between w:val="nil"/>
        </w:pBdr>
        <w:ind w:left="1152" w:hanging="720"/>
        <w:jc w:val="both"/>
        <w:rPr>
          <w:rFonts w:ascii="Arial" w:eastAsia="Arial" w:hAnsi="Arial" w:cs="Arial"/>
          <w:color w:val="000000"/>
          <w:sz w:val="22"/>
          <w:szCs w:val="22"/>
        </w:rPr>
      </w:pPr>
    </w:p>
    <w:p w14:paraId="750AA78E" w14:textId="7CC587A6" w:rsidR="00726C0B" w:rsidRDefault="00BB4E15">
      <w:pPr>
        <w:numPr>
          <w:ilvl w:val="0"/>
          <w:numId w:val="1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Monto máximo por subpréstamo</w:t>
      </w:r>
      <w:r w:rsidR="00673593">
        <w:rPr>
          <w:rFonts w:ascii="Arial" w:eastAsia="Arial" w:hAnsi="Arial" w:cs="Arial"/>
          <w:color w:val="000000"/>
          <w:sz w:val="22"/>
          <w:szCs w:val="22"/>
        </w:rPr>
        <w:t>/garantía</w:t>
      </w:r>
      <w:r>
        <w:rPr>
          <w:rFonts w:ascii="Arial" w:eastAsia="Arial" w:hAnsi="Arial" w:cs="Arial"/>
          <w:color w:val="000000"/>
          <w:sz w:val="22"/>
          <w:szCs w:val="22"/>
        </w:rPr>
        <w:t xml:space="preserve"> de US$200 mil o su equivalente en moneda local.</w:t>
      </w:r>
    </w:p>
    <w:p w14:paraId="76536892" w14:textId="77777777" w:rsidR="00F014DE" w:rsidRDefault="00F014DE" w:rsidP="007B68A3">
      <w:pPr>
        <w:pStyle w:val="ListParagraph"/>
        <w:rPr>
          <w:rFonts w:ascii="Arial" w:eastAsia="Arial" w:hAnsi="Arial" w:cs="Arial"/>
          <w:color w:val="000000"/>
          <w:sz w:val="22"/>
          <w:szCs w:val="22"/>
        </w:rPr>
      </w:pPr>
    </w:p>
    <w:p w14:paraId="334B99AE" w14:textId="4CF20387" w:rsidR="00F014DE" w:rsidRDefault="00F014DE">
      <w:pPr>
        <w:numPr>
          <w:ilvl w:val="0"/>
          <w:numId w:val="1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exclusión de actividades del sector primario.</w:t>
      </w:r>
    </w:p>
    <w:p w14:paraId="31B136EC" w14:textId="77777777" w:rsidR="00F014DE" w:rsidRDefault="00F014DE" w:rsidP="007B68A3">
      <w:pPr>
        <w:pStyle w:val="ListParagraph"/>
        <w:rPr>
          <w:rFonts w:ascii="Arial" w:eastAsia="Arial" w:hAnsi="Arial" w:cs="Arial"/>
          <w:color w:val="000000"/>
          <w:sz w:val="22"/>
          <w:szCs w:val="22"/>
        </w:rPr>
      </w:pPr>
    </w:p>
    <w:p w14:paraId="1A325A0B" w14:textId="783F8B03" w:rsidR="00F014DE" w:rsidRDefault="00F014DE">
      <w:pPr>
        <w:numPr>
          <w:ilvl w:val="0"/>
          <w:numId w:val="14"/>
        </w:numPr>
        <w:pBdr>
          <w:top w:val="nil"/>
          <w:left w:val="nil"/>
          <w:bottom w:val="nil"/>
          <w:right w:val="nil"/>
          <w:between w:val="nil"/>
        </w:pBdr>
        <w:jc w:val="both"/>
        <w:rPr>
          <w:rFonts w:ascii="Arial" w:eastAsia="Arial" w:hAnsi="Arial" w:cs="Arial"/>
          <w:color w:val="000000"/>
          <w:sz w:val="22"/>
          <w:szCs w:val="22"/>
        </w:rPr>
      </w:pPr>
      <w:r w:rsidRPr="1024079A">
        <w:rPr>
          <w:rFonts w:ascii="Arial" w:hAnsi="Arial" w:cs="Arial"/>
          <w:sz w:val="22"/>
          <w:szCs w:val="22"/>
        </w:rPr>
        <w:t>La exclusión de subpréstamos</w:t>
      </w:r>
      <w:r w:rsidR="00CD6399">
        <w:rPr>
          <w:rFonts w:ascii="Arial" w:hAnsi="Arial" w:cs="Arial"/>
          <w:sz w:val="22"/>
          <w:szCs w:val="22"/>
        </w:rPr>
        <w:t>/garantías</w:t>
      </w:r>
      <w:r w:rsidRPr="1024079A">
        <w:rPr>
          <w:rFonts w:ascii="Arial" w:hAnsi="Arial" w:cs="Arial"/>
          <w:sz w:val="22"/>
          <w:szCs w:val="22"/>
        </w:rPr>
        <w:t xml:space="preserve"> a proyectos categorizados como Categoría A (alto impacto) y B (medio impacto) por el BICE</w:t>
      </w:r>
    </w:p>
    <w:p w14:paraId="34CAF663" w14:textId="77777777" w:rsidR="00726C0B" w:rsidRDefault="00726C0B">
      <w:pPr>
        <w:spacing w:before="20"/>
        <w:jc w:val="both"/>
        <w:rPr>
          <w:rFonts w:ascii="Arial" w:eastAsia="Arial" w:hAnsi="Arial" w:cs="Arial"/>
          <w:sz w:val="22"/>
          <w:szCs w:val="22"/>
        </w:rPr>
      </w:pPr>
    </w:p>
    <w:p w14:paraId="695AFAEB" w14:textId="290C597E" w:rsidR="00726C0B" w:rsidRDefault="00F014DE">
      <w:pPr>
        <w:numPr>
          <w:ilvl w:val="1"/>
          <w:numId w:val="11"/>
        </w:numPr>
        <w:pBdr>
          <w:top w:val="nil"/>
          <w:left w:val="nil"/>
          <w:bottom w:val="nil"/>
          <w:right w:val="nil"/>
          <w:between w:val="nil"/>
        </w:pBdr>
        <w:jc w:val="both"/>
        <w:rPr>
          <w:rFonts w:ascii="Arial" w:eastAsia="Arial" w:hAnsi="Arial" w:cs="Arial"/>
          <w:color w:val="000000"/>
        </w:rPr>
      </w:pPr>
      <w:r w:rsidRPr="1024079A">
        <w:rPr>
          <w:rFonts w:ascii="Arial" w:eastAsia="Arial" w:hAnsi="Arial" w:cs="Arial"/>
          <w:color w:val="000000" w:themeColor="text1"/>
          <w:sz w:val="22"/>
          <w:szCs w:val="22"/>
        </w:rPr>
        <w:t>El OE</w:t>
      </w:r>
      <w:r w:rsidR="00BB4E15" w:rsidRPr="1024079A">
        <w:rPr>
          <w:rFonts w:ascii="Arial" w:eastAsia="Arial" w:hAnsi="Arial" w:cs="Arial"/>
          <w:color w:val="000000" w:themeColor="text1"/>
          <w:sz w:val="22"/>
          <w:szCs w:val="22"/>
        </w:rPr>
        <w:t xml:space="preserve"> será responsable de velar por el cumplimiento del </w:t>
      </w:r>
      <w:r w:rsidR="001C6A4C">
        <w:rPr>
          <w:rFonts w:ascii="Arial" w:eastAsia="Arial" w:hAnsi="Arial" w:cs="Arial"/>
          <w:color w:val="000000" w:themeColor="text1"/>
          <w:sz w:val="22"/>
          <w:szCs w:val="22"/>
        </w:rPr>
        <w:t>p</w:t>
      </w:r>
      <w:r w:rsidR="00BB4E15" w:rsidRPr="1024079A">
        <w:rPr>
          <w:rFonts w:ascii="Arial" w:eastAsia="Arial" w:hAnsi="Arial" w:cs="Arial"/>
          <w:color w:val="000000" w:themeColor="text1"/>
          <w:sz w:val="22"/>
          <w:szCs w:val="22"/>
        </w:rPr>
        <w:t xml:space="preserve">rograma con este RC, así como de coordinar el seguimiento de los requerimientos de monitoreo y evaluación. En particular, deberá presentar semestralmente – dentro de las fechas limites establecidas para el ingreso del PMR – un Informe de Cumplimiento de Gestión de Riesgos Socioambientales con información sobre el portafolio financiado, los riesgos identificados y sus medidas de mitigación ambientales y sociales si fuera relevante y el estado de cumplimiento del </w:t>
      </w:r>
      <w:r w:rsidR="00E52BD2">
        <w:rPr>
          <w:rFonts w:ascii="Arial" w:eastAsia="Arial" w:hAnsi="Arial" w:cs="Arial"/>
          <w:color w:val="000000" w:themeColor="text1"/>
          <w:sz w:val="22"/>
          <w:szCs w:val="22"/>
        </w:rPr>
        <w:t>p</w:t>
      </w:r>
      <w:r w:rsidR="00BB4E15" w:rsidRPr="1024079A">
        <w:rPr>
          <w:rFonts w:ascii="Arial" w:eastAsia="Arial" w:hAnsi="Arial" w:cs="Arial"/>
          <w:color w:val="000000" w:themeColor="text1"/>
          <w:sz w:val="22"/>
          <w:szCs w:val="22"/>
        </w:rPr>
        <w:t xml:space="preserve">rograma con el RC (ver Anexo </w:t>
      </w:r>
      <w:r w:rsidR="00D57B49">
        <w:rPr>
          <w:rFonts w:ascii="Arial" w:eastAsia="Arial" w:hAnsi="Arial" w:cs="Arial"/>
          <w:color w:val="000000" w:themeColor="text1"/>
          <w:sz w:val="22"/>
          <w:szCs w:val="22"/>
        </w:rPr>
        <w:t>2</w:t>
      </w:r>
      <w:r w:rsidR="00BB4E15" w:rsidRPr="1024079A">
        <w:rPr>
          <w:rFonts w:ascii="Arial" w:eastAsia="Arial" w:hAnsi="Arial" w:cs="Arial"/>
          <w:color w:val="000000" w:themeColor="text1"/>
          <w:sz w:val="22"/>
          <w:szCs w:val="22"/>
        </w:rPr>
        <w:t xml:space="preserve">). </w:t>
      </w:r>
    </w:p>
    <w:p w14:paraId="62590A19" w14:textId="77777777" w:rsidR="00726C0B" w:rsidRDefault="00726C0B">
      <w:pPr>
        <w:pBdr>
          <w:top w:val="nil"/>
          <w:left w:val="nil"/>
          <w:bottom w:val="nil"/>
          <w:right w:val="nil"/>
          <w:between w:val="nil"/>
        </w:pBdr>
        <w:ind w:left="907" w:hanging="720"/>
        <w:jc w:val="both"/>
        <w:rPr>
          <w:rFonts w:ascii="Arial" w:eastAsia="Arial" w:hAnsi="Arial" w:cs="Arial"/>
          <w:color w:val="000000"/>
          <w:sz w:val="22"/>
          <w:szCs w:val="22"/>
        </w:rPr>
      </w:pPr>
    </w:p>
    <w:p w14:paraId="0CE53D2C" w14:textId="27176C2F" w:rsidR="00726C0B" w:rsidRDefault="00BB4E15">
      <w:pPr>
        <w:numPr>
          <w:ilvl w:val="1"/>
          <w:numId w:val="11"/>
        </w:numPr>
        <w:pBdr>
          <w:top w:val="nil"/>
          <w:left w:val="nil"/>
          <w:bottom w:val="nil"/>
          <w:right w:val="nil"/>
          <w:between w:val="nil"/>
        </w:pBdr>
        <w:jc w:val="both"/>
        <w:rPr>
          <w:rFonts w:ascii="Arial" w:eastAsia="Arial" w:hAnsi="Arial" w:cs="Arial"/>
          <w:color w:val="000000"/>
        </w:rPr>
      </w:pPr>
      <w:r w:rsidRPr="1024079A">
        <w:rPr>
          <w:rFonts w:ascii="Arial" w:eastAsia="Arial" w:hAnsi="Arial" w:cs="Arial"/>
          <w:color w:val="000000" w:themeColor="text1"/>
          <w:sz w:val="22"/>
          <w:szCs w:val="22"/>
        </w:rPr>
        <w:t xml:space="preserve">El BID supervisará la aplicación del SARAS del </w:t>
      </w:r>
      <w:r w:rsidR="00147862">
        <w:rPr>
          <w:rFonts w:ascii="Arial" w:eastAsia="Arial" w:hAnsi="Arial" w:cs="Arial"/>
          <w:color w:val="000000" w:themeColor="text1"/>
          <w:sz w:val="22"/>
          <w:szCs w:val="22"/>
        </w:rPr>
        <w:t>p</w:t>
      </w:r>
      <w:r w:rsidRPr="1024079A">
        <w:rPr>
          <w:rFonts w:ascii="Arial" w:eastAsia="Arial" w:hAnsi="Arial" w:cs="Arial"/>
          <w:color w:val="000000" w:themeColor="text1"/>
          <w:sz w:val="22"/>
          <w:szCs w:val="22"/>
        </w:rPr>
        <w:t>rograma para proyectos financiados con el uso de recursos del programa, según sea necesario por un especialista del BID o un consultor externo contratado por el BID. Para este fin, la SEPYME proveerá y facilitará acceso al BID a toda la documentación relevante, personal y proyectos.</w:t>
      </w:r>
    </w:p>
    <w:p w14:paraId="51687D87" w14:textId="77777777" w:rsidR="00726C0B" w:rsidRDefault="00726C0B">
      <w:pPr>
        <w:jc w:val="both"/>
        <w:rPr>
          <w:rFonts w:ascii="Arial" w:eastAsia="Arial" w:hAnsi="Arial" w:cs="Arial"/>
          <w:sz w:val="22"/>
          <w:szCs w:val="22"/>
        </w:rPr>
      </w:pPr>
    </w:p>
    <w:p w14:paraId="30A474E4" w14:textId="78F4936C" w:rsidR="00726C0B" w:rsidRPr="00971D84" w:rsidRDefault="00BB4E15">
      <w:pPr>
        <w:numPr>
          <w:ilvl w:val="1"/>
          <w:numId w:val="11"/>
        </w:numPr>
        <w:pBdr>
          <w:top w:val="nil"/>
          <w:left w:val="nil"/>
          <w:bottom w:val="nil"/>
          <w:right w:val="nil"/>
          <w:between w:val="nil"/>
        </w:pBdr>
        <w:jc w:val="both"/>
        <w:rPr>
          <w:rFonts w:ascii="Arial" w:eastAsia="Arial" w:hAnsi="Arial" w:cs="Arial"/>
          <w:color w:val="000000"/>
        </w:rPr>
      </w:pPr>
      <w:r w:rsidRPr="1024079A">
        <w:rPr>
          <w:rFonts w:ascii="Arial" w:eastAsia="Arial" w:hAnsi="Arial" w:cs="Arial"/>
          <w:color w:val="000000" w:themeColor="text1"/>
          <w:sz w:val="22"/>
          <w:szCs w:val="22"/>
        </w:rPr>
        <w:t>Si fuera necesario, el BID y la SEPYME acordarán acciones o medidas correctivas necesarias para solventar impactos y riesgos adversos y/o para mejorar su gestión.</w:t>
      </w:r>
    </w:p>
    <w:p w14:paraId="7E8DE073" w14:textId="77777777" w:rsidR="00971D84" w:rsidRDefault="00971D84" w:rsidP="00971D84">
      <w:pPr>
        <w:pStyle w:val="ListParagraph"/>
        <w:rPr>
          <w:rFonts w:ascii="Arial" w:eastAsia="Arial" w:hAnsi="Arial" w:cs="Arial"/>
          <w:color w:val="000000"/>
        </w:rPr>
      </w:pPr>
    </w:p>
    <w:p w14:paraId="59C891CA" w14:textId="77777777" w:rsidR="00971D84" w:rsidRDefault="00971D84" w:rsidP="00971D84">
      <w:pPr>
        <w:pBdr>
          <w:top w:val="nil"/>
          <w:left w:val="nil"/>
          <w:bottom w:val="nil"/>
          <w:right w:val="nil"/>
          <w:between w:val="nil"/>
        </w:pBdr>
        <w:ind w:left="907"/>
        <w:jc w:val="both"/>
        <w:rPr>
          <w:rFonts w:ascii="Arial" w:eastAsia="Arial" w:hAnsi="Arial" w:cs="Arial"/>
          <w:color w:val="000000"/>
        </w:rPr>
      </w:pPr>
    </w:p>
    <w:p w14:paraId="3025284B" w14:textId="12C59033" w:rsidR="00726C0B" w:rsidRDefault="00BB4E15" w:rsidP="00971D84">
      <w:pPr>
        <w:pStyle w:val="Heading1"/>
        <w:numPr>
          <w:ilvl w:val="0"/>
          <w:numId w:val="11"/>
        </w:numPr>
        <w:jc w:val="both"/>
        <w:rPr>
          <w:sz w:val="22"/>
          <w:szCs w:val="22"/>
        </w:rPr>
      </w:pPr>
      <w:bookmarkStart w:id="18" w:name="_Toc42709763"/>
      <w:r w:rsidRPr="1024079A">
        <w:rPr>
          <w:sz w:val="22"/>
          <w:szCs w:val="22"/>
        </w:rPr>
        <w:lastRenderedPageBreak/>
        <w:t>Otras</w:t>
      </w:r>
      <w:r w:rsidDel="00283FA6">
        <w:rPr>
          <w:sz w:val="22"/>
          <w:szCs w:val="22"/>
        </w:rPr>
        <w:t xml:space="preserve"> </w:t>
      </w:r>
      <w:r w:rsidR="00283FA6">
        <w:rPr>
          <w:sz w:val="22"/>
          <w:szCs w:val="22"/>
        </w:rPr>
        <w:t xml:space="preserve">condiciones </w:t>
      </w:r>
      <w:r>
        <w:rPr>
          <w:sz w:val="22"/>
          <w:szCs w:val="22"/>
        </w:rPr>
        <w:t>de los subpréstamos y garantías con financiación del Programa</w:t>
      </w:r>
      <w:bookmarkEnd w:id="18"/>
    </w:p>
    <w:p w14:paraId="1C879A71" w14:textId="77777777" w:rsidR="00726C0B" w:rsidRDefault="00726C0B">
      <w:pPr>
        <w:ind w:left="360"/>
        <w:rPr>
          <w:rFonts w:ascii="Arial" w:eastAsia="Arial" w:hAnsi="Arial" w:cs="Arial"/>
          <w:sz w:val="22"/>
          <w:szCs w:val="22"/>
        </w:rPr>
      </w:pPr>
    </w:p>
    <w:p w14:paraId="193CA8AF" w14:textId="646890EF" w:rsidR="00726C0B" w:rsidRPr="00337797" w:rsidRDefault="00BB4E15">
      <w:pPr>
        <w:numPr>
          <w:ilvl w:val="1"/>
          <w:numId w:val="11"/>
        </w:numPr>
        <w:pBdr>
          <w:top w:val="nil"/>
          <w:left w:val="nil"/>
          <w:bottom w:val="nil"/>
          <w:right w:val="nil"/>
          <w:between w:val="nil"/>
        </w:pBdr>
        <w:jc w:val="both"/>
        <w:rPr>
          <w:rFonts w:ascii="Arial" w:eastAsia="Arial" w:hAnsi="Arial" w:cs="Arial"/>
          <w:color w:val="000000"/>
        </w:rPr>
      </w:pPr>
      <w:r w:rsidRPr="00337797">
        <w:rPr>
          <w:rFonts w:ascii="Arial" w:eastAsia="Arial" w:hAnsi="Arial" w:cs="Arial"/>
          <w:b/>
          <w:color w:val="000000"/>
          <w:sz w:val="22"/>
          <w:szCs w:val="22"/>
        </w:rPr>
        <w:t>Obligaciones de cumplimiento:</w:t>
      </w:r>
      <w:r w:rsidRPr="00337797">
        <w:rPr>
          <w:rFonts w:ascii="Arial" w:eastAsia="Arial" w:hAnsi="Arial" w:cs="Arial"/>
          <w:color w:val="000000"/>
          <w:sz w:val="22"/>
          <w:szCs w:val="22"/>
        </w:rPr>
        <w:t xml:space="preserve"> El OE, directamente o a través del FONDEP y del FOGAR, se compromete a: (i) velar por el debido seguimiento en materia de cumplimiento de los subpréstamos, de acuerdo con la regulación aplicable en Argentina</w:t>
      </w:r>
      <w:r w:rsidR="0097359E" w:rsidRPr="00337797">
        <w:t xml:space="preserve"> </w:t>
      </w:r>
      <w:r w:rsidR="0097359E" w:rsidRPr="00337797">
        <w:rPr>
          <w:rFonts w:ascii="Arial" w:eastAsia="Arial" w:hAnsi="Arial" w:cs="Arial"/>
          <w:color w:val="000000"/>
          <w:sz w:val="22"/>
          <w:szCs w:val="22"/>
        </w:rPr>
        <w:t>y con los Requerimientos de Integridad del Programa</w:t>
      </w:r>
      <w:r w:rsidRPr="00337797">
        <w:rPr>
          <w:rFonts w:ascii="Arial" w:eastAsia="Arial" w:hAnsi="Arial" w:cs="Arial"/>
          <w:color w:val="000000"/>
          <w:sz w:val="22"/>
          <w:szCs w:val="22"/>
        </w:rPr>
        <w:t>; (</w:t>
      </w:r>
      <w:proofErr w:type="spellStart"/>
      <w:r w:rsidRPr="00337797">
        <w:rPr>
          <w:rFonts w:ascii="Arial" w:eastAsia="Arial" w:hAnsi="Arial" w:cs="Arial"/>
          <w:color w:val="000000"/>
          <w:sz w:val="22"/>
          <w:szCs w:val="22"/>
        </w:rPr>
        <w:t>ii</w:t>
      </w:r>
      <w:proofErr w:type="spellEnd"/>
      <w:r w:rsidRPr="00337797">
        <w:rPr>
          <w:rFonts w:ascii="Arial" w:eastAsia="Arial" w:hAnsi="Arial" w:cs="Arial"/>
          <w:color w:val="000000"/>
          <w:sz w:val="22"/>
          <w:szCs w:val="22"/>
        </w:rPr>
        <w:t>) analizar y revisar periódicamente las capacidades de las IFI para asegurar que cumplan con las disposiciones regulatorias en materia de cumplimiento; (</w:t>
      </w:r>
      <w:proofErr w:type="spellStart"/>
      <w:r w:rsidRPr="00337797">
        <w:rPr>
          <w:rFonts w:ascii="Arial" w:eastAsia="Arial" w:hAnsi="Arial" w:cs="Arial"/>
          <w:color w:val="000000"/>
          <w:sz w:val="22"/>
          <w:szCs w:val="22"/>
        </w:rPr>
        <w:t>iii</w:t>
      </w:r>
      <w:proofErr w:type="spellEnd"/>
      <w:r w:rsidRPr="00337797">
        <w:rPr>
          <w:rFonts w:ascii="Arial" w:eastAsia="Arial" w:hAnsi="Arial" w:cs="Arial"/>
          <w:color w:val="000000"/>
          <w:sz w:val="22"/>
          <w:szCs w:val="22"/>
        </w:rPr>
        <w:t xml:space="preserve">) para los subpréstamos superiores a </w:t>
      </w:r>
      <w:r w:rsidR="00C563EC" w:rsidRPr="00337797">
        <w:rPr>
          <w:rFonts w:ascii="Arial" w:eastAsia="Arial" w:hAnsi="Arial" w:cs="Arial"/>
          <w:color w:val="000000"/>
          <w:sz w:val="22"/>
          <w:szCs w:val="22"/>
        </w:rPr>
        <w:t>30</w:t>
      </w:r>
      <w:r w:rsidRPr="00337797">
        <w:rPr>
          <w:rFonts w:ascii="Arial" w:eastAsia="Arial" w:hAnsi="Arial" w:cs="Arial"/>
          <w:color w:val="000000"/>
          <w:sz w:val="22"/>
          <w:szCs w:val="22"/>
        </w:rPr>
        <w:t>.000 dólares financiados con recursos de</w:t>
      </w:r>
      <w:r w:rsidR="005A3FD8" w:rsidRPr="00337797">
        <w:rPr>
          <w:rFonts w:ascii="Arial" w:eastAsia="Arial" w:hAnsi="Arial" w:cs="Arial"/>
          <w:color w:val="000000"/>
          <w:sz w:val="22"/>
          <w:szCs w:val="22"/>
        </w:rPr>
        <w:t>l</w:t>
      </w:r>
      <w:r w:rsidRPr="00337797">
        <w:rPr>
          <w:rFonts w:ascii="Arial" w:eastAsia="Arial" w:hAnsi="Arial" w:cs="Arial"/>
          <w:color w:val="000000"/>
          <w:sz w:val="22"/>
          <w:szCs w:val="22"/>
        </w:rPr>
        <w:t xml:space="preserve"> </w:t>
      </w:r>
      <w:r w:rsidR="005A3FD8" w:rsidRPr="00337797">
        <w:rPr>
          <w:rFonts w:ascii="Arial" w:eastAsia="Arial" w:hAnsi="Arial" w:cs="Arial"/>
          <w:color w:val="000000"/>
          <w:sz w:val="22"/>
          <w:szCs w:val="22"/>
        </w:rPr>
        <w:t>p</w:t>
      </w:r>
      <w:r w:rsidRPr="00337797">
        <w:rPr>
          <w:rFonts w:ascii="Arial" w:eastAsia="Arial" w:hAnsi="Arial" w:cs="Arial"/>
          <w:color w:val="000000"/>
          <w:sz w:val="22"/>
          <w:szCs w:val="22"/>
        </w:rPr>
        <w:t>rograma, informar al subprestatario de las provisiones contra prácticas prohibidas de la política del BID mediante notificación escrita; y (</w:t>
      </w:r>
      <w:proofErr w:type="spellStart"/>
      <w:r w:rsidRPr="00337797">
        <w:rPr>
          <w:rFonts w:ascii="Arial" w:eastAsia="Arial" w:hAnsi="Arial" w:cs="Arial"/>
          <w:color w:val="000000"/>
          <w:sz w:val="22"/>
          <w:szCs w:val="22"/>
        </w:rPr>
        <w:t>iv</w:t>
      </w:r>
      <w:proofErr w:type="spellEnd"/>
      <w:r w:rsidRPr="00337797">
        <w:rPr>
          <w:rFonts w:ascii="Arial" w:eastAsia="Arial" w:hAnsi="Arial" w:cs="Arial"/>
          <w:color w:val="000000"/>
          <w:sz w:val="22"/>
          <w:szCs w:val="22"/>
        </w:rPr>
        <w:t>) notificar al Banco de cualquier efecto adverso material que se identifiquen en las IFI o en los subpréstamos.</w:t>
      </w:r>
    </w:p>
    <w:p w14:paraId="47200DED" w14:textId="77777777" w:rsidR="00726C0B" w:rsidRDefault="00726C0B">
      <w:pPr>
        <w:pBdr>
          <w:top w:val="nil"/>
          <w:left w:val="nil"/>
          <w:bottom w:val="nil"/>
          <w:right w:val="nil"/>
          <w:between w:val="nil"/>
        </w:pBdr>
        <w:ind w:left="907" w:hanging="720"/>
        <w:jc w:val="both"/>
        <w:rPr>
          <w:rFonts w:ascii="Arial" w:eastAsia="Arial" w:hAnsi="Arial" w:cs="Arial"/>
          <w:color w:val="000000"/>
          <w:sz w:val="22"/>
          <w:szCs w:val="22"/>
        </w:rPr>
      </w:pPr>
    </w:p>
    <w:p w14:paraId="33C31A76" w14:textId="77777777" w:rsidR="00726C0B" w:rsidRDefault="00BB4E15">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Utilización de los créditos:</w:t>
      </w:r>
      <w:r>
        <w:rPr>
          <w:rFonts w:ascii="Arial" w:eastAsia="Arial" w:hAnsi="Arial" w:cs="Arial"/>
          <w:color w:val="000000"/>
          <w:sz w:val="22"/>
          <w:szCs w:val="22"/>
        </w:rPr>
        <w:t xml:space="preserve"> El beneficiario final deberá comprometerse a que los bienes y servicios que se financien a través del Programa se utilizarán exclusivamente en la ejecución del respectivo subproyecto y se ajustarán a los compromisos de uso de los recursos estipulado en los documentos de crédito en concordancia con los reglamentos de crédito elegibles bajo el programa y en el contexto de la emergencia generada por el COVID-19. Esta provisión deberá estipularse en el contrato de préstamo o en un documento anexo.</w:t>
      </w:r>
    </w:p>
    <w:p w14:paraId="5EDAE0C8" w14:textId="77777777" w:rsidR="00726C0B" w:rsidRDefault="00726C0B">
      <w:pPr>
        <w:jc w:val="both"/>
        <w:rPr>
          <w:rFonts w:ascii="Arial" w:eastAsia="Arial" w:hAnsi="Arial" w:cs="Arial"/>
          <w:sz w:val="22"/>
          <w:szCs w:val="22"/>
        </w:rPr>
      </w:pPr>
    </w:p>
    <w:p w14:paraId="0DEE302D" w14:textId="77777777" w:rsidR="00726C0B" w:rsidRDefault="00BB4E15">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Derecho de inspección:</w:t>
      </w:r>
      <w:r>
        <w:rPr>
          <w:rFonts w:ascii="Arial" w:eastAsia="Arial" w:hAnsi="Arial" w:cs="Arial"/>
          <w:color w:val="000000"/>
          <w:sz w:val="22"/>
          <w:szCs w:val="22"/>
        </w:rPr>
        <w:t xml:space="preserve"> El BID tendrá el derecho de examinar los bienes, los lugares, los trabajos y las construcciones del respectivo subproyecto, incluyendo todo lo relativo al cumplimiento de las condiciones socioambientales. El personal del OE coordinará y liderará en todo momento esta inspección. </w:t>
      </w:r>
    </w:p>
    <w:p w14:paraId="05BAE7D2" w14:textId="77777777" w:rsidR="00726C0B" w:rsidRDefault="00726C0B">
      <w:pPr>
        <w:pBdr>
          <w:top w:val="nil"/>
          <w:left w:val="nil"/>
          <w:bottom w:val="nil"/>
          <w:right w:val="nil"/>
          <w:between w:val="nil"/>
        </w:pBdr>
        <w:ind w:left="907" w:hanging="720"/>
        <w:jc w:val="both"/>
        <w:rPr>
          <w:rFonts w:ascii="Arial" w:eastAsia="Arial" w:hAnsi="Arial" w:cs="Arial"/>
          <w:color w:val="000000"/>
          <w:sz w:val="22"/>
          <w:szCs w:val="22"/>
        </w:rPr>
      </w:pPr>
    </w:p>
    <w:p w14:paraId="6E5C22FA" w14:textId="72A22C0E" w:rsidR="00726C0B" w:rsidRDefault="00BB4E15">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Obligación de entrega de información:</w:t>
      </w:r>
      <w:r>
        <w:rPr>
          <w:rFonts w:ascii="Arial" w:eastAsia="Arial" w:hAnsi="Arial" w:cs="Arial"/>
          <w:color w:val="000000"/>
          <w:sz w:val="22"/>
          <w:szCs w:val="22"/>
        </w:rPr>
        <w:t xml:space="preserve"> El OE y el BID tendrán el derecho de solicitar al subprestatario toda la información relacionada con el </w:t>
      </w:r>
      <w:r w:rsidR="00423299">
        <w:rPr>
          <w:rFonts w:ascii="Arial" w:eastAsia="Arial" w:hAnsi="Arial" w:cs="Arial"/>
          <w:color w:val="000000"/>
          <w:sz w:val="22"/>
          <w:szCs w:val="22"/>
        </w:rPr>
        <w:t>s</w:t>
      </w:r>
      <w:r w:rsidR="00713865">
        <w:rPr>
          <w:rFonts w:ascii="Arial" w:eastAsia="Arial" w:hAnsi="Arial" w:cs="Arial"/>
          <w:color w:val="000000"/>
          <w:sz w:val="22"/>
          <w:szCs w:val="22"/>
        </w:rPr>
        <w:t>ubpréstamo</w:t>
      </w:r>
      <w:r w:rsidR="00423299">
        <w:rPr>
          <w:rFonts w:ascii="Arial" w:eastAsia="Arial" w:hAnsi="Arial" w:cs="Arial"/>
          <w:color w:val="000000"/>
          <w:sz w:val="22"/>
          <w:szCs w:val="22"/>
        </w:rPr>
        <w:t xml:space="preserve"> </w:t>
      </w:r>
      <w:r>
        <w:rPr>
          <w:rFonts w:ascii="Arial" w:eastAsia="Arial" w:hAnsi="Arial" w:cs="Arial"/>
          <w:color w:val="000000"/>
          <w:sz w:val="22"/>
          <w:szCs w:val="22"/>
        </w:rPr>
        <w:t xml:space="preserve">y con el desempeño y la situación financiera y socioambiental del proyecto y de la empresa </w:t>
      </w:r>
      <w:proofErr w:type="spellStart"/>
      <w:r>
        <w:rPr>
          <w:rFonts w:ascii="Arial" w:eastAsia="Arial" w:hAnsi="Arial" w:cs="Arial"/>
          <w:color w:val="000000"/>
          <w:sz w:val="22"/>
          <w:szCs w:val="22"/>
        </w:rPr>
        <w:t>subprestataria</w:t>
      </w:r>
      <w:proofErr w:type="spellEnd"/>
      <w:r>
        <w:rPr>
          <w:rFonts w:ascii="Arial" w:eastAsia="Arial" w:hAnsi="Arial" w:cs="Arial"/>
          <w:color w:val="000000"/>
          <w:sz w:val="22"/>
          <w:szCs w:val="22"/>
        </w:rPr>
        <w:t>. El OE coordinará y liderará en todo momento la entrega de esta información, que a su vez servirá para elaborar los reportes de supervisión y evaluación del programa. Esta provisión deberá estipularse en el contrato de préstamo entre la IFI y el subprestatario.</w:t>
      </w:r>
    </w:p>
    <w:p w14:paraId="5FB6B9CB" w14:textId="77777777" w:rsidR="00726C0B" w:rsidRDefault="00726C0B">
      <w:pPr>
        <w:pBdr>
          <w:top w:val="nil"/>
          <w:left w:val="nil"/>
          <w:bottom w:val="nil"/>
          <w:right w:val="nil"/>
          <w:between w:val="nil"/>
        </w:pBdr>
        <w:ind w:left="907" w:hanging="720"/>
        <w:jc w:val="both"/>
        <w:rPr>
          <w:rFonts w:ascii="Arial" w:eastAsia="Arial" w:hAnsi="Arial" w:cs="Arial"/>
          <w:color w:val="000000"/>
          <w:sz w:val="22"/>
          <w:szCs w:val="22"/>
        </w:rPr>
      </w:pPr>
    </w:p>
    <w:p w14:paraId="00028D06" w14:textId="77777777" w:rsidR="00726C0B" w:rsidRDefault="00BB4E15">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Derecho de suspender desembolsos:</w:t>
      </w:r>
      <w:r>
        <w:rPr>
          <w:rFonts w:ascii="Arial" w:eastAsia="Arial" w:hAnsi="Arial" w:cs="Arial"/>
          <w:color w:val="000000"/>
          <w:sz w:val="22"/>
          <w:szCs w:val="22"/>
        </w:rPr>
        <w:t xml:space="preserve"> El BID cuenta con el derecho en cualquier momento de la vida del crédito, a solicitar a las IFI la suspensión de desembolsos y/o solicitar el vencimiento anticipado del subpréstamo dentro del Programa, si el subprestatario no cumple con sus obligaciones relacionadas con la utilización de los créditos, la limitación de destino de los recursos de acuerdo con las estipulaciones de este RC y sus anexos. En estos casos, la IFI procederá de inmediato a reemplazar de la cartera del Programa cualquier subpréstamo que caiga en incumplimiento por las razones previamente aludidas.</w:t>
      </w:r>
    </w:p>
    <w:p w14:paraId="7CE8BE59" w14:textId="77777777" w:rsidR="00726C0B" w:rsidRDefault="00726C0B">
      <w:pPr>
        <w:pBdr>
          <w:top w:val="nil"/>
          <w:left w:val="nil"/>
          <w:bottom w:val="nil"/>
          <w:right w:val="nil"/>
          <w:between w:val="nil"/>
        </w:pBdr>
        <w:ind w:left="907" w:hanging="720"/>
        <w:jc w:val="both"/>
        <w:rPr>
          <w:rFonts w:ascii="Arial" w:eastAsia="Arial" w:hAnsi="Arial" w:cs="Arial"/>
          <w:color w:val="000000"/>
          <w:sz w:val="22"/>
          <w:szCs w:val="22"/>
        </w:rPr>
      </w:pPr>
    </w:p>
    <w:p w14:paraId="07DB4BC1" w14:textId="5C00844C" w:rsidR="00726C0B" w:rsidRDefault="00BB4E15">
      <w:pPr>
        <w:numPr>
          <w:ilvl w:val="1"/>
          <w:numId w:val="11"/>
        </w:numPr>
        <w:pBdr>
          <w:top w:val="nil"/>
          <w:left w:val="nil"/>
          <w:bottom w:val="nil"/>
          <w:right w:val="nil"/>
          <w:between w:val="nil"/>
        </w:pBdr>
        <w:jc w:val="both"/>
        <w:rPr>
          <w:rFonts w:ascii="Arial" w:eastAsia="Arial" w:hAnsi="Arial" w:cs="Arial"/>
          <w:color w:val="000000"/>
        </w:rPr>
      </w:pPr>
      <w:bookmarkStart w:id="19" w:name="_44sinio" w:colFirst="0" w:colLast="0"/>
      <w:bookmarkEnd w:id="19"/>
      <w:r>
        <w:rPr>
          <w:rFonts w:ascii="Arial" w:eastAsia="Arial" w:hAnsi="Arial" w:cs="Arial"/>
          <w:b/>
          <w:color w:val="000000"/>
          <w:sz w:val="22"/>
          <w:szCs w:val="22"/>
        </w:rPr>
        <w:t>Garantías:</w:t>
      </w:r>
      <w:r>
        <w:rPr>
          <w:rFonts w:ascii="Arial" w:eastAsia="Arial" w:hAnsi="Arial" w:cs="Arial"/>
          <w:color w:val="000000"/>
          <w:sz w:val="22"/>
          <w:szCs w:val="22"/>
        </w:rPr>
        <w:t xml:space="preserve"> FONDEP </w:t>
      </w:r>
      <w:r w:rsidR="00BA44AD">
        <w:rPr>
          <w:rFonts w:ascii="Arial" w:eastAsia="Arial" w:hAnsi="Arial" w:cs="Arial"/>
          <w:color w:val="000000"/>
          <w:sz w:val="22"/>
          <w:szCs w:val="22"/>
        </w:rPr>
        <w:t>y</w:t>
      </w:r>
      <w:r w:rsidR="00FE5A9D">
        <w:rPr>
          <w:rFonts w:ascii="Arial" w:eastAsia="Arial" w:hAnsi="Arial" w:cs="Arial"/>
          <w:color w:val="000000"/>
          <w:sz w:val="22"/>
          <w:szCs w:val="22"/>
        </w:rPr>
        <w:t xml:space="preserve">/o la IFI </w:t>
      </w:r>
      <w:r>
        <w:rPr>
          <w:rFonts w:ascii="Arial" w:eastAsia="Arial" w:hAnsi="Arial" w:cs="Arial"/>
          <w:color w:val="000000"/>
          <w:sz w:val="22"/>
          <w:szCs w:val="22"/>
        </w:rPr>
        <w:t>podrá</w:t>
      </w:r>
      <w:r w:rsidR="00FE5A9D">
        <w:rPr>
          <w:rFonts w:ascii="Arial" w:eastAsia="Arial" w:hAnsi="Arial" w:cs="Arial"/>
          <w:color w:val="000000"/>
          <w:sz w:val="22"/>
          <w:szCs w:val="22"/>
        </w:rPr>
        <w:t>n</w:t>
      </w:r>
      <w:r>
        <w:rPr>
          <w:rFonts w:ascii="Arial" w:eastAsia="Arial" w:hAnsi="Arial" w:cs="Arial"/>
          <w:color w:val="000000"/>
          <w:sz w:val="22"/>
          <w:szCs w:val="22"/>
        </w:rPr>
        <w:t xml:space="preserve"> exigir la constitución de garantías suficientes por parte del subprestatario, de acuerdo con lo estipulado por su reglamento interno de crédito y este RC, en el contexto de la emergencia por el COVID-19.</w:t>
      </w:r>
      <w:r>
        <w:rPr>
          <w:rFonts w:ascii="Arial" w:eastAsia="Arial" w:hAnsi="Arial" w:cs="Arial"/>
          <w:color w:val="000000"/>
        </w:rPr>
        <w:t xml:space="preserve"> </w:t>
      </w:r>
    </w:p>
    <w:p w14:paraId="1FE43791" w14:textId="77777777" w:rsidR="00190C31" w:rsidRDefault="00190C31" w:rsidP="00190C31">
      <w:pPr>
        <w:pStyle w:val="Heading1"/>
        <w:numPr>
          <w:ilvl w:val="0"/>
          <w:numId w:val="11"/>
        </w:numPr>
        <w:rPr>
          <w:sz w:val="22"/>
          <w:szCs w:val="22"/>
        </w:rPr>
      </w:pPr>
      <w:bookmarkStart w:id="20" w:name="_Toc42709764"/>
      <w:r w:rsidRPr="1024079A">
        <w:rPr>
          <w:sz w:val="22"/>
          <w:szCs w:val="22"/>
        </w:rPr>
        <w:lastRenderedPageBreak/>
        <w:t>Indicadores de resultados</w:t>
      </w:r>
      <w:bookmarkEnd w:id="20"/>
      <w:r w:rsidRPr="1024079A">
        <w:rPr>
          <w:sz w:val="22"/>
          <w:szCs w:val="22"/>
        </w:rPr>
        <w:t xml:space="preserve"> </w:t>
      </w:r>
    </w:p>
    <w:p w14:paraId="113467A8" w14:textId="77777777" w:rsidR="00190C31" w:rsidRDefault="00190C31" w:rsidP="00190C31">
      <w:pPr>
        <w:pBdr>
          <w:top w:val="nil"/>
          <w:left w:val="nil"/>
          <w:bottom w:val="nil"/>
          <w:right w:val="nil"/>
          <w:between w:val="nil"/>
        </w:pBdr>
        <w:ind w:left="907" w:hanging="720"/>
        <w:jc w:val="both"/>
        <w:rPr>
          <w:rFonts w:ascii="Arial" w:eastAsia="Arial" w:hAnsi="Arial" w:cs="Arial"/>
          <w:color w:val="000000"/>
          <w:sz w:val="22"/>
          <w:szCs w:val="22"/>
        </w:rPr>
      </w:pPr>
    </w:p>
    <w:p w14:paraId="2279516E" w14:textId="77777777" w:rsidR="00190C31" w:rsidRDefault="00190C31" w:rsidP="00190C31">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2"/>
          <w:szCs w:val="22"/>
          <w:highlight w:val="white"/>
        </w:rPr>
        <w:t>Como impacto del programa se espera que la intervención apoye la sostenibilidad frente a la crisis del COVID-19 de las MIPYME medido como: (i) ingresos por ventas en las MIPYME apoyadas con el programa; y (</w:t>
      </w:r>
      <w:proofErr w:type="spellStart"/>
      <w:r>
        <w:rPr>
          <w:rFonts w:ascii="Arial" w:eastAsia="Arial" w:hAnsi="Arial" w:cs="Arial"/>
          <w:color w:val="000000"/>
          <w:sz w:val="22"/>
          <w:szCs w:val="22"/>
          <w:highlight w:val="white"/>
        </w:rPr>
        <w:t>ii</w:t>
      </w:r>
      <w:proofErr w:type="spellEnd"/>
      <w:r>
        <w:rPr>
          <w:rFonts w:ascii="Arial" w:eastAsia="Arial" w:hAnsi="Arial" w:cs="Arial"/>
          <w:color w:val="000000"/>
          <w:sz w:val="22"/>
          <w:szCs w:val="22"/>
          <w:highlight w:val="white"/>
        </w:rPr>
        <w:t>) porcentaje del empleo registrado en MIPYME sobre el total del empleo registrado en el país. Los indicadores de resultado del programa serán: </w:t>
      </w:r>
      <w:r>
        <w:rPr>
          <w:rFonts w:ascii="Arial" w:eastAsia="Arial" w:hAnsi="Arial" w:cs="Arial"/>
          <w:color w:val="000000"/>
          <w:sz w:val="22"/>
          <w:szCs w:val="22"/>
        </w:rPr>
        <w:t> </w:t>
      </w:r>
    </w:p>
    <w:p w14:paraId="2335A1AF" w14:textId="77777777" w:rsidR="00190C31" w:rsidRDefault="00190C31" w:rsidP="00190C31">
      <w:pPr>
        <w:pBdr>
          <w:top w:val="nil"/>
          <w:left w:val="nil"/>
          <w:bottom w:val="nil"/>
          <w:right w:val="nil"/>
          <w:between w:val="nil"/>
        </w:pBdr>
        <w:ind w:left="1152" w:hanging="720"/>
        <w:jc w:val="both"/>
        <w:rPr>
          <w:rFonts w:ascii="Arial" w:eastAsia="Arial" w:hAnsi="Arial" w:cs="Arial"/>
          <w:color w:val="000000"/>
          <w:sz w:val="22"/>
          <w:szCs w:val="22"/>
        </w:rPr>
      </w:pPr>
    </w:p>
    <w:p w14:paraId="5B887D4E" w14:textId="438DE215" w:rsidR="00190C31" w:rsidRDefault="00190C31" w:rsidP="00190C31">
      <w:pPr>
        <w:numPr>
          <w:ilvl w:val="0"/>
          <w:numId w:val="1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Bajo el objetivo específico 1: (i) tasa de mora relativa, a los 12 meses de comenzar el programa, en la cartera de financiamiento o garantía de capital de trabajo </w:t>
      </w:r>
      <w:r w:rsidR="008C430C">
        <w:rPr>
          <w:rFonts w:ascii="Arial" w:eastAsia="Arial" w:hAnsi="Arial" w:cs="Arial"/>
          <w:color w:val="000000"/>
          <w:sz w:val="22"/>
          <w:szCs w:val="22"/>
        </w:rPr>
        <w:t xml:space="preserve">a la MIPYME </w:t>
      </w:r>
      <w:r>
        <w:rPr>
          <w:rFonts w:ascii="Arial" w:eastAsia="Arial" w:hAnsi="Arial" w:cs="Arial"/>
          <w:color w:val="000000"/>
          <w:sz w:val="22"/>
          <w:szCs w:val="22"/>
        </w:rPr>
        <w:t>frente a la tasa de mora de la banca pública</w:t>
      </w:r>
      <w:r w:rsidR="00C16658">
        <w:rPr>
          <w:rFonts w:ascii="Arial" w:eastAsia="Arial" w:hAnsi="Arial" w:cs="Arial"/>
          <w:color w:val="000000"/>
          <w:sz w:val="22"/>
          <w:szCs w:val="22"/>
        </w:rPr>
        <w:t>,</w:t>
      </w:r>
      <w:r>
        <w:rPr>
          <w:rFonts w:ascii="Arial" w:eastAsia="Arial" w:hAnsi="Arial" w:cs="Arial"/>
          <w:color w:val="000000"/>
          <w:sz w:val="22"/>
          <w:szCs w:val="22"/>
        </w:rPr>
        <w:t xml:space="preserve"> </w:t>
      </w:r>
      <w:r w:rsidR="00C16658">
        <w:rPr>
          <w:rStyle w:val="normaltextrun"/>
          <w:rFonts w:ascii="Arial" w:hAnsi="Arial" w:cs="Arial"/>
          <w:color w:val="000000"/>
          <w:sz w:val="22"/>
          <w:szCs w:val="22"/>
          <w:shd w:val="clear" w:color="auto" w:fill="FFFFFF"/>
        </w:rPr>
        <w:t>para el caso de FONDEP, y frente a la tasa de mora de las Sociedades de Garantía Recíproca (SGR), para el caso de FOGAR</w:t>
      </w:r>
      <w:r w:rsidR="00C16658" w:rsidRPr="00502314">
        <w:rPr>
          <w:rStyle w:val="normaltextrun"/>
          <w:rFonts w:ascii="Arial" w:hAnsi="Arial" w:cs="Arial"/>
          <w:color w:val="000000"/>
          <w:sz w:val="22"/>
          <w:szCs w:val="22"/>
          <w:shd w:val="clear" w:color="auto" w:fill="FFFFFF"/>
        </w:rPr>
        <w:t>; (</w:t>
      </w:r>
      <w:proofErr w:type="spellStart"/>
      <w:r w:rsidR="00C16658" w:rsidRPr="00502314">
        <w:rPr>
          <w:rStyle w:val="normaltextrun"/>
          <w:rFonts w:ascii="Arial" w:hAnsi="Arial" w:cs="Arial"/>
          <w:color w:val="000000"/>
          <w:sz w:val="22"/>
          <w:szCs w:val="22"/>
          <w:shd w:val="clear" w:color="auto" w:fill="FFFFFF"/>
        </w:rPr>
        <w:t>ii</w:t>
      </w:r>
      <w:proofErr w:type="spellEnd"/>
      <w:r w:rsidR="00C16658" w:rsidRPr="00502314">
        <w:rPr>
          <w:rStyle w:val="normaltextrun"/>
          <w:rFonts w:ascii="Arial" w:hAnsi="Arial" w:cs="Arial"/>
          <w:color w:val="000000"/>
          <w:sz w:val="22"/>
          <w:szCs w:val="22"/>
          <w:shd w:val="clear" w:color="auto" w:fill="FFFFFF"/>
        </w:rPr>
        <w:t xml:space="preserve">) tasa de mora relativa, a los 12 meses de comenzar el programa, de </w:t>
      </w:r>
      <w:r w:rsidR="00C16658">
        <w:rPr>
          <w:rStyle w:val="normaltextrun"/>
          <w:rFonts w:ascii="Arial" w:hAnsi="Arial" w:cs="Arial"/>
          <w:color w:val="000000"/>
          <w:sz w:val="22"/>
          <w:szCs w:val="22"/>
          <w:shd w:val="clear" w:color="auto" w:fill="FFFFFF"/>
        </w:rPr>
        <w:t>la cartera de deuda restructurada de</w:t>
      </w:r>
      <w:r w:rsidR="00C16658" w:rsidRPr="00502314">
        <w:rPr>
          <w:rStyle w:val="normaltextrun"/>
          <w:rFonts w:ascii="Arial" w:hAnsi="Arial" w:cs="Arial"/>
          <w:color w:val="000000"/>
          <w:sz w:val="22"/>
          <w:szCs w:val="22"/>
          <w:shd w:val="clear" w:color="auto" w:fill="FFFFFF"/>
        </w:rPr>
        <w:t xml:space="preserve"> MIPYME frente a la tasa de mora de </w:t>
      </w:r>
      <w:r w:rsidR="00C16658">
        <w:rPr>
          <w:rStyle w:val="normaltextrun"/>
          <w:rFonts w:ascii="Arial" w:hAnsi="Arial" w:cs="Arial"/>
          <w:color w:val="000000"/>
          <w:sz w:val="22"/>
          <w:szCs w:val="22"/>
          <w:shd w:val="clear" w:color="auto" w:fill="FFFFFF"/>
        </w:rPr>
        <w:t>la banca pública, para el caso de FONDEP, y frente a la tasa de mora de las SGR, para el caso de FOGAR</w:t>
      </w:r>
      <w:r w:rsidR="00C16658" w:rsidRPr="00502314">
        <w:rPr>
          <w:rStyle w:val="normaltextrun"/>
          <w:rFonts w:ascii="Arial" w:hAnsi="Arial" w:cs="Arial"/>
          <w:color w:val="000000"/>
          <w:sz w:val="22"/>
          <w:szCs w:val="22"/>
          <w:shd w:val="clear" w:color="auto" w:fill="FFFFFF"/>
        </w:rPr>
        <w:t xml:space="preserve">; </w:t>
      </w:r>
      <w:r w:rsidR="00C16658">
        <w:rPr>
          <w:rStyle w:val="normaltextrun"/>
          <w:rFonts w:ascii="Arial" w:hAnsi="Arial" w:cs="Arial"/>
          <w:color w:val="000000"/>
          <w:sz w:val="22"/>
          <w:szCs w:val="22"/>
          <w:shd w:val="clear" w:color="auto" w:fill="FFFFFF"/>
        </w:rPr>
        <w:t>y</w:t>
      </w:r>
      <w:r w:rsidR="00C16658" w:rsidRPr="00502314">
        <w:rPr>
          <w:rStyle w:val="normaltextrun"/>
          <w:rFonts w:ascii="Arial" w:hAnsi="Arial" w:cs="Arial"/>
          <w:color w:val="000000"/>
          <w:sz w:val="22"/>
          <w:szCs w:val="22"/>
          <w:shd w:val="clear" w:color="auto" w:fill="FFFFFF"/>
        </w:rPr>
        <w:t xml:space="preserve"> (</w:t>
      </w:r>
      <w:proofErr w:type="spellStart"/>
      <w:r w:rsidR="00C16658" w:rsidRPr="00502314">
        <w:rPr>
          <w:rStyle w:val="normaltextrun"/>
          <w:rFonts w:ascii="Arial" w:hAnsi="Arial" w:cs="Arial"/>
          <w:color w:val="000000"/>
          <w:sz w:val="22"/>
          <w:szCs w:val="22"/>
          <w:shd w:val="clear" w:color="auto" w:fill="FFFFFF"/>
        </w:rPr>
        <w:t>i</w:t>
      </w:r>
      <w:r w:rsidR="00C16658">
        <w:rPr>
          <w:rStyle w:val="normaltextrun"/>
          <w:rFonts w:ascii="Arial" w:hAnsi="Arial" w:cs="Arial"/>
          <w:color w:val="000000"/>
          <w:sz w:val="22"/>
          <w:szCs w:val="22"/>
          <w:shd w:val="clear" w:color="auto" w:fill="FFFFFF"/>
        </w:rPr>
        <w:t>ii</w:t>
      </w:r>
      <w:proofErr w:type="spellEnd"/>
      <w:r w:rsidR="00C16658" w:rsidRPr="00502314">
        <w:rPr>
          <w:rStyle w:val="normaltextrun"/>
          <w:rFonts w:ascii="Arial" w:hAnsi="Arial" w:cs="Arial"/>
          <w:color w:val="000000"/>
          <w:sz w:val="22"/>
          <w:szCs w:val="22"/>
          <w:shd w:val="clear" w:color="auto" w:fill="FFFFFF"/>
        </w:rPr>
        <w:t xml:space="preserve">) tasa de supervivencia de empresas apoyadas </w:t>
      </w:r>
      <w:r w:rsidR="00C16658">
        <w:rPr>
          <w:rStyle w:val="normaltextrun"/>
          <w:rFonts w:ascii="Arial" w:hAnsi="Arial" w:cs="Arial"/>
          <w:color w:val="000000"/>
          <w:sz w:val="22"/>
          <w:szCs w:val="22"/>
          <w:shd w:val="clear" w:color="auto" w:fill="FFFFFF"/>
        </w:rPr>
        <w:t xml:space="preserve">por FONDEP y FOGAR </w:t>
      </w:r>
      <w:r w:rsidR="00C16658" w:rsidRPr="00502314">
        <w:rPr>
          <w:rStyle w:val="normaltextrun"/>
          <w:rFonts w:ascii="Arial" w:hAnsi="Arial" w:cs="Arial"/>
          <w:color w:val="000000"/>
          <w:sz w:val="22"/>
          <w:szCs w:val="22"/>
          <w:shd w:val="clear" w:color="auto" w:fill="FFFFFF"/>
        </w:rPr>
        <w:t xml:space="preserve">con instrumentos de financiamiento a corto plazo </w:t>
      </w:r>
      <w:r w:rsidR="00C16658">
        <w:rPr>
          <w:rStyle w:val="normaltextrun"/>
          <w:rFonts w:ascii="Arial" w:hAnsi="Arial" w:cs="Arial"/>
          <w:color w:val="000000"/>
          <w:sz w:val="22"/>
          <w:szCs w:val="22"/>
          <w:shd w:val="clear" w:color="auto" w:fill="FFFFFF"/>
        </w:rPr>
        <w:t>hasta 24</w:t>
      </w:r>
      <w:r w:rsidR="00C16658" w:rsidRPr="00502314">
        <w:rPr>
          <w:rStyle w:val="normaltextrun"/>
          <w:rFonts w:ascii="Arial" w:hAnsi="Arial" w:cs="Arial"/>
          <w:color w:val="000000"/>
          <w:sz w:val="22"/>
          <w:szCs w:val="22"/>
          <w:shd w:val="clear" w:color="auto" w:fill="FFFFFF"/>
        </w:rPr>
        <w:t xml:space="preserve"> meses después de </w:t>
      </w:r>
      <w:r w:rsidR="00C16658">
        <w:rPr>
          <w:rStyle w:val="normaltextrun"/>
          <w:rFonts w:ascii="Arial" w:hAnsi="Arial" w:cs="Arial"/>
          <w:color w:val="000000"/>
          <w:sz w:val="22"/>
          <w:szCs w:val="22"/>
          <w:shd w:val="clear" w:color="auto" w:fill="FFFFFF"/>
        </w:rPr>
        <w:t>la declaración de pandemia por enfermedad del COVID-19</w:t>
      </w:r>
      <w:r>
        <w:rPr>
          <w:rFonts w:ascii="Arial" w:eastAsia="Arial" w:hAnsi="Arial" w:cs="Arial"/>
          <w:color w:val="000000"/>
          <w:sz w:val="22"/>
          <w:szCs w:val="22"/>
        </w:rPr>
        <w:t>.</w:t>
      </w:r>
    </w:p>
    <w:p w14:paraId="1E3C0529" w14:textId="77777777" w:rsidR="00190C31" w:rsidRDefault="00190C31" w:rsidP="00190C31">
      <w:pPr>
        <w:pBdr>
          <w:top w:val="nil"/>
          <w:left w:val="nil"/>
          <w:bottom w:val="nil"/>
          <w:right w:val="nil"/>
          <w:between w:val="nil"/>
        </w:pBdr>
        <w:ind w:left="1152" w:hanging="720"/>
        <w:jc w:val="both"/>
        <w:rPr>
          <w:rFonts w:ascii="Arial" w:eastAsia="Arial" w:hAnsi="Arial" w:cs="Arial"/>
          <w:color w:val="000000"/>
          <w:sz w:val="22"/>
          <w:szCs w:val="22"/>
        </w:rPr>
      </w:pPr>
    </w:p>
    <w:p w14:paraId="7F093932" w14:textId="3A7A856C" w:rsidR="00190C31" w:rsidRPr="00190C31" w:rsidRDefault="00190C31" w:rsidP="00190C31">
      <w:pPr>
        <w:numPr>
          <w:ilvl w:val="0"/>
          <w:numId w:val="1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highlight w:val="white"/>
        </w:rPr>
        <w:t xml:space="preserve">Bajo el objetivo específico 2: (i) </w:t>
      </w:r>
      <w:r w:rsidR="00F9361C" w:rsidRPr="00AF709E">
        <w:rPr>
          <w:rStyle w:val="normaltextrun"/>
          <w:rFonts w:ascii="Arial" w:hAnsi="Arial" w:cs="Arial"/>
          <w:color w:val="000000"/>
          <w:sz w:val="22"/>
          <w:szCs w:val="22"/>
          <w:shd w:val="clear" w:color="auto" w:fill="FFFFFF"/>
        </w:rPr>
        <w:t xml:space="preserve">tasa de mora relativa de la cartera </w:t>
      </w:r>
      <w:r w:rsidR="00F9361C">
        <w:rPr>
          <w:rStyle w:val="normaltextrun"/>
          <w:rFonts w:ascii="Arial" w:hAnsi="Arial" w:cs="Arial"/>
          <w:color w:val="000000"/>
          <w:sz w:val="22"/>
          <w:szCs w:val="22"/>
          <w:shd w:val="clear" w:color="auto" w:fill="FFFFFF"/>
        </w:rPr>
        <w:t xml:space="preserve">de financiamiento de mediano plazo a la MIPYME </w:t>
      </w:r>
      <w:r w:rsidR="00F9361C" w:rsidRPr="00AF709E">
        <w:rPr>
          <w:rStyle w:val="normaltextrun"/>
          <w:rFonts w:ascii="Arial" w:hAnsi="Arial" w:cs="Arial"/>
          <w:color w:val="000000"/>
          <w:sz w:val="22"/>
          <w:szCs w:val="22"/>
          <w:shd w:val="clear" w:color="auto" w:fill="FFFFFF"/>
        </w:rPr>
        <w:t xml:space="preserve">apoyada con recursos del programa frente a la tasa de mora de </w:t>
      </w:r>
      <w:r w:rsidR="00F9361C">
        <w:rPr>
          <w:rStyle w:val="normaltextrun"/>
          <w:rFonts w:ascii="Arial" w:hAnsi="Arial" w:cs="Arial"/>
          <w:color w:val="000000"/>
          <w:sz w:val="22"/>
          <w:szCs w:val="22"/>
          <w:shd w:val="clear" w:color="auto" w:fill="FFFFFF"/>
        </w:rPr>
        <w:t>la banca pública, para el caso de FONDEP, y frente a la tasa de mora de las SGR, en el caso de uso de garantías a través de FOGAR</w:t>
      </w:r>
      <w:r w:rsidR="00F9361C" w:rsidRPr="00AF709E">
        <w:rPr>
          <w:rStyle w:val="normaltextrun"/>
          <w:rFonts w:ascii="Arial" w:hAnsi="Arial" w:cs="Arial"/>
          <w:color w:val="000000"/>
          <w:sz w:val="22"/>
          <w:szCs w:val="22"/>
          <w:shd w:val="clear" w:color="auto" w:fill="FFFFFF"/>
        </w:rPr>
        <w:t>; (</w:t>
      </w:r>
      <w:proofErr w:type="spellStart"/>
      <w:r w:rsidR="00F9361C" w:rsidRPr="00AF709E">
        <w:rPr>
          <w:rStyle w:val="normaltextrun"/>
          <w:rFonts w:ascii="Arial" w:hAnsi="Arial" w:cs="Arial"/>
          <w:color w:val="000000"/>
          <w:sz w:val="22"/>
          <w:szCs w:val="22"/>
          <w:shd w:val="clear" w:color="auto" w:fill="FFFFFF"/>
        </w:rPr>
        <w:t>ii</w:t>
      </w:r>
      <w:proofErr w:type="spellEnd"/>
      <w:r w:rsidR="00F9361C" w:rsidRPr="00AF709E">
        <w:rPr>
          <w:rStyle w:val="normaltextrun"/>
          <w:rFonts w:ascii="Arial" w:hAnsi="Arial" w:cs="Arial"/>
          <w:color w:val="000000"/>
          <w:sz w:val="22"/>
          <w:szCs w:val="22"/>
          <w:shd w:val="clear" w:color="auto" w:fill="FFFFFF"/>
        </w:rPr>
        <w:t xml:space="preserve">) proporción del crédito de mediano plazo (más de </w:t>
      </w:r>
      <w:r w:rsidR="00F9361C">
        <w:rPr>
          <w:rStyle w:val="normaltextrun"/>
          <w:rFonts w:ascii="Arial" w:hAnsi="Arial" w:cs="Arial"/>
          <w:color w:val="000000"/>
          <w:sz w:val="22"/>
          <w:szCs w:val="22"/>
          <w:shd w:val="clear" w:color="auto" w:fill="FFFFFF"/>
        </w:rPr>
        <w:t>24</w:t>
      </w:r>
      <w:r w:rsidR="00F9361C" w:rsidRPr="00AF709E">
        <w:rPr>
          <w:rStyle w:val="normaltextrun"/>
          <w:rFonts w:ascii="Arial" w:hAnsi="Arial" w:cs="Arial"/>
          <w:color w:val="000000"/>
          <w:sz w:val="22"/>
          <w:szCs w:val="22"/>
          <w:shd w:val="clear" w:color="auto" w:fill="FFFFFF"/>
        </w:rPr>
        <w:t xml:space="preserve"> meses) en la cartera </w:t>
      </w:r>
      <w:r w:rsidR="00F9361C">
        <w:rPr>
          <w:rStyle w:val="normaltextrun"/>
          <w:rFonts w:ascii="Arial" w:hAnsi="Arial" w:cs="Arial"/>
          <w:color w:val="000000"/>
          <w:sz w:val="22"/>
          <w:szCs w:val="22"/>
          <w:shd w:val="clear" w:color="auto" w:fill="FFFFFF"/>
        </w:rPr>
        <w:t>de financiamiento o garantía a la MIPYME</w:t>
      </w:r>
      <w:r w:rsidR="00F9361C" w:rsidRPr="00AF709E">
        <w:rPr>
          <w:rStyle w:val="normaltextrun"/>
          <w:rFonts w:ascii="Arial" w:hAnsi="Arial" w:cs="Arial"/>
          <w:color w:val="000000"/>
          <w:sz w:val="22"/>
          <w:szCs w:val="22"/>
          <w:shd w:val="clear" w:color="auto" w:fill="FFFFFF"/>
        </w:rPr>
        <w:t>; (</w:t>
      </w:r>
      <w:proofErr w:type="spellStart"/>
      <w:r w:rsidR="00F9361C" w:rsidRPr="00AF709E">
        <w:rPr>
          <w:rStyle w:val="normaltextrun"/>
          <w:rFonts w:ascii="Arial" w:hAnsi="Arial" w:cs="Arial"/>
          <w:color w:val="000000"/>
          <w:sz w:val="22"/>
          <w:szCs w:val="22"/>
          <w:shd w:val="clear" w:color="auto" w:fill="FFFFFF"/>
        </w:rPr>
        <w:t>iii</w:t>
      </w:r>
      <w:proofErr w:type="spellEnd"/>
      <w:r w:rsidR="00F9361C" w:rsidRPr="00AF709E">
        <w:rPr>
          <w:rStyle w:val="normaltextrun"/>
          <w:rFonts w:ascii="Arial" w:hAnsi="Arial" w:cs="Arial"/>
          <w:color w:val="000000"/>
          <w:sz w:val="22"/>
          <w:szCs w:val="22"/>
          <w:shd w:val="clear" w:color="auto" w:fill="FFFFFF"/>
        </w:rPr>
        <w:t>)</w:t>
      </w:r>
      <w:r w:rsidR="00734B68">
        <w:rPr>
          <w:rStyle w:val="normaltextrun"/>
          <w:rFonts w:ascii="Arial" w:hAnsi="Arial" w:cs="Arial"/>
          <w:color w:val="000000"/>
          <w:sz w:val="22"/>
          <w:szCs w:val="22"/>
          <w:shd w:val="clear" w:color="auto" w:fill="FFFFFF"/>
        </w:rPr>
        <w:t> </w:t>
      </w:r>
      <w:r w:rsidR="00F9361C" w:rsidRPr="00AF709E">
        <w:rPr>
          <w:rStyle w:val="normaltextrun"/>
          <w:rFonts w:ascii="Arial" w:hAnsi="Arial" w:cs="Arial"/>
          <w:color w:val="000000"/>
          <w:sz w:val="22"/>
          <w:szCs w:val="22"/>
          <w:shd w:val="clear" w:color="auto" w:fill="FFFFFF"/>
        </w:rPr>
        <w:t>apalancamiento total de recursos de financiamiento de mediano plazo alcanzado gracias al apoyo del programa; (</w:t>
      </w:r>
      <w:proofErr w:type="spellStart"/>
      <w:r w:rsidR="00F9361C" w:rsidRPr="00AF709E">
        <w:rPr>
          <w:rStyle w:val="normaltextrun"/>
          <w:rFonts w:ascii="Arial" w:hAnsi="Arial" w:cs="Arial"/>
          <w:color w:val="000000"/>
          <w:sz w:val="22"/>
          <w:szCs w:val="22"/>
          <w:shd w:val="clear" w:color="auto" w:fill="FFFFFF"/>
        </w:rPr>
        <w:t>iv</w:t>
      </w:r>
      <w:proofErr w:type="spellEnd"/>
      <w:r w:rsidR="00F9361C" w:rsidRPr="00AF709E">
        <w:rPr>
          <w:rStyle w:val="normaltextrun"/>
          <w:rFonts w:ascii="Arial" w:hAnsi="Arial" w:cs="Arial"/>
          <w:color w:val="000000"/>
          <w:sz w:val="22"/>
          <w:szCs w:val="22"/>
          <w:shd w:val="clear" w:color="auto" w:fill="FFFFFF"/>
        </w:rPr>
        <w:t xml:space="preserve">) monto total de la cartera </w:t>
      </w:r>
      <w:r w:rsidR="00F9361C">
        <w:rPr>
          <w:rStyle w:val="normaltextrun"/>
          <w:rFonts w:ascii="Arial" w:hAnsi="Arial" w:cs="Arial"/>
          <w:color w:val="000000"/>
          <w:sz w:val="22"/>
          <w:szCs w:val="22"/>
          <w:shd w:val="clear" w:color="auto" w:fill="FFFFFF"/>
        </w:rPr>
        <w:t>de financiamiento de mediano plazo a la MIPYME</w:t>
      </w:r>
      <w:r w:rsidR="00F9361C" w:rsidRPr="00AF709E">
        <w:rPr>
          <w:rStyle w:val="normaltextrun"/>
          <w:rFonts w:ascii="Arial" w:hAnsi="Arial" w:cs="Arial"/>
          <w:color w:val="000000"/>
          <w:sz w:val="22"/>
          <w:szCs w:val="22"/>
          <w:shd w:val="clear" w:color="auto" w:fill="FFFFFF"/>
        </w:rPr>
        <w:t xml:space="preserve"> apoy</w:t>
      </w:r>
      <w:r w:rsidR="00F9361C">
        <w:rPr>
          <w:rStyle w:val="normaltextrun"/>
          <w:rFonts w:ascii="Arial" w:hAnsi="Arial" w:cs="Arial"/>
          <w:color w:val="000000"/>
          <w:sz w:val="22"/>
          <w:szCs w:val="22"/>
          <w:shd w:val="clear" w:color="auto" w:fill="FFFFFF"/>
        </w:rPr>
        <w:t xml:space="preserve">ada con </w:t>
      </w:r>
      <w:r w:rsidR="00F9361C" w:rsidRPr="00AF709E">
        <w:rPr>
          <w:rStyle w:val="normaltextrun"/>
          <w:rFonts w:ascii="Arial" w:hAnsi="Arial" w:cs="Arial"/>
          <w:color w:val="000000"/>
          <w:sz w:val="22"/>
          <w:szCs w:val="22"/>
          <w:shd w:val="clear" w:color="auto" w:fill="FFFFFF"/>
        </w:rPr>
        <w:t>el programa</w:t>
      </w:r>
      <w:r w:rsidR="00F9361C">
        <w:rPr>
          <w:rStyle w:val="normaltextrun"/>
          <w:rFonts w:ascii="Arial" w:hAnsi="Arial" w:cs="Arial"/>
          <w:color w:val="000000"/>
          <w:sz w:val="22"/>
          <w:szCs w:val="22"/>
          <w:shd w:val="clear" w:color="auto" w:fill="FFFFFF"/>
        </w:rPr>
        <w:t xml:space="preserve">; y (v) proporción </w:t>
      </w:r>
      <w:r w:rsidR="00F9361C" w:rsidRPr="00734F3F">
        <w:rPr>
          <w:rStyle w:val="normaltextrun"/>
          <w:rFonts w:ascii="Arial" w:hAnsi="Arial" w:cs="Arial"/>
          <w:color w:val="000000"/>
          <w:sz w:val="22"/>
          <w:szCs w:val="22"/>
          <w:shd w:val="clear" w:color="auto" w:fill="FFFFFF"/>
        </w:rPr>
        <w:t xml:space="preserve">del crédito </w:t>
      </w:r>
      <w:r w:rsidR="00F9361C">
        <w:rPr>
          <w:rStyle w:val="normaltextrun"/>
          <w:rFonts w:ascii="Arial" w:hAnsi="Arial" w:cs="Arial"/>
          <w:color w:val="000000"/>
          <w:sz w:val="22"/>
          <w:szCs w:val="22"/>
          <w:shd w:val="clear" w:color="auto" w:fill="FFFFFF"/>
        </w:rPr>
        <w:t xml:space="preserve">a MIPYME </w:t>
      </w:r>
      <w:r w:rsidR="00F9361C" w:rsidRPr="00734F3F">
        <w:rPr>
          <w:rStyle w:val="normaltextrun"/>
          <w:rFonts w:ascii="Arial" w:hAnsi="Arial" w:cs="Arial"/>
          <w:color w:val="000000"/>
          <w:sz w:val="22"/>
          <w:szCs w:val="22"/>
          <w:shd w:val="clear" w:color="auto" w:fill="FFFFFF"/>
        </w:rPr>
        <w:t>de mujeres</w:t>
      </w:r>
      <w:r w:rsidR="00F9361C">
        <w:rPr>
          <w:rStyle w:val="normaltextrun"/>
          <w:rFonts w:ascii="Arial" w:hAnsi="Arial" w:cs="Arial"/>
          <w:color w:val="000000"/>
          <w:sz w:val="22"/>
          <w:szCs w:val="22"/>
          <w:shd w:val="clear" w:color="auto" w:fill="FFFFFF"/>
        </w:rPr>
        <w:t xml:space="preserve"> </w:t>
      </w:r>
      <w:r w:rsidR="00F9361C" w:rsidRPr="00734F3F">
        <w:rPr>
          <w:rStyle w:val="normaltextrun"/>
          <w:rFonts w:ascii="Arial" w:hAnsi="Arial" w:cs="Arial"/>
          <w:color w:val="000000"/>
          <w:sz w:val="22"/>
          <w:szCs w:val="22"/>
          <w:shd w:val="clear" w:color="auto" w:fill="FFFFFF"/>
        </w:rPr>
        <w:t xml:space="preserve">en la cartera </w:t>
      </w:r>
      <w:r w:rsidR="00F9361C">
        <w:rPr>
          <w:rStyle w:val="normaltextrun"/>
          <w:rFonts w:ascii="Arial" w:hAnsi="Arial" w:cs="Arial"/>
          <w:color w:val="000000"/>
          <w:sz w:val="22"/>
          <w:szCs w:val="22"/>
          <w:shd w:val="clear" w:color="auto" w:fill="FFFFFF"/>
        </w:rPr>
        <w:t>de financiamiento a la MIPYME.</w:t>
      </w:r>
    </w:p>
    <w:p w14:paraId="02F5F047" w14:textId="5CBDF913" w:rsidR="00726C0B" w:rsidRDefault="00BB4E15">
      <w:pPr>
        <w:pStyle w:val="Heading1"/>
        <w:numPr>
          <w:ilvl w:val="0"/>
          <w:numId w:val="11"/>
        </w:numPr>
        <w:rPr>
          <w:sz w:val="22"/>
          <w:szCs w:val="22"/>
        </w:rPr>
      </w:pPr>
      <w:bookmarkStart w:id="21" w:name="_Toc42709765"/>
      <w:r>
        <w:rPr>
          <w:sz w:val="22"/>
          <w:szCs w:val="22"/>
        </w:rPr>
        <w:t>Reporte y Monitoreo</w:t>
      </w:r>
      <w:bookmarkEnd w:id="21"/>
      <w:r>
        <w:rPr>
          <w:sz w:val="22"/>
          <w:szCs w:val="22"/>
        </w:rPr>
        <w:t xml:space="preserve"> </w:t>
      </w:r>
    </w:p>
    <w:p w14:paraId="300F7A02" w14:textId="77777777" w:rsidR="00726C0B" w:rsidRDefault="00726C0B">
      <w:pPr>
        <w:pBdr>
          <w:top w:val="nil"/>
          <w:left w:val="nil"/>
          <w:bottom w:val="nil"/>
          <w:right w:val="nil"/>
          <w:between w:val="nil"/>
        </w:pBdr>
        <w:ind w:left="792" w:hanging="720"/>
        <w:jc w:val="both"/>
        <w:rPr>
          <w:rFonts w:ascii="Arial" w:eastAsia="Arial" w:hAnsi="Arial" w:cs="Arial"/>
          <w:color w:val="000000"/>
          <w:sz w:val="22"/>
          <w:szCs w:val="22"/>
        </w:rPr>
      </w:pPr>
    </w:p>
    <w:p w14:paraId="5DB6CC5B" w14:textId="1A5E554F" w:rsidR="00726C0B" w:rsidRDefault="00BB4E15">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2"/>
          <w:szCs w:val="22"/>
        </w:rPr>
        <w:t xml:space="preserve">Como parte de la ejecución del </w:t>
      </w:r>
      <w:r w:rsidR="00E41218">
        <w:rPr>
          <w:rFonts w:ascii="Arial" w:eastAsia="Arial" w:hAnsi="Arial" w:cs="Arial"/>
          <w:color w:val="000000"/>
          <w:sz w:val="22"/>
          <w:szCs w:val="22"/>
        </w:rPr>
        <w:t>P</w:t>
      </w:r>
      <w:r>
        <w:rPr>
          <w:rFonts w:ascii="Arial" w:eastAsia="Arial" w:hAnsi="Arial" w:cs="Arial"/>
          <w:color w:val="000000"/>
          <w:sz w:val="22"/>
          <w:szCs w:val="22"/>
        </w:rPr>
        <w:t>rograma, se han identificado los siguientes instrumentos de monitoreo y evaluación:</w:t>
      </w:r>
    </w:p>
    <w:p w14:paraId="48CA9527" w14:textId="77777777" w:rsidR="00726C0B" w:rsidRDefault="00726C0B">
      <w:pPr>
        <w:pBdr>
          <w:top w:val="nil"/>
          <w:left w:val="nil"/>
          <w:bottom w:val="nil"/>
          <w:right w:val="nil"/>
          <w:between w:val="nil"/>
        </w:pBdr>
        <w:ind w:left="720"/>
        <w:rPr>
          <w:rFonts w:ascii="Arial" w:eastAsia="Arial" w:hAnsi="Arial" w:cs="Arial"/>
          <w:color w:val="000000"/>
          <w:sz w:val="22"/>
          <w:szCs w:val="22"/>
        </w:rPr>
      </w:pPr>
    </w:p>
    <w:p w14:paraId="1EC8C7B2" w14:textId="6AF3C748" w:rsidR="00726C0B" w:rsidRDefault="00BB4E15">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Informes semestrales de seguimiento del programa en el que el OE informa al BID el progreso en la ejecución de las actividades programadas, incluyendo el cumplimiento de objetivos previamente acordados para los indicadores de producto y resultado que se describen en la matriz de resultados adjunta al </w:t>
      </w:r>
      <w:r w:rsidR="00E41218">
        <w:rPr>
          <w:rFonts w:ascii="Arial" w:eastAsia="Arial" w:hAnsi="Arial" w:cs="Arial"/>
          <w:color w:val="000000"/>
          <w:sz w:val="22"/>
          <w:szCs w:val="22"/>
        </w:rPr>
        <w:t>P</w:t>
      </w:r>
      <w:r>
        <w:rPr>
          <w:rFonts w:ascii="Arial" w:eastAsia="Arial" w:hAnsi="Arial" w:cs="Arial"/>
          <w:color w:val="000000"/>
          <w:sz w:val="22"/>
          <w:szCs w:val="22"/>
        </w:rPr>
        <w:t xml:space="preserve">rograma </w:t>
      </w:r>
      <w:r w:rsidR="00E41218">
        <w:rPr>
          <w:rFonts w:ascii="Arial" w:eastAsia="Arial" w:hAnsi="Arial" w:cs="Arial"/>
          <w:color w:val="000000"/>
          <w:sz w:val="22"/>
          <w:szCs w:val="22"/>
        </w:rPr>
        <w:t>aprobado</w:t>
      </w:r>
      <w:r>
        <w:rPr>
          <w:rFonts w:ascii="Arial" w:eastAsia="Arial" w:hAnsi="Arial" w:cs="Arial"/>
          <w:color w:val="000000"/>
          <w:sz w:val="22"/>
          <w:szCs w:val="22"/>
        </w:rPr>
        <w:t xml:space="preserve">, incluyendo </w:t>
      </w:r>
      <w:r w:rsidR="00E41218">
        <w:rPr>
          <w:rFonts w:ascii="Arial" w:eastAsia="Arial" w:hAnsi="Arial" w:cs="Arial"/>
          <w:color w:val="000000"/>
          <w:sz w:val="22"/>
          <w:szCs w:val="22"/>
        </w:rPr>
        <w:t xml:space="preserve">un </w:t>
      </w:r>
      <w:r>
        <w:rPr>
          <w:rFonts w:ascii="Arial" w:eastAsia="Arial" w:hAnsi="Arial" w:cs="Arial"/>
          <w:color w:val="000000"/>
          <w:sz w:val="22"/>
          <w:szCs w:val="22"/>
        </w:rPr>
        <w:t>reporte de desempeño socioambiental</w:t>
      </w:r>
      <w:r w:rsidR="00E41218">
        <w:rPr>
          <w:rFonts w:ascii="Arial" w:eastAsia="Arial" w:hAnsi="Arial" w:cs="Arial"/>
          <w:color w:val="000000"/>
          <w:sz w:val="22"/>
          <w:szCs w:val="22"/>
        </w:rPr>
        <w:t xml:space="preserve"> (ver Anexo </w:t>
      </w:r>
      <w:r w:rsidR="00D57B49">
        <w:rPr>
          <w:rFonts w:ascii="Arial" w:eastAsia="Arial" w:hAnsi="Arial" w:cs="Arial"/>
          <w:color w:val="000000"/>
          <w:sz w:val="22"/>
          <w:szCs w:val="22"/>
        </w:rPr>
        <w:t>2</w:t>
      </w:r>
      <w:r w:rsidR="00E41218">
        <w:rPr>
          <w:rFonts w:ascii="Arial" w:eastAsia="Arial" w:hAnsi="Arial" w:cs="Arial"/>
          <w:color w:val="000000"/>
          <w:sz w:val="22"/>
          <w:szCs w:val="22"/>
        </w:rPr>
        <w:t>)</w:t>
      </w:r>
      <w:r>
        <w:rPr>
          <w:rFonts w:ascii="Arial" w:eastAsia="Arial" w:hAnsi="Arial" w:cs="Arial"/>
          <w:color w:val="000000"/>
          <w:sz w:val="22"/>
          <w:szCs w:val="22"/>
        </w:rPr>
        <w:t>.</w:t>
      </w:r>
    </w:p>
    <w:p w14:paraId="17A1B8EE" w14:textId="77777777" w:rsidR="00726C0B" w:rsidRDefault="00BB4E15">
      <w:pPr>
        <w:pBdr>
          <w:top w:val="nil"/>
          <w:left w:val="nil"/>
          <w:bottom w:val="nil"/>
          <w:right w:val="nil"/>
          <w:between w:val="nil"/>
        </w:pBdr>
        <w:ind w:left="1152" w:hanging="720"/>
        <w:jc w:val="both"/>
        <w:rPr>
          <w:rFonts w:ascii="Arial" w:eastAsia="Arial" w:hAnsi="Arial" w:cs="Arial"/>
          <w:color w:val="000000"/>
          <w:sz w:val="22"/>
          <w:szCs w:val="22"/>
        </w:rPr>
      </w:pPr>
      <w:r>
        <w:rPr>
          <w:rFonts w:ascii="Arial" w:eastAsia="Arial" w:hAnsi="Arial" w:cs="Arial"/>
          <w:color w:val="000000"/>
          <w:sz w:val="22"/>
          <w:szCs w:val="22"/>
        </w:rPr>
        <w:t xml:space="preserve"> </w:t>
      </w:r>
    </w:p>
    <w:p w14:paraId="32403DF5" w14:textId="1EBF4EA4" w:rsidR="00726C0B" w:rsidRDefault="00BB4E15">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Auditorías financieras anuales del </w:t>
      </w:r>
      <w:r w:rsidR="00E41218">
        <w:rPr>
          <w:rFonts w:ascii="Arial" w:eastAsia="Arial" w:hAnsi="Arial" w:cs="Arial"/>
          <w:color w:val="000000"/>
          <w:sz w:val="22"/>
          <w:szCs w:val="22"/>
        </w:rPr>
        <w:t>P</w:t>
      </w:r>
      <w:r>
        <w:rPr>
          <w:rFonts w:ascii="Arial" w:eastAsia="Arial" w:hAnsi="Arial" w:cs="Arial"/>
          <w:color w:val="000000"/>
          <w:sz w:val="22"/>
          <w:szCs w:val="22"/>
        </w:rPr>
        <w:t>rograma.</w:t>
      </w:r>
    </w:p>
    <w:p w14:paraId="65959C05" w14:textId="77777777" w:rsidR="00726C0B" w:rsidRDefault="00726C0B">
      <w:pPr>
        <w:pBdr>
          <w:top w:val="nil"/>
          <w:left w:val="nil"/>
          <w:bottom w:val="nil"/>
          <w:right w:val="nil"/>
          <w:between w:val="nil"/>
        </w:pBdr>
        <w:ind w:left="720"/>
        <w:rPr>
          <w:rFonts w:ascii="Arial" w:eastAsia="Arial" w:hAnsi="Arial" w:cs="Arial"/>
          <w:color w:val="000000"/>
          <w:sz w:val="22"/>
          <w:szCs w:val="22"/>
        </w:rPr>
      </w:pPr>
    </w:p>
    <w:p w14:paraId="378F589D" w14:textId="77777777" w:rsidR="00726C0B" w:rsidRDefault="00BB4E15">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Análisis costo-beneficio ex post de los flujos de ingreso y egreso derivados de la intervención.</w:t>
      </w:r>
    </w:p>
    <w:p w14:paraId="11474EFD" w14:textId="77777777" w:rsidR="00726C0B" w:rsidRDefault="00726C0B">
      <w:pPr>
        <w:pBdr>
          <w:top w:val="nil"/>
          <w:left w:val="nil"/>
          <w:bottom w:val="nil"/>
          <w:right w:val="nil"/>
          <w:between w:val="nil"/>
        </w:pBdr>
        <w:spacing w:before="20" w:after="20"/>
        <w:ind w:left="2592" w:hanging="431"/>
        <w:jc w:val="both"/>
        <w:rPr>
          <w:rFonts w:ascii="Arial" w:eastAsia="Arial" w:hAnsi="Arial" w:cs="Arial"/>
          <w:color w:val="000000"/>
          <w:sz w:val="22"/>
          <w:szCs w:val="22"/>
        </w:rPr>
      </w:pPr>
    </w:p>
    <w:p w14:paraId="77ADEC1D" w14:textId="77777777" w:rsidR="00726C0B" w:rsidRDefault="00BB4E15">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2"/>
          <w:szCs w:val="22"/>
        </w:rPr>
        <w:t xml:space="preserve">El OE reportará al BID informes anuales, que deberán ser presentados a más tardar cuarenta y cinco (45) días después del final de segundo semestre durante </w:t>
      </w:r>
      <w:r>
        <w:rPr>
          <w:rFonts w:ascii="Arial" w:eastAsia="Arial" w:hAnsi="Arial" w:cs="Arial"/>
          <w:color w:val="000000"/>
          <w:sz w:val="22"/>
          <w:szCs w:val="22"/>
        </w:rPr>
        <w:lastRenderedPageBreak/>
        <w:t xml:space="preserve">el plazo de desembolsos o sus extensiones. Estos informes además de la información de los informes semestrales deberán incluir, al menos, la siguiente información: </w:t>
      </w:r>
    </w:p>
    <w:p w14:paraId="66481B2E" w14:textId="77777777" w:rsidR="00726C0B" w:rsidRDefault="00726C0B">
      <w:pPr>
        <w:pBdr>
          <w:top w:val="nil"/>
          <w:left w:val="nil"/>
          <w:bottom w:val="nil"/>
          <w:right w:val="nil"/>
          <w:between w:val="nil"/>
        </w:pBdr>
        <w:ind w:left="792" w:hanging="720"/>
        <w:jc w:val="both"/>
        <w:rPr>
          <w:rFonts w:ascii="Arial" w:eastAsia="Arial" w:hAnsi="Arial" w:cs="Arial"/>
          <w:color w:val="000000"/>
          <w:sz w:val="22"/>
          <w:szCs w:val="22"/>
        </w:rPr>
      </w:pPr>
    </w:p>
    <w:p w14:paraId="77479D48" w14:textId="77777777" w:rsidR="00726C0B" w:rsidRDefault="00BB4E15">
      <w:pPr>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Información para verificar el cumplimiento de los requerimientos financieros del programa (incluyendo información sobre el monto y uso de los recursos del préstamo, y de otras fuentes, si las hubiera, aplicados a los subpréstamos). </w:t>
      </w:r>
    </w:p>
    <w:p w14:paraId="1169D0BD" w14:textId="77777777" w:rsidR="00726C0B" w:rsidRDefault="00726C0B">
      <w:pPr>
        <w:pBdr>
          <w:top w:val="nil"/>
          <w:left w:val="nil"/>
          <w:bottom w:val="nil"/>
          <w:right w:val="nil"/>
          <w:between w:val="nil"/>
        </w:pBdr>
        <w:ind w:left="1152" w:hanging="720"/>
        <w:jc w:val="both"/>
        <w:rPr>
          <w:rFonts w:ascii="Arial" w:eastAsia="Arial" w:hAnsi="Arial" w:cs="Arial"/>
          <w:color w:val="000000"/>
          <w:sz w:val="22"/>
          <w:szCs w:val="22"/>
        </w:rPr>
      </w:pPr>
    </w:p>
    <w:p w14:paraId="2379A69F" w14:textId="77777777" w:rsidR="00726C0B" w:rsidRDefault="00BB4E15">
      <w:pPr>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Información sobre medidas correctivas aplicadas, incluyendo medidas para prevenir el acceso a financiamiento con cargo a recursos del préstamo en caso de incumplimiento con los requerimientos establecidos en este RC.</w:t>
      </w:r>
    </w:p>
    <w:p w14:paraId="0CF9F1F0" w14:textId="77777777" w:rsidR="00726C0B" w:rsidRDefault="00726C0B">
      <w:pPr>
        <w:pBdr>
          <w:top w:val="nil"/>
          <w:left w:val="nil"/>
          <w:bottom w:val="nil"/>
          <w:right w:val="nil"/>
          <w:between w:val="nil"/>
        </w:pBdr>
        <w:ind w:left="720"/>
        <w:rPr>
          <w:rFonts w:ascii="Arial" w:eastAsia="Arial" w:hAnsi="Arial" w:cs="Arial"/>
          <w:color w:val="000000"/>
          <w:sz w:val="22"/>
          <w:szCs w:val="22"/>
        </w:rPr>
      </w:pPr>
    </w:p>
    <w:p w14:paraId="6BC3454C" w14:textId="77777777" w:rsidR="00726C0B" w:rsidRDefault="00BB4E15">
      <w:pPr>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Lecciones aprendidas del periodo reportado y oportunidades de mejora. Estos reportes deben incluir cuando menos la evolución y teoría del cambio de los indicadores incluidos en la matriz de resultados de este programa, el avance en los subproyectos, detallando el valor de ventas y el número de empleos creados, entre otros. </w:t>
      </w:r>
    </w:p>
    <w:p w14:paraId="3D466EE5" w14:textId="77777777" w:rsidR="00726C0B" w:rsidRDefault="00726C0B">
      <w:pPr>
        <w:pBdr>
          <w:top w:val="nil"/>
          <w:left w:val="nil"/>
          <w:bottom w:val="nil"/>
          <w:right w:val="nil"/>
          <w:between w:val="nil"/>
        </w:pBdr>
        <w:ind w:left="720"/>
        <w:rPr>
          <w:rFonts w:ascii="Arial" w:eastAsia="Arial" w:hAnsi="Arial" w:cs="Arial"/>
          <w:color w:val="000000"/>
          <w:sz w:val="22"/>
          <w:szCs w:val="22"/>
        </w:rPr>
      </w:pPr>
    </w:p>
    <w:p w14:paraId="52190B73" w14:textId="77777777" w:rsidR="00726C0B" w:rsidRDefault="00BB4E15">
      <w:pPr>
        <w:numPr>
          <w:ilvl w:val="1"/>
          <w:numId w:val="11"/>
        </w:numPr>
        <w:pBdr>
          <w:top w:val="nil"/>
          <w:left w:val="nil"/>
          <w:bottom w:val="nil"/>
          <w:right w:val="nil"/>
          <w:between w:val="nil"/>
        </w:pBdr>
        <w:jc w:val="both"/>
        <w:rPr>
          <w:rFonts w:ascii="Arial" w:eastAsia="Arial" w:hAnsi="Arial" w:cs="Arial"/>
          <w:color w:val="000000"/>
        </w:rPr>
      </w:pPr>
      <w:bookmarkStart w:id="22" w:name="_z337ya" w:colFirst="0" w:colLast="0"/>
      <w:bookmarkEnd w:id="22"/>
      <w:r>
        <w:rPr>
          <w:rFonts w:ascii="Arial" w:eastAsia="Arial" w:hAnsi="Arial" w:cs="Arial"/>
          <w:color w:val="000000"/>
          <w:sz w:val="22"/>
          <w:szCs w:val="22"/>
        </w:rPr>
        <w:t>El OE acordará con el BID, durante el período de desembolso del préstamo del BID, la celebración de una reunión trimestral de seguimiento, en la que se debatirá: (i) el progreso de las actividades del programa de emergencia, (</w:t>
      </w:r>
      <w:proofErr w:type="spellStart"/>
      <w:r>
        <w:rPr>
          <w:rFonts w:ascii="Arial" w:eastAsia="Arial" w:hAnsi="Arial" w:cs="Arial"/>
          <w:color w:val="000000"/>
          <w:sz w:val="22"/>
          <w:szCs w:val="22"/>
        </w:rPr>
        <w:t>ii</w:t>
      </w:r>
      <w:proofErr w:type="spellEnd"/>
      <w:r>
        <w:rPr>
          <w:rFonts w:ascii="Arial" w:eastAsia="Arial" w:hAnsi="Arial" w:cs="Arial"/>
          <w:color w:val="000000"/>
          <w:sz w:val="22"/>
          <w:szCs w:val="22"/>
        </w:rPr>
        <w:t>) el nivel de cumplimiento de los indicadores establecidos en la matriz de resultados.</w:t>
      </w:r>
    </w:p>
    <w:p w14:paraId="25D926D3" w14:textId="77777777" w:rsidR="00726C0B" w:rsidRDefault="00BB4E15">
      <w:pPr>
        <w:pStyle w:val="Heading1"/>
        <w:numPr>
          <w:ilvl w:val="0"/>
          <w:numId w:val="11"/>
        </w:numPr>
        <w:rPr>
          <w:sz w:val="22"/>
          <w:szCs w:val="22"/>
        </w:rPr>
      </w:pPr>
      <w:bookmarkStart w:id="23" w:name="_Toc42709766"/>
      <w:r>
        <w:rPr>
          <w:sz w:val="22"/>
          <w:szCs w:val="22"/>
        </w:rPr>
        <w:t>Acuerdos para la gestión financiera del Programa</w:t>
      </w:r>
      <w:bookmarkEnd w:id="23"/>
    </w:p>
    <w:p w14:paraId="16B343A6" w14:textId="77777777" w:rsidR="00726C0B" w:rsidRDefault="00726C0B">
      <w:pPr>
        <w:rPr>
          <w:rFonts w:ascii="Arial" w:eastAsia="Arial" w:hAnsi="Arial" w:cs="Arial"/>
          <w:sz w:val="22"/>
          <w:szCs w:val="22"/>
        </w:rPr>
      </w:pPr>
    </w:p>
    <w:p w14:paraId="7636E65B" w14:textId="095D5941" w:rsidR="00726C0B" w:rsidRDefault="00BB4E15">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Recursos y sistemas administrativos:</w:t>
      </w:r>
      <w:r>
        <w:rPr>
          <w:rFonts w:ascii="Arial" w:eastAsia="Arial" w:hAnsi="Arial" w:cs="Arial"/>
          <w:color w:val="000000"/>
          <w:sz w:val="22"/>
          <w:szCs w:val="22"/>
        </w:rPr>
        <w:t xml:space="preserve"> El OE </w:t>
      </w:r>
      <w:r w:rsidRPr="005115F5">
        <w:rPr>
          <w:rFonts w:ascii="Arial" w:eastAsia="Arial" w:hAnsi="Arial" w:cs="Arial"/>
          <w:color w:val="000000"/>
          <w:sz w:val="22"/>
          <w:szCs w:val="22"/>
        </w:rPr>
        <w:t>y la DGPPSE</w:t>
      </w:r>
      <w:r>
        <w:rPr>
          <w:rFonts w:ascii="Arial" w:eastAsia="Arial" w:hAnsi="Arial" w:cs="Arial"/>
          <w:color w:val="000000"/>
          <w:sz w:val="22"/>
          <w:szCs w:val="22"/>
        </w:rPr>
        <w:t xml:space="preserve"> utilizarán los recursos y sistemas administrativos, financieros y contables del Ministerio de Desarrollo Productivo para el registro y la administración de las operaciones que se administren con los recursos del Programa en consistencia con la Política de Gestión Financiera para Proyectos Financiados por el BID OP-273-12.</w:t>
      </w:r>
    </w:p>
    <w:p w14:paraId="333033F6" w14:textId="77777777" w:rsidR="00726C0B" w:rsidRDefault="00726C0B">
      <w:pPr>
        <w:pBdr>
          <w:top w:val="nil"/>
          <w:left w:val="nil"/>
          <w:bottom w:val="nil"/>
          <w:right w:val="nil"/>
          <w:between w:val="nil"/>
        </w:pBdr>
        <w:ind w:left="907" w:hanging="720"/>
        <w:jc w:val="both"/>
        <w:rPr>
          <w:rFonts w:ascii="Arial" w:eastAsia="Arial" w:hAnsi="Arial" w:cs="Arial"/>
          <w:color w:val="000000"/>
          <w:sz w:val="22"/>
          <w:szCs w:val="22"/>
        </w:rPr>
      </w:pPr>
    </w:p>
    <w:p w14:paraId="5B46246E" w14:textId="71C6BFFE" w:rsidR="00726C0B" w:rsidRPr="005115F5" w:rsidRDefault="00BB4E15">
      <w:pPr>
        <w:numPr>
          <w:ilvl w:val="1"/>
          <w:numId w:val="11"/>
        </w:numPr>
        <w:pBdr>
          <w:top w:val="nil"/>
          <w:left w:val="nil"/>
          <w:bottom w:val="nil"/>
          <w:right w:val="nil"/>
          <w:between w:val="nil"/>
        </w:pBdr>
        <w:jc w:val="both"/>
        <w:rPr>
          <w:rFonts w:ascii="Arial" w:eastAsia="Arial" w:hAnsi="Arial" w:cs="Arial"/>
          <w:color w:val="000000"/>
        </w:rPr>
      </w:pPr>
      <w:r w:rsidRPr="005115F5">
        <w:rPr>
          <w:rFonts w:ascii="Arial" w:eastAsia="Arial" w:hAnsi="Arial" w:cs="Arial"/>
          <w:color w:val="000000"/>
          <w:sz w:val="22"/>
          <w:szCs w:val="22"/>
        </w:rPr>
        <w:t xml:space="preserve">En cumplimiento del punto anterior, la DGPPSE usará el sistema UEPEX para registrar </w:t>
      </w:r>
      <w:r w:rsidR="009D525E" w:rsidRPr="005115F5">
        <w:rPr>
          <w:rFonts w:ascii="Arial" w:eastAsia="Arial" w:hAnsi="Arial" w:cs="Arial"/>
          <w:color w:val="000000"/>
          <w:sz w:val="22"/>
          <w:szCs w:val="22"/>
        </w:rPr>
        <w:t xml:space="preserve">contablemente </w:t>
      </w:r>
      <w:r w:rsidRPr="005115F5">
        <w:rPr>
          <w:rFonts w:ascii="Arial" w:eastAsia="Arial" w:hAnsi="Arial" w:cs="Arial"/>
          <w:color w:val="000000"/>
          <w:sz w:val="22"/>
          <w:szCs w:val="22"/>
        </w:rPr>
        <w:t xml:space="preserve">las transacciones del préstamo. No obstante, cabe señalar que </w:t>
      </w:r>
      <w:r w:rsidR="00410A82">
        <w:rPr>
          <w:rFonts w:ascii="Arial" w:eastAsia="Arial" w:hAnsi="Arial" w:cs="Arial"/>
          <w:color w:val="000000"/>
          <w:sz w:val="22"/>
          <w:szCs w:val="22"/>
        </w:rPr>
        <w:t>BFSA</w:t>
      </w:r>
      <w:r w:rsidRPr="005115F5">
        <w:rPr>
          <w:rFonts w:ascii="Arial" w:eastAsia="Arial" w:hAnsi="Arial" w:cs="Arial"/>
          <w:color w:val="000000"/>
          <w:sz w:val="22"/>
          <w:szCs w:val="22"/>
        </w:rPr>
        <w:t xml:space="preserve"> utiliza los siguientes sistemas para la administración del FONDEP Y FOGAR y sus funciones gerenciales:</w:t>
      </w:r>
    </w:p>
    <w:p w14:paraId="2CF0756A" w14:textId="77777777" w:rsidR="00726C0B" w:rsidRPr="005115F5" w:rsidRDefault="00726C0B">
      <w:pPr>
        <w:jc w:val="both"/>
        <w:rPr>
          <w:rFonts w:ascii="Arial" w:eastAsia="Arial" w:hAnsi="Arial" w:cs="Arial"/>
          <w:sz w:val="22"/>
          <w:szCs w:val="22"/>
        </w:rPr>
      </w:pPr>
    </w:p>
    <w:p w14:paraId="1FD53B1A" w14:textId="77777777" w:rsidR="00726C0B" w:rsidRPr="005115F5" w:rsidRDefault="00BB4E15">
      <w:pPr>
        <w:numPr>
          <w:ilvl w:val="0"/>
          <w:numId w:val="1"/>
        </w:numPr>
        <w:pBdr>
          <w:top w:val="nil"/>
          <w:left w:val="nil"/>
          <w:bottom w:val="nil"/>
          <w:right w:val="nil"/>
          <w:between w:val="nil"/>
        </w:pBdr>
        <w:spacing w:before="20"/>
        <w:jc w:val="both"/>
        <w:rPr>
          <w:rFonts w:ascii="Arial" w:eastAsia="Arial" w:hAnsi="Arial" w:cs="Arial"/>
          <w:color w:val="000000"/>
          <w:sz w:val="22"/>
          <w:szCs w:val="22"/>
        </w:rPr>
      </w:pPr>
      <w:r w:rsidRPr="005115F5">
        <w:rPr>
          <w:rFonts w:ascii="Arial" w:eastAsia="Arial" w:hAnsi="Arial" w:cs="Arial"/>
          <w:color w:val="000000"/>
          <w:sz w:val="22"/>
          <w:szCs w:val="22"/>
        </w:rPr>
        <w:t>BANTOTAL: Programa informático de gestión financiera, gestión del crédito contabilidad.</w:t>
      </w:r>
    </w:p>
    <w:p w14:paraId="524914E2" w14:textId="77777777" w:rsidR="00726C0B" w:rsidRPr="005115F5" w:rsidRDefault="00726C0B">
      <w:pPr>
        <w:pBdr>
          <w:top w:val="nil"/>
          <w:left w:val="nil"/>
          <w:bottom w:val="nil"/>
          <w:right w:val="nil"/>
          <w:between w:val="nil"/>
        </w:pBdr>
        <w:ind w:left="1152" w:hanging="720"/>
        <w:jc w:val="both"/>
        <w:rPr>
          <w:rFonts w:ascii="Arial" w:eastAsia="Arial" w:hAnsi="Arial" w:cs="Arial"/>
          <w:color w:val="000000"/>
          <w:sz w:val="22"/>
          <w:szCs w:val="22"/>
        </w:rPr>
      </w:pPr>
    </w:p>
    <w:p w14:paraId="58B30408" w14:textId="77777777" w:rsidR="00726C0B" w:rsidRPr="005115F5" w:rsidRDefault="00BB4E15">
      <w:pPr>
        <w:numPr>
          <w:ilvl w:val="0"/>
          <w:numId w:val="1"/>
        </w:numPr>
        <w:pBdr>
          <w:top w:val="nil"/>
          <w:left w:val="nil"/>
          <w:bottom w:val="nil"/>
          <w:right w:val="nil"/>
          <w:between w:val="nil"/>
        </w:pBdr>
        <w:jc w:val="both"/>
        <w:rPr>
          <w:rFonts w:ascii="Arial" w:eastAsia="Arial" w:hAnsi="Arial" w:cs="Arial"/>
          <w:color w:val="000000"/>
          <w:sz w:val="22"/>
          <w:szCs w:val="22"/>
        </w:rPr>
      </w:pPr>
      <w:r w:rsidRPr="005115F5">
        <w:rPr>
          <w:rFonts w:ascii="Arial" w:eastAsia="Arial" w:hAnsi="Arial" w:cs="Arial"/>
          <w:color w:val="000000"/>
          <w:sz w:val="22"/>
          <w:szCs w:val="22"/>
        </w:rPr>
        <w:t>CALIPSO: Programa informático de gestión comercial, bienes y servicios, y fideicomisos.</w:t>
      </w:r>
    </w:p>
    <w:p w14:paraId="66AE9041" w14:textId="77777777" w:rsidR="00726C0B" w:rsidRPr="005115F5" w:rsidRDefault="00726C0B">
      <w:pPr>
        <w:spacing w:before="20"/>
        <w:jc w:val="both"/>
        <w:rPr>
          <w:rFonts w:ascii="Arial" w:eastAsia="Arial" w:hAnsi="Arial" w:cs="Arial"/>
          <w:sz w:val="22"/>
          <w:szCs w:val="22"/>
        </w:rPr>
      </w:pPr>
    </w:p>
    <w:p w14:paraId="51E0F64A" w14:textId="77777777" w:rsidR="00726C0B" w:rsidRPr="005115F5" w:rsidRDefault="00BB4E15">
      <w:pPr>
        <w:numPr>
          <w:ilvl w:val="0"/>
          <w:numId w:val="1"/>
        </w:numPr>
        <w:pBdr>
          <w:top w:val="nil"/>
          <w:left w:val="nil"/>
          <w:bottom w:val="nil"/>
          <w:right w:val="nil"/>
          <w:between w:val="nil"/>
        </w:pBdr>
        <w:spacing w:before="20"/>
        <w:jc w:val="both"/>
        <w:rPr>
          <w:rFonts w:ascii="Arial" w:eastAsia="Arial" w:hAnsi="Arial" w:cs="Arial"/>
          <w:color w:val="000000"/>
          <w:sz w:val="22"/>
          <w:szCs w:val="22"/>
        </w:rPr>
      </w:pPr>
      <w:r w:rsidRPr="005115F5">
        <w:rPr>
          <w:rFonts w:ascii="Arial" w:eastAsia="Arial" w:hAnsi="Arial" w:cs="Arial"/>
          <w:color w:val="000000"/>
          <w:sz w:val="22"/>
          <w:szCs w:val="22"/>
        </w:rPr>
        <w:t>Tablero de control del Sistema de Información para la Gestión (MIS): Indicadores empresariales tales como nivel de concentración, evolución sectorial, préstamos, desembolsos y COA pendiente.</w:t>
      </w:r>
    </w:p>
    <w:p w14:paraId="3E554535" w14:textId="77777777" w:rsidR="00726C0B" w:rsidRPr="005115F5" w:rsidRDefault="00726C0B">
      <w:pPr>
        <w:pBdr>
          <w:top w:val="nil"/>
          <w:left w:val="nil"/>
          <w:bottom w:val="nil"/>
          <w:right w:val="nil"/>
          <w:between w:val="nil"/>
        </w:pBdr>
        <w:ind w:left="1152" w:hanging="720"/>
        <w:jc w:val="both"/>
        <w:rPr>
          <w:rFonts w:ascii="Arial" w:eastAsia="Arial" w:hAnsi="Arial" w:cs="Arial"/>
          <w:color w:val="000000"/>
          <w:sz w:val="22"/>
          <w:szCs w:val="22"/>
        </w:rPr>
      </w:pPr>
    </w:p>
    <w:p w14:paraId="684CD14D" w14:textId="77777777" w:rsidR="00726C0B" w:rsidRPr="005115F5" w:rsidRDefault="00BB4E15">
      <w:pPr>
        <w:numPr>
          <w:ilvl w:val="0"/>
          <w:numId w:val="1"/>
        </w:numPr>
        <w:pBdr>
          <w:top w:val="nil"/>
          <w:left w:val="nil"/>
          <w:bottom w:val="nil"/>
          <w:right w:val="nil"/>
          <w:between w:val="nil"/>
        </w:pBdr>
        <w:jc w:val="both"/>
        <w:rPr>
          <w:rFonts w:ascii="Arial" w:eastAsia="Arial" w:hAnsi="Arial" w:cs="Arial"/>
          <w:color w:val="000000"/>
          <w:sz w:val="22"/>
          <w:szCs w:val="22"/>
        </w:rPr>
      </w:pPr>
      <w:r w:rsidRPr="005115F5">
        <w:rPr>
          <w:rFonts w:ascii="Arial" w:eastAsia="Arial" w:hAnsi="Arial" w:cs="Arial"/>
          <w:color w:val="000000"/>
          <w:sz w:val="22"/>
          <w:szCs w:val="22"/>
        </w:rPr>
        <w:t>Tablero de control de operaciones, pases y Letras del Banco Central (LEBAC): Avance anual de pases, Letras del Tesoro (LETE) y LEBAC.</w:t>
      </w:r>
    </w:p>
    <w:p w14:paraId="66066903" w14:textId="77777777" w:rsidR="00726C0B" w:rsidRPr="005115F5" w:rsidRDefault="00726C0B">
      <w:pPr>
        <w:pBdr>
          <w:top w:val="nil"/>
          <w:left w:val="nil"/>
          <w:bottom w:val="nil"/>
          <w:right w:val="nil"/>
          <w:between w:val="nil"/>
        </w:pBdr>
        <w:ind w:left="1152" w:hanging="720"/>
        <w:jc w:val="both"/>
        <w:rPr>
          <w:rFonts w:ascii="Arial" w:eastAsia="Arial" w:hAnsi="Arial" w:cs="Arial"/>
          <w:color w:val="000000"/>
          <w:sz w:val="22"/>
          <w:szCs w:val="22"/>
        </w:rPr>
      </w:pPr>
    </w:p>
    <w:p w14:paraId="1EF78377" w14:textId="77777777" w:rsidR="00726C0B" w:rsidRPr="005115F5" w:rsidRDefault="00BB4E15">
      <w:pPr>
        <w:numPr>
          <w:ilvl w:val="0"/>
          <w:numId w:val="1"/>
        </w:numPr>
        <w:pBdr>
          <w:top w:val="nil"/>
          <w:left w:val="nil"/>
          <w:bottom w:val="nil"/>
          <w:right w:val="nil"/>
          <w:between w:val="nil"/>
        </w:pBdr>
        <w:jc w:val="both"/>
        <w:rPr>
          <w:rFonts w:ascii="Arial" w:eastAsia="Arial" w:hAnsi="Arial" w:cs="Arial"/>
          <w:color w:val="000000"/>
          <w:sz w:val="22"/>
          <w:szCs w:val="22"/>
        </w:rPr>
      </w:pPr>
      <w:r w:rsidRPr="005115F5">
        <w:rPr>
          <w:rFonts w:ascii="Arial" w:eastAsia="Arial" w:hAnsi="Arial" w:cs="Arial"/>
          <w:color w:val="000000"/>
          <w:sz w:val="22"/>
          <w:szCs w:val="22"/>
        </w:rPr>
        <w:t>Sistema BINOVA de gestión de títulos.</w:t>
      </w:r>
    </w:p>
    <w:p w14:paraId="187B2AE0" w14:textId="77777777" w:rsidR="00726C0B" w:rsidRPr="005115F5" w:rsidRDefault="00726C0B">
      <w:pPr>
        <w:pBdr>
          <w:top w:val="nil"/>
          <w:left w:val="nil"/>
          <w:bottom w:val="nil"/>
          <w:right w:val="nil"/>
          <w:between w:val="nil"/>
        </w:pBdr>
        <w:ind w:left="1152" w:hanging="720"/>
        <w:jc w:val="both"/>
        <w:rPr>
          <w:rFonts w:ascii="Arial" w:eastAsia="Arial" w:hAnsi="Arial" w:cs="Arial"/>
          <w:color w:val="000000"/>
          <w:sz w:val="22"/>
          <w:szCs w:val="22"/>
        </w:rPr>
      </w:pPr>
    </w:p>
    <w:p w14:paraId="48288128" w14:textId="77777777" w:rsidR="00726C0B" w:rsidRPr="005115F5" w:rsidRDefault="00BB4E15">
      <w:pPr>
        <w:numPr>
          <w:ilvl w:val="0"/>
          <w:numId w:val="1"/>
        </w:numPr>
        <w:pBdr>
          <w:top w:val="nil"/>
          <w:left w:val="nil"/>
          <w:bottom w:val="nil"/>
          <w:right w:val="nil"/>
          <w:between w:val="nil"/>
        </w:pBdr>
        <w:jc w:val="both"/>
        <w:rPr>
          <w:rFonts w:ascii="Arial" w:eastAsia="Arial" w:hAnsi="Arial" w:cs="Arial"/>
          <w:color w:val="000000"/>
          <w:sz w:val="22"/>
          <w:szCs w:val="22"/>
        </w:rPr>
      </w:pPr>
      <w:r w:rsidRPr="005115F5">
        <w:rPr>
          <w:rFonts w:ascii="Arial" w:eastAsia="Arial" w:hAnsi="Arial" w:cs="Arial"/>
          <w:color w:val="000000"/>
          <w:sz w:val="22"/>
          <w:szCs w:val="22"/>
        </w:rPr>
        <w:lastRenderedPageBreak/>
        <w:t>Sistema de Gestión Documental Electrónica (GDE).</w:t>
      </w:r>
    </w:p>
    <w:p w14:paraId="54EFB4B2" w14:textId="77777777" w:rsidR="00726C0B" w:rsidRPr="005115F5" w:rsidRDefault="00726C0B">
      <w:pPr>
        <w:pBdr>
          <w:top w:val="nil"/>
          <w:left w:val="nil"/>
          <w:bottom w:val="nil"/>
          <w:right w:val="nil"/>
          <w:between w:val="nil"/>
        </w:pBdr>
        <w:ind w:left="1152" w:hanging="720"/>
        <w:jc w:val="both"/>
        <w:rPr>
          <w:rFonts w:ascii="Arial" w:eastAsia="Arial" w:hAnsi="Arial" w:cs="Arial"/>
          <w:color w:val="000000"/>
          <w:sz w:val="22"/>
          <w:szCs w:val="22"/>
        </w:rPr>
      </w:pPr>
    </w:p>
    <w:p w14:paraId="0AF3F05A" w14:textId="0E44CC01" w:rsidR="00726C0B" w:rsidRPr="00E41218" w:rsidRDefault="00BB4E15">
      <w:pPr>
        <w:numPr>
          <w:ilvl w:val="0"/>
          <w:numId w:val="1"/>
        </w:numPr>
        <w:pBdr>
          <w:top w:val="nil"/>
          <w:left w:val="nil"/>
          <w:bottom w:val="nil"/>
          <w:right w:val="nil"/>
          <w:between w:val="nil"/>
        </w:pBdr>
        <w:jc w:val="both"/>
        <w:rPr>
          <w:rFonts w:ascii="Arial" w:eastAsia="Arial" w:hAnsi="Arial" w:cs="Arial"/>
          <w:color w:val="000000"/>
          <w:sz w:val="22"/>
          <w:szCs w:val="22"/>
        </w:rPr>
      </w:pPr>
      <w:r w:rsidRPr="005115F5">
        <w:rPr>
          <w:rFonts w:ascii="Arial" w:eastAsia="Arial" w:hAnsi="Arial" w:cs="Arial"/>
          <w:color w:val="000000"/>
          <w:sz w:val="22"/>
          <w:szCs w:val="22"/>
        </w:rPr>
        <w:t>Sistema BREPEVEN: Sistema base para eventos de riesgo operativo, autoevaluación del riesgo operativo y Ley de Cumplimiento Tributario de Cue</w:t>
      </w:r>
      <w:r w:rsidRPr="00E41218">
        <w:rPr>
          <w:rFonts w:ascii="Arial" w:eastAsia="Arial" w:hAnsi="Arial" w:cs="Arial"/>
          <w:color w:val="000000"/>
          <w:sz w:val="22"/>
          <w:szCs w:val="22"/>
        </w:rPr>
        <w:t>ntas Extranjeras (FATCA).</w:t>
      </w:r>
    </w:p>
    <w:p w14:paraId="087D587D" w14:textId="77777777" w:rsidR="008D1B1E" w:rsidRPr="00E41218" w:rsidRDefault="008D1B1E" w:rsidP="00C047E9">
      <w:pPr>
        <w:pStyle w:val="ListParagraph"/>
        <w:rPr>
          <w:rFonts w:ascii="Arial" w:eastAsia="Arial" w:hAnsi="Arial" w:cs="Arial"/>
          <w:color w:val="000000"/>
          <w:sz w:val="22"/>
          <w:szCs w:val="22"/>
        </w:rPr>
      </w:pPr>
    </w:p>
    <w:p w14:paraId="0052EDE7" w14:textId="1F44FCF8" w:rsidR="008D1B1E" w:rsidRPr="00E41218" w:rsidRDefault="008D1B1E">
      <w:pPr>
        <w:numPr>
          <w:ilvl w:val="0"/>
          <w:numId w:val="1"/>
        </w:numPr>
        <w:pBdr>
          <w:top w:val="nil"/>
          <w:left w:val="nil"/>
          <w:bottom w:val="nil"/>
          <w:right w:val="nil"/>
          <w:between w:val="nil"/>
        </w:pBdr>
        <w:jc w:val="both"/>
        <w:rPr>
          <w:rFonts w:ascii="Arial" w:eastAsia="Arial" w:hAnsi="Arial" w:cs="Arial"/>
          <w:color w:val="000000"/>
          <w:sz w:val="22"/>
          <w:szCs w:val="22"/>
        </w:rPr>
      </w:pPr>
      <w:proofErr w:type="spellStart"/>
      <w:r w:rsidRPr="00E41218">
        <w:rPr>
          <w:rFonts w:ascii="Arial" w:eastAsia="Arial" w:hAnsi="Arial" w:cs="Arial"/>
          <w:color w:val="000000" w:themeColor="text1"/>
          <w:sz w:val="22"/>
          <w:szCs w:val="22"/>
        </w:rPr>
        <w:t>FOGARNet</w:t>
      </w:r>
      <w:proofErr w:type="spellEnd"/>
      <w:r w:rsidR="0083060C" w:rsidRPr="00E41218">
        <w:rPr>
          <w:rFonts w:ascii="Arial" w:eastAsia="Arial" w:hAnsi="Arial" w:cs="Arial"/>
          <w:color w:val="000000" w:themeColor="text1"/>
          <w:sz w:val="22"/>
          <w:szCs w:val="22"/>
        </w:rPr>
        <w:t>.</w:t>
      </w:r>
    </w:p>
    <w:p w14:paraId="349CECFC" w14:textId="77777777" w:rsidR="007957A0" w:rsidRPr="00E41218" w:rsidRDefault="007957A0" w:rsidP="002552F9">
      <w:pPr>
        <w:pStyle w:val="ListParagraph"/>
        <w:rPr>
          <w:rFonts w:ascii="Arial" w:eastAsia="Arial" w:hAnsi="Arial" w:cs="Arial"/>
          <w:color w:val="000000"/>
          <w:sz w:val="22"/>
          <w:szCs w:val="22"/>
        </w:rPr>
      </w:pPr>
    </w:p>
    <w:p w14:paraId="39A97291" w14:textId="3A96A699" w:rsidR="007957A0" w:rsidRPr="00E41218" w:rsidRDefault="007957A0">
      <w:pPr>
        <w:numPr>
          <w:ilvl w:val="0"/>
          <w:numId w:val="1"/>
        </w:numPr>
        <w:pBdr>
          <w:top w:val="nil"/>
          <w:left w:val="nil"/>
          <w:bottom w:val="nil"/>
          <w:right w:val="nil"/>
          <w:between w:val="nil"/>
        </w:pBdr>
        <w:jc w:val="both"/>
        <w:rPr>
          <w:rFonts w:ascii="Arial" w:eastAsia="Arial" w:hAnsi="Arial" w:cs="Arial"/>
          <w:color w:val="000000"/>
          <w:sz w:val="22"/>
          <w:szCs w:val="22"/>
        </w:rPr>
      </w:pPr>
      <w:r w:rsidRPr="00E41218">
        <w:rPr>
          <w:rFonts w:ascii="Arial" w:eastAsia="Arial" w:hAnsi="Arial" w:cs="Arial"/>
          <w:color w:val="000000"/>
          <w:sz w:val="22"/>
          <w:szCs w:val="22"/>
        </w:rPr>
        <w:t>BONITA</w:t>
      </w:r>
      <w:r w:rsidR="0083060C" w:rsidRPr="00E41218">
        <w:rPr>
          <w:rFonts w:ascii="Arial" w:eastAsia="Arial" w:hAnsi="Arial" w:cs="Arial"/>
          <w:color w:val="000000"/>
          <w:sz w:val="22"/>
          <w:szCs w:val="22"/>
        </w:rPr>
        <w:t>.</w:t>
      </w:r>
    </w:p>
    <w:p w14:paraId="4B585E73" w14:textId="77777777" w:rsidR="00726C0B" w:rsidRDefault="00726C0B">
      <w:pPr>
        <w:pBdr>
          <w:top w:val="nil"/>
          <w:left w:val="nil"/>
          <w:bottom w:val="nil"/>
          <w:right w:val="nil"/>
          <w:between w:val="nil"/>
        </w:pBdr>
        <w:ind w:left="1152" w:hanging="720"/>
        <w:jc w:val="both"/>
        <w:rPr>
          <w:rFonts w:ascii="Arial" w:eastAsia="Arial" w:hAnsi="Arial" w:cs="Arial"/>
          <w:color w:val="000000"/>
          <w:sz w:val="22"/>
          <w:szCs w:val="22"/>
        </w:rPr>
      </w:pPr>
    </w:p>
    <w:p w14:paraId="182C2CA2" w14:textId="70C063BD" w:rsidR="00726C0B" w:rsidRPr="005115F5" w:rsidRDefault="00BB4E15">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Identificación de los recursos:</w:t>
      </w:r>
      <w:r>
        <w:rPr>
          <w:rFonts w:ascii="Arial" w:eastAsia="Arial" w:hAnsi="Arial" w:cs="Arial"/>
          <w:color w:val="000000"/>
          <w:sz w:val="22"/>
          <w:szCs w:val="22"/>
        </w:rPr>
        <w:t xml:space="preserve"> </w:t>
      </w:r>
      <w:r w:rsidRPr="005115F5">
        <w:rPr>
          <w:rFonts w:ascii="Arial" w:eastAsia="Arial" w:hAnsi="Arial" w:cs="Arial"/>
          <w:color w:val="000000"/>
          <w:sz w:val="22"/>
          <w:szCs w:val="22"/>
        </w:rPr>
        <w:t xml:space="preserve">Los movimientos del proyecto se incorporarán en los registros del FONDEP y el FOGAR a través </w:t>
      </w:r>
      <w:r w:rsidR="0087165D">
        <w:rPr>
          <w:rFonts w:ascii="Arial" w:eastAsia="Arial" w:hAnsi="Arial" w:cs="Arial"/>
          <w:color w:val="000000"/>
          <w:sz w:val="22"/>
          <w:szCs w:val="22"/>
        </w:rPr>
        <w:t>BFSA</w:t>
      </w:r>
      <w:r w:rsidRPr="005115F5">
        <w:rPr>
          <w:rFonts w:ascii="Arial" w:eastAsia="Arial" w:hAnsi="Arial" w:cs="Arial"/>
          <w:color w:val="000000"/>
          <w:sz w:val="22"/>
          <w:szCs w:val="22"/>
        </w:rPr>
        <w:t>, en cuentas expresamente asignadas. Se deberán determinar las cuentas que se asignen a la ejecución y los registros del proyecto de manera tal que la información relacionada con el proyecto sea clara y fácil de identificar.</w:t>
      </w:r>
    </w:p>
    <w:p w14:paraId="71B907EF" w14:textId="77777777" w:rsidR="00726C0B" w:rsidRDefault="00726C0B">
      <w:pPr>
        <w:pBdr>
          <w:top w:val="nil"/>
          <w:left w:val="nil"/>
          <w:bottom w:val="nil"/>
          <w:right w:val="nil"/>
          <w:between w:val="nil"/>
        </w:pBdr>
        <w:ind w:left="720"/>
        <w:rPr>
          <w:rFonts w:ascii="Arial" w:eastAsia="Arial" w:hAnsi="Arial" w:cs="Arial"/>
          <w:color w:val="000000"/>
          <w:sz w:val="22"/>
          <w:szCs w:val="22"/>
        </w:rPr>
      </w:pPr>
    </w:p>
    <w:p w14:paraId="627247CB" w14:textId="77777777" w:rsidR="00726C0B" w:rsidRDefault="00BB4E15">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 xml:space="preserve">Desembolsos y flujos de caja: </w:t>
      </w:r>
      <w:r>
        <w:rPr>
          <w:rFonts w:ascii="Arial" w:eastAsia="Arial" w:hAnsi="Arial" w:cs="Arial"/>
          <w:color w:val="000000"/>
          <w:sz w:val="22"/>
          <w:szCs w:val="22"/>
        </w:rPr>
        <w:t xml:space="preserve">El BID desembolsará los recursos del programa bajo cualquiera de las modalidades definidas en la Política de Gestión Financiera para proyectos financiados por el BID.  </w:t>
      </w:r>
    </w:p>
    <w:p w14:paraId="55392D35" w14:textId="77777777" w:rsidR="00726C0B" w:rsidRDefault="00726C0B">
      <w:pPr>
        <w:pBdr>
          <w:top w:val="nil"/>
          <w:left w:val="nil"/>
          <w:bottom w:val="nil"/>
          <w:right w:val="nil"/>
          <w:between w:val="nil"/>
        </w:pBdr>
        <w:ind w:left="720"/>
        <w:rPr>
          <w:rFonts w:ascii="Arial" w:eastAsia="Arial" w:hAnsi="Arial" w:cs="Arial"/>
          <w:color w:val="000000"/>
          <w:sz w:val="22"/>
          <w:szCs w:val="22"/>
        </w:rPr>
      </w:pPr>
    </w:p>
    <w:p w14:paraId="0D882AC4" w14:textId="0BC2D2D1" w:rsidR="00726C0B" w:rsidRDefault="00BB4E15">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 xml:space="preserve">Cuenta operativa: </w:t>
      </w:r>
      <w:r>
        <w:rPr>
          <w:rFonts w:ascii="Arial" w:eastAsia="Arial" w:hAnsi="Arial" w:cs="Arial"/>
          <w:color w:val="000000"/>
          <w:sz w:val="22"/>
          <w:szCs w:val="22"/>
        </w:rPr>
        <w:t>El OE mantendrá una cuenta especial en dólares y en pesos separadas e identificadas contable y operacionalmente para el manejo exclusivo de los recursos del Programa desde donde se realizarán los desembolsos correspondientes a</w:t>
      </w:r>
      <w:r w:rsidR="00F014DE">
        <w:rPr>
          <w:rFonts w:ascii="Arial" w:eastAsia="Arial" w:hAnsi="Arial" w:cs="Arial"/>
          <w:color w:val="000000"/>
          <w:sz w:val="22"/>
          <w:szCs w:val="22"/>
        </w:rPr>
        <w:t>l</w:t>
      </w:r>
      <w:r>
        <w:rPr>
          <w:rFonts w:ascii="Arial" w:eastAsia="Arial" w:hAnsi="Arial" w:cs="Arial"/>
          <w:color w:val="000000"/>
          <w:sz w:val="22"/>
          <w:szCs w:val="22"/>
        </w:rPr>
        <w:t xml:space="preserve"> FONDEP y </w:t>
      </w:r>
      <w:r w:rsidR="00F014DE">
        <w:rPr>
          <w:rFonts w:ascii="Arial" w:eastAsia="Arial" w:hAnsi="Arial" w:cs="Arial"/>
          <w:color w:val="000000"/>
          <w:sz w:val="22"/>
          <w:szCs w:val="22"/>
        </w:rPr>
        <w:t xml:space="preserve">el </w:t>
      </w:r>
      <w:r>
        <w:rPr>
          <w:rFonts w:ascii="Arial" w:eastAsia="Arial" w:hAnsi="Arial" w:cs="Arial"/>
          <w:color w:val="000000"/>
          <w:sz w:val="22"/>
          <w:szCs w:val="22"/>
        </w:rPr>
        <w:t xml:space="preserve">FOGAR.  </w:t>
      </w:r>
      <w:r w:rsidRPr="005115F5">
        <w:rPr>
          <w:rFonts w:ascii="Arial" w:eastAsia="Arial" w:hAnsi="Arial" w:cs="Arial"/>
          <w:color w:val="000000"/>
          <w:sz w:val="22"/>
          <w:szCs w:val="22"/>
        </w:rPr>
        <w:t>Asimismo, estos fondos mantendrán cuentas especiales en pesos y en dólares para la recepción e identificación de los fondos del proyecto.</w:t>
      </w:r>
      <w:r>
        <w:rPr>
          <w:rFonts w:ascii="Arial" w:eastAsia="Arial" w:hAnsi="Arial" w:cs="Arial"/>
          <w:color w:val="000000"/>
          <w:sz w:val="22"/>
          <w:szCs w:val="22"/>
        </w:rPr>
        <w:t xml:space="preserve"> De conformidad con lo establecido en la Política de Gestión Financiera para Proyectos Financiados por el BID, se realizarán desembolsos sobre la base de las necesidades de liquidez, para lo cual el OE preparará un plan financiero, que servirá de base para los anticipos u otra modalidad de desembolso que se estime apropiada.</w:t>
      </w:r>
    </w:p>
    <w:p w14:paraId="3BDD52E2" w14:textId="77777777" w:rsidR="00726C0B" w:rsidRDefault="00726C0B">
      <w:pPr>
        <w:pBdr>
          <w:top w:val="nil"/>
          <w:left w:val="nil"/>
          <w:bottom w:val="nil"/>
          <w:right w:val="nil"/>
          <w:between w:val="nil"/>
        </w:pBdr>
        <w:ind w:left="792" w:hanging="720"/>
        <w:jc w:val="both"/>
        <w:rPr>
          <w:rFonts w:ascii="Arial" w:eastAsia="Arial" w:hAnsi="Arial" w:cs="Arial"/>
          <w:b/>
          <w:color w:val="000000"/>
          <w:sz w:val="22"/>
          <w:szCs w:val="22"/>
        </w:rPr>
      </w:pPr>
    </w:p>
    <w:p w14:paraId="34C16BFD" w14:textId="1FBF3C3A" w:rsidR="00726C0B" w:rsidRDefault="00BB4E15">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 xml:space="preserve">Supervisión: </w:t>
      </w:r>
      <w:r>
        <w:rPr>
          <w:rFonts w:ascii="Arial" w:eastAsia="Arial" w:hAnsi="Arial" w:cs="Arial"/>
          <w:color w:val="000000"/>
          <w:sz w:val="22"/>
          <w:szCs w:val="22"/>
        </w:rPr>
        <w:t>Para el monitoreo financiero del programa, se utilizarán los informes financieros (no auditados) producidos por los sistemas del OE y de</w:t>
      </w:r>
      <w:r w:rsidR="0087165D">
        <w:rPr>
          <w:rFonts w:ascii="Arial" w:eastAsia="Arial" w:hAnsi="Arial" w:cs="Arial"/>
          <w:color w:val="000000"/>
          <w:sz w:val="22"/>
          <w:szCs w:val="22"/>
        </w:rPr>
        <w:t xml:space="preserve"> BFSA</w:t>
      </w:r>
      <w:r>
        <w:rPr>
          <w:rFonts w:ascii="Arial" w:eastAsia="Arial" w:hAnsi="Arial" w:cs="Arial"/>
          <w:color w:val="000000"/>
          <w:sz w:val="22"/>
          <w:szCs w:val="22"/>
        </w:rPr>
        <w:t xml:space="preserve"> y la desagregación necesaria se detallará en las notas correspondientes e información financiera complementaria. Preliminarmente, estos informes se requerirán semestralmente pudiendo ajustarse la frecuencia posteriormente. Las notas explicativas de la información financiera se diseñarán de manera que sean consistentes con la política y herramientas de monitoreo del BID.</w:t>
      </w:r>
    </w:p>
    <w:p w14:paraId="7B58921D" w14:textId="77777777" w:rsidR="00726C0B" w:rsidRDefault="00726C0B">
      <w:pPr>
        <w:jc w:val="both"/>
        <w:rPr>
          <w:rFonts w:ascii="Arial" w:eastAsia="Arial" w:hAnsi="Arial" w:cs="Arial"/>
          <w:b/>
          <w:sz w:val="22"/>
          <w:szCs w:val="22"/>
        </w:rPr>
      </w:pPr>
    </w:p>
    <w:p w14:paraId="0FEA4E23" w14:textId="77777777" w:rsidR="00726C0B" w:rsidRDefault="00BB4E15">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 xml:space="preserve">Supervisión fiduciaria del BID: </w:t>
      </w:r>
      <w:r>
        <w:rPr>
          <w:rFonts w:ascii="Arial" w:eastAsia="Arial" w:hAnsi="Arial" w:cs="Arial"/>
          <w:color w:val="000000"/>
          <w:sz w:val="22"/>
          <w:szCs w:val="22"/>
        </w:rPr>
        <w:t>El especialista financiero del BID podrá llevar a cabo revisiones “in situ” y realizará revisiones de “escritorio” sobre los estados financieros anuales y finales auditados del programa. Las visitas de supervisión fiduciaria en gestión financiera incluirán la verificación de los arreglos financieros y contables utilizados para la administración del proyecto y el seguimiento a la implementación de las recomendaciones que pueda emitir el auditor independiente del presente programa, entre otros. El auditor verificará que los recursos se hayan dirigido a beneficiarios finales, según las condiciones estipuladas en este RC. Finalmente, dentro de sus potestades está la de realizar visitas de inspección a los beneficiarios finales.</w:t>
      </w:r>
    </w:p>
    <w:p w14:paraId="2AC441E6" w14:textId="77777777" w:rsidR="00726C0B" w:rsidRDefault="00726C0B">
      <w:pPr>
        <w:pBdr>
          <w:top w:val="nil"/>
          <w:left w:val="nil"/>
          <w:bottom w:val="nil"/>
          <w:right w:val="nil"/>
          <w:between w:val="nil"/>
        </w:pBdr>
        <w:ind w:left="720"/>
        <w:rPr>
          <w:rFonts w:ascii="Arial" w:eastAsia="Arial" w:hAnsi="Arial" w:cs="Arial"/>
          <w:b/>
          <w:color w:val="000000"/>
          <w:sz w:val="22"/>
          <w:szCs w:val="22"/>
        </w:rPr>
      </w:pPr>
    </w:p>
    <w:p w14:paraId="4620DC56" w14:textId="06764C93" w:rsidR="00726C0B" w:rsidRDefault="00BB4E15">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lastRenderedPageBreak/>
        <w:t xml:space="preserve">Control interno: </w:t>
      </w:r>
      <w:r>
        <w:rPr>
          <w:rFonts w:ascii="Arial" w:eastAsia="Arial" w:hAnsi="Arial" w:cs="Arial"/>
          <w:color w:val="000000"/>
          <w:sz w:val="22"/>
          <w:szCs w:val="22"/>
        </w:rPr>
        <w:t xml:space="preserve">El OE y </w:t>
      </w:r>
      <w:r w:rsidR="0087165D">
        <w:rPr>
          <w:rFonts w:ascii="Arial" w:eastAsia="Arial" w:hAnsi="Arial" w:cs="Arial"/>
          <w:color w:val="000000"/>
          <w:sz w:val="22"/>
          <w:szCs w:val="22"/>
        </w:rPr>
        <w:t>BFSA</w:t>
      </w:r>
      <w:r>
        <w:rPr>
          <w:rFonts w:ascii="Arial" w:eastAsia="Arial" w:hAnsi="Arial" w:cs="Arial"/>
          <w:color w:val="000000"/>
          <w:sz w:val="22"/>
          <w:szCs w:val="22"/>
        </w:rPr>
        <w:t xml:space="preserve"> aplicarán su normativa propia y la gestión de su Auditoría Interna, Comité de Crédito y el Comité de Riesgo para llevar a cabo el control interno de la operación, según corresponda.</w:t>
      </w:r>
    </w:p>
    <w:p w14:paraId="75B1A987" w14:textId="77777777" w:rsidR="00726C0B" w:rsidRDefault="00726C0B">
      <w:pPr>
        <w:pBdr>
          <w:top w:val="nil"/>
          <w:left w:val="nil"/>
          <w:bottom w:val="nil"/>
          <w:right w:val="nil"/>
          <w:between w:val="nil"/>
        </w:pBdr>
        <w:ind w:left="720"/>
        <w:rPr>
          <w:rFonts w:ascii="Arial" w:eastAsia="Arial" w:hAnsi="Arial" w:cs="Arial"/>
          <w:color w:val="000000"/>
          <w:sz w:val="22"/>
          <w:szCs w:val="22"/>
        </w:rPr>
      </w:pPr>
    </w:p>
    <w:p w14:paraId="3BC19B86" w14:textId="77777777" w:rsidR="00726C0B" w:rsidRDefault="00BB4E15">
      <w:pPr>
        <w:numPr>
          <w:ilvl w:val="1"/>
          <w:numId w:val="1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 xml:space="preserve">Inspecciones: </w:t>
      </w:r>
      <w:r>
        <w:rPr>
          <w:rFonts w:ascii="Arial" w:eastAsia="Arial" w:hAnsi="Arial" w:cs="Arial"/>
          <w:color w:val="000000"/>
          <w:sz w:val="22"/>
          <w:szCs w:val="22"/>
        </w:rPr>
        <w:t>De acuerdo con lo establecido en las Normas Generales y en Contrato de Préstamo, se permitirá que el BID inspeccione en cualquier momento el estado de ejecución del Programa y verifique el cumplimiento de los requerimientos establecidos para el uso de los recursos del préstamo. En este sentido: (i) El Auditor Interno del OE o su delegado, podrá acceder a toda la información relevante que se requiera dentro del marco del Programa; (</w:t>
      </w:r>
      <w:proofErr w:type="spellStart"/>
      <w:r>
        <w:rPr>
          <w:rFonts w:ascii="Arial" w:eastAsia="Arial" w:hAnsi="Arial" w:cs="Arial"/>
          <w:color w:val="000000"/>
          <w:sz w:val="22"/>
          <w:szCs w:val="22"/>
        </w:rPr>
        <w:t>ii</w:t>
      </w:r>
      <w:proofErr w:type="spellEnd"/>
      <w:r>
        <w:rPr>
          <w:rFonts w:ascii="Arial" w:eastAsia="Arial" w:hAnsi="Arial" w:cs="Arial"/>
          <w:color w:val="000000"/>
          <w:sz w:val="22"/>
          <w:szCs w:val="22"/>
        </w:rPr>
        <w:t>) el BID podrá inspeccionar en cualquier momento el estado de ejecución del Programa, y revisar los registros y documentos relacionados a su ejecución; y (</w:t>
      </w:r>
      <w:proofErr w:type="spellStart"/>
      <w:r>
        <w:rPr>
          <w:rFonts w:ascii="Arial" w:eastAsia="Arial" w:hAnsi="Arial" w:cs="Arial"/>
          <w:color w:val="000000"/>
          <w:sz w:val="22"/>
          <w:szCs w:val="22"/>
        </w:rPr>
        <w:t>iii</w:t>
      </w:r>
      <w:proofErr w:type="spellEnd"/>
      <w:r>
        <w:rPr>
          <w:rFonts w:ascii="Arial" w:eastAsia="Arial" w:hAnsi="Arial" w:cs="Arial"/>
          <w:color w:val="000000"/>
          <w:sz w:val="22"/>
          <w:szCs w:val="22"/>
        </w:rPr>
        <w:t xml:space="preserve">) el OE deberá prestar su plena cooperación a esta actividad. </w:t>
      </w:r>
    </w:p>
    <w:p w14:paraId="0D784AB6" w14:textId="77777777" w:rsidR="00726C0B" w:rsidRDefault="00726C0B">
      <w:pPr>
        <w:pBdr>
          <w:top w:val="nil"/>
          <w:left w:val="nil"/>
          <w:bottom w:val="nil"/>
          <w:right w:val="nil"/>
          <w:between w:val="nil"/>
        </w:pBdr>
        <w:ind w:left="720"/>
        <w:rPr>
          <w:rFonts w:ascii="Arial" w:eastAsia="Arial" w:hAnsi="Arial" w:cs="Arial"/>
          <w:b/>
          <w:color w:val="000000"/>
          <w:sz w:val="22"/>
          <w:szCs w:val="22"/>
        </w:rPr>
      </w:pPr>
    </w:p>
    <w:p w14:paraId="5AD6D23A" w14:textId="20AB3002" w:rsidR="00726C0B" w:rsidRDefault="00BB4E15">
      <w:pPr>
        <w:numPr>
          <w:ilvl w:val="1"/>
          <w:numId w:val="11"/>
        </w:numPr>
        <w:pBdr>
          <w:top w:val="nil"/>
          <w:left w:val="nil"/>
          <w:bottom w:val="nil"/>
          <w:right w:val="nil"/>
          <w:between w:val="nil"/>
        </w:pBdr>
        <w:ind w:left="990" w:hanging="630"/>
        <w:jc w:val="both"/>
        <w:rPr>
          <w:rFonts w:ascii="Arial" w:eastAsia="Arial" w:hAnsi="Arial" w:cs="Arial"/>
          <w:color w:val="000000"/>
        </w:rPr>
      </w:pPr>
      <w:r>
        <w:rPr>
          <w:rFonts w:ascii="Arial" w:eastAsia="Arial" w:hAnsi="Arial" w:cs="Arial"/>
          <w:b/>
          <w:color w:val="000000"/>
          <w:sz w:val="22"/>
          <w:szCs w:val="22"/>
        </w:rPr>
        <w:t xml:space="preserve">Control externo e informes: </w:t>
      </w:r>
      <w:r>
        <w:rPr>
          <w:rFonts w:ascii="Arial" w:eastAsia="Arial" w:hAnsi="Arial" w:cs="Arial"/>
          <w:color w:val="000000"/>
          <w:sz w:val="22"/>
          <w:szCs w:val="22"/>
        </w:rPr>
        <w:t>El control externo del programa se realizará por el organismo de Control Superior o se encargará a una firma de auditores independientes aceptable al BID. La contratación quedará a cargo del OE</w:t>
      </w:r>
      <w:r w:rsidRPr="005115F5">
        <w:rPr>
          <w:rFonts w:ascii="Arial" w:eastAsia="Arial" w:hAnsi="Arial" w:cs="Arial"/>
          <w:color w:val="000000"/>
          <w:sz w:val="22"/>
          <w:szCs w:val="22"/>
        </w:rPr>
        <w:t>.</w:t>
      </w:r>
      <w:r w:rsidRPr="005115F5" w:rsidDel="00BB4E15">
        <w:rPr>
          <w:rFonts w:ascii="Arial" w:eastAsia="Arial" w:hAnsi="Arial" w:cs="Arial"/>
          <w:color w:val="000000"/>
          <w:sz w:val="22"/>
          <w:szCs w:val="22"/>
        </w:rPr>
        <w:t xml:space="preserve"> </w:t>
      </w:r>
      <w:r>
        <w:rPr>
          <w:rFonts w:ascii="Arial" w:eastAsia="Arial" w:hAnsi="Arial" w:cs="Arial"/>
          <w:color w:val="000000"/>
          <w:sz w:val="22"/>
          <w:szCs w:val="22"/>
        </w:rPr>
        <w:t>En caso de realizarse un proceso competitivo deberán seguirse los lineamientos establecidos en el Instructivo de Informes Financieros y Gestión de Auditoría Externa de las Operaciones Financiadas por el BID. Los términos de referencia deberán ser acordados previamente con el BID, y el proceso de contratación será revisado de manera ex ante. Los estados financieros anuales se prepararán de conformidad con la Guía de Informes Financieros y Auditoría del BID. Para garantizar la efectividad de la labor de auditoría, la firma responsable deberá estar contratada a más tardar en el mes de septiembre del ejercicio fiscal en ejecución y sujeto a ser auditado.</w:t>
      </w:r>
    </w:p>
    <w:p w14:paraId="7E4BD80E" w14:textId="77777777" w:rsidR="00726C0B" w:rsidRDefault="00726C0B">
      <w:pPr>
        <w:pBdr>
          <w:top w:val="nil"/>
          <w:left w:val="nil"/>
          <w:bottom w:val="nil"/>
          <w:right w:val="nil"/>
          <w:between w:val="nil"/>
        </w:pBdr>
        <w:ind w:left="990" w:hanging="630"/>
        <w:jc w:val="both"/>
        <w:rPr>
          <w:rFonts w:ascii="Arial" w:eastAsia="Arial" w:hAnsi="Arial" w:cs="Arial"/>
          <w:color w:val="000000"/>
          <w:sz w:val="22"/>
          <w:szCs w:val="22"/>
        </w:rPr>
      </w:pPr>
    </w:p>
    <w:p w14:paraId="3EAC7AE3" w14:textId="77777777" w:rsidR="00726C0B" w:rsidRDefault="00BB4E15">
      <w:pPr>
        <w:numPr>
          <w:ilvl w:val="1"/>
          <w:numId w:val="11"/>
        </w:numPr>
        <w:pBdr>
          <w:top w:val="nil"/>
          <w:left w:val="nil"/>
          <w:bottom w:val="nil"/>
          <w:right w:val="nil"/>
          <w:between w:val="nil"/>
        </w:pBdr>
        <w:ind w:left="990" w:hanging="630"/>
        <w:jc w:val="both"/>
        <w:rPr>
          <w:rFonts w:ascii="Arial" w:eastAsia="Arial" w:hAnsi="Arial" w:cs="Arial"/>
          <w:color w:val="000000"/>
        </w:rPr>
      </w:pPr>
      <w:r>
        <w:rPr>
          <w:rFonts w:ascii="Arial" w:eastAsia="Arial" w:hAnsi="Arial" w:cs="Arial"/>
          <w:b/>
          <w:color w:val="000000"/>
          <w:sz w:val="22"/>
          <w:szCs w:val="22"/>
        </w:rPr>
        <w:t xml:space="preserve">Mantenimiento de razones regulatorias: </w:t>
      </w:r>
      <w:r>
        <w:rPr>
          <w:rFonts w:ascii="Arial" w:eastAsia="Arial" w:hAnsi="Arial" w:cs="Arial"/>
          <w:color w:val="000000"/>
          <w:sz w:val="22"/>
          <w:szCs w:val="22"/>
        </w:rPr>
        <w:t>El OE se compromete a mantener las razones de solvencia y liquidez por encima de los mínimos regulatorios establecidos en todo momento. Para tal fin, deberá remitir, junto con los Estados Financieros, un apartado en donde se muestre la evolución mensual de los mismos.</w:t>
      </w:r>
    </w:p>
    <w:p w14:paraId="79F31C38" w14:textId="77777777" w:rsidR="00726C0B" w:rsidRDefault="00BB4E15">
      <w:pPr>
        <w:pBdr>
          <w:top w:val="nil"/>
          <w:left w:val="nil"/>
          <w:bottom w:val="nil"/>
          <w:right w:val="nil"/>
          <w:between w:val="nil"/>
        </w:pBdr>
        <w:ind w:left="792" w:hanging="720"/>
        <w:jc w:val="both"/>
        <w:rPr>
          <w:rFonts w:ascii="Arial" w:eastAsia="Arial" w:hAnsi="Arial" w:cs="Arial"/>
          <w:color w:val="000000"/>
          <w:sz w:val="22"/>
          <w:szCs w:val="22"/>
        </w:rPr>
      </w:pPr>
      <w:r>
        <w:rPr>
          <w:rFonts w:ascii="Arial" w:eastAsia="Arial" w:hAnsi="Arial" w:cs="Arial"/>
          <w:color w:val="000000"/>
          <w:sz w:val="22"/>
          <w:szCs w:val="22"/>
        </w:rPr>
        <w:t xml:space="preserve"> </w:t>
      </w:r>
    </w:p>
    <w:p w14:paraId="7E8E94AA" w14:textId="77777777" w:rsidR="00726C0B" w:rsidRDefault="00BB4E15">
      <w:pPr>
        <w:numPr>
          <w:ilvl w:val="1"/>
          <w:numId w:val="11"/>
        </w:numPr>
        <w:pBdr>
          <w:top w:val="nil"/>
          <w:left w:val="nil"/>
          <w:bottom w:val="nil"/>
          <w:right w:val="nil"/>
          <w:between w:val="nil"/>
        </w:pBdr>
        <w:ind w:left="990" w:hanging="630"/>
        <w:jc w:val="both"/>
        <w:rPr>
          <w:rFonts w:ascii="Arial" w:eastAsia="Arial" w:hAnsi="Arial" w:cs="Arial"/>
          <w:color w:val="000000"/>
        </w:rPr>
      </w:pPr>
      <w:r>
        <w:rPr>
          <w:rFonts w:ascii="Arial" w:eastAsia="Arial" w:hAnsi="Arial" w:cs="Arial"/>
          <w:b/>
          <w:color w:val="000000"/>
          <w:sz w:val="22"/>
          <w:szCs w:val="22"/>
        </w:rPr>
        <w:t xml:space="preserve">Informe Auditoría Externa: </w:t>
      </w:r>
      <w:r>
        <w:rPr>
          <w:rFonts w:ascii="Arial" w:eastAsia="Arial" w:hAnsi="Arial" w:cs="Arial"/>
          <w:color w:val="000000"/>
          <w:sz w:val="22"/>
          <w:szCs w:val="22"/>
        </w:rPr>
        <w:t>El auditor externo presentará un informe sobre la elegibilidad de los desembolsos del programa, verificará que los recursos se canalicen a los beneficiarios finales, según las condiciones estipuladas en este Reglamento Operativo. Además, realizará visitas de inspección a los beneficiarios finales. Los estados financieros auditados del proyecto serán enviados al BID a más tardar cuatro (4) meses después de finalizado el ejercicio fiscal correspondiente. El OE deberá asegurarse que los fondos correspondientes a los servicios de auditoría están disponibles y han sido retenidos y guardados hasta la fecha de cierre del proyecto.</w:t>
      </w:r>
    </w:p>
    <w:p w14:paraId="3EEA3592" w14:textId="77777777" w:rsidR="00726C0B" w:rsidRDefault="00BB4E15">
      <w:pPr>
        <w:pStyle w:val="Heading1"/>
        <w:numPr>
          <w:ilvl w:val="0"/>
          <w:numId w:val="11"/>
        </w:numPr>
        <w:rPr>
          <w:sz w:val="22"/>
          <w:szCs w:val="22"/>
        </w:rPr>
      </w:pPr>
      <w:bookmarkStart w:id="24" w:name="_Toc42709767"/>
      <w:r>
        <w:rPr>
          <w:sz w:val="22"/>
          <w:szCs w:val="22"/>
        </w:rPr>
        <w:t>Modificación de disposiciones legales y de</w:t>
      </w:r>
      <w:bookmarkStart w:id="25" w:name="2xcytpi" w:colFirst="0" w:colLast="0"/>
      <w:bookmarkStart w:id="26" w:name="4i7ojhp" w:colFirst="0" w:colLast="0"/>
      <w:bookmarkEnd w:id="25"/>
      <w:bookmarkEnd w:id="26"/>
      <w:r>
        <w:rPr>
          <w:sz w:val="22"/>
          <w:szCs w:val="22"/>
        </w:rPr>
        <w:t>l presente RC</w:t>
      </w:r>
      <w:bookmarkEnd w:id="24"/>
    </w:p>
    <w:p w14:paraId="3A15E699" w14:textId="77777777" w:rsidR="00726C0B" w:rsidRDefault="00726C0B">
      <w:pPr>
        <w:jc w:val="both"/>
        <w:rPr>
          <w:rFonts w:ascii="Arial" w:eastAsia="Arial" w:hAnsi="Arial" w:cs="Arial"/>
          <w:sz w:val="22"/>
          <w:szCs w:val="22"/>
        </w:rPr>
      </w:pPr>
    </w:p>
    <w:p w14:paraId="232CF57C" w14:textId="23B58722" w:rsidR="00726C0B" w:rsidRPr="00401C09" w:rsidRDefault="00BB4E15" w:rsidP="009C27D2">
      <w:pPr>
        <w:numPr>
          <w:ilvl w:val="1"/>
          <w:numId w:val="11"/>
        </w:numPr>
        <w:pBdr>
          <w:top w:val="nil"/>
          <w:left w:val="nil"/>
          <w:bottom w:val="nil"/>
          <w:right w:val="nil"/>
          <w:between w:val="nil"/>
        </w:pBdr>
        <w:jc w:val="both"/>
        <w:rPr>
          <w:sz w:val="22"/>
          <w:szCs w:val="22"/>
        </w:rPr>
      </w:pPr>
      <w:r w:rsidRPr="00401C09">
        <w:rPr>
          <w:rFonts w:ascii="Arial" w:eastAsia="Arial" w:hAnsi="Arial" w:cs="Arial"/>
          <w:color w:val="000000"/>
          <w:sz w:val="22"/>
          <w:szCs w:val="22"/>
        </w:rPr>
        <w:t>El OE puede sugerir la modificación del presente RC a fin de adaptarlo a las nuevas circunstancias o condiciones que puedan estar presentes en el curso de su aplicación. Cualquier cambio material en el RC que se aplique al programa deberá contar con el consentimiento por escrito del BID. Si alguna disposición de este RC no mantiene consonancia o está en contradicción con las provisiones del contrato de préstamo con el BID, las provisiones del contrato de préstamo del BID prevalecerán.</w:t>
      </w:r>
      <w:r>
        <w:br w:type="page"/>
      </w:r>
    </w:p>
    <w:p w14:paraId="0ED26B78" w14:textId="77777777" w:rsidR="00726C0B" w:rsidRDefault="00726C0B">
      <w:pPr>
        <w:pStyle w:val="Heading1"/>
        <w:rPr>
          <w:sz w:val="22"/>
          <w:szCs w:val="22"/>
        </w:rPr>
      </w:pPr>
    </w:p>
    <w:p w14:paraId="397190C5" w14:textId="77777777" w:rsidR="00726C0B" w:rsidRDefault="00726C0B">
      <w:pPr>
        <w:pStyle w:val="Heading1"/>
        <w:rPr>
          <w:sz w:val="22"/>
          <w:szCs w:val="22"/>
        </w:rPr>
      </w:pPr>
    </w:p>
    <w:p w14:paraId="54CB958E" w14:textId="77777777" w:rsidR="00726C0B" w:rsidRDefault="00726C0B">
      <w:pPr>
        <w:pStyle w:val="Heading1"/>
        <w:rPr>
          <w:sz w:val="22"/>
          <w:szCs w:val="22"/>
        </w:rPr>
      </w:pPr>
    </w:p>
    <w:p w14:paraId="21354713" w14:textId="77777777" w:rsidR="00726C0B" w:rsidRDefault="00726C0B">
      <w:pPr>
        <w:rPr>
          <w:rFonts w:ascii="Arial" w:eastAsia="Arial" w:hAnsi="Arial" w:cs="Arial"/>
          <w:sz w:val="22"/>
          <w:szCs w:val="22"/>
        </w:rPr>
      </w:pPr>
    </w:p>
    <w:p w14:paraId="13F45941" w14:textId="77777777" w:rsidR="00726C0B" w:rsidRDefault="00726C0B">
      <w:pPr>
        <w:rPr>
          <w:rFonts w:ascii="Arial" w:eastAsia="Arial" w:hAnsi="Arial" w:cs="Arial"/>
          <w:sz w:val="22"/>
          <w:szCs w:val="22"/>
        </w:rPr>
      </w:pPr>
    </w:p>
    <w:p w14:paraId="2010D2AE" w14:textId="77777777" w:rsidR="00726C0B" w:rsidRDefault="00726C0B">
      <w:pPr>
        <w:rPr>
          <w:rFonts w:ascii="Arial" w:eastAsia="Arial" w:hAnsi="Arial" w:cs="Arial"/>
          <w:sz w:val="22"/>
          <w:szCs w:val="22"/>
        </w:rPr>
      </w:pPr>
    </w:p>
    <w:p w14:paraId="406F1C4D" w14:textId="77777777" w:rsidR="00726C0B" w:rsidRDefault="00726C0B">
      <w:pPr>
        <w:rPr>
          <w:rFonts w:ascii="Arial" w:eastAsia="Arial" w:hAnsi="Arial" w:cs="Arial"/>
          <w:sz w:val="22"/>
          <w:szCs w:val="22"/>
        </w:rPr>
      </w:pPr>
    </w:p>
    <w:p w14:paraId="019D8D91" w14:textId="77777777" w:rsidR="00726C0B" w:rsidRDefault="00726C0B">
      <w:pPr>
        <w:rPr>
          <w:rFonts w:ascii="Arial" w:eastAsia="Arial" w:hAnsi="Arial" w:cs="Arial"/>
          <w:sz w:val="22"/>
          <w:szCs w:val="22"/>
        </w:rPr>
      </w:pPr>
    </w:p>
    <w:p w14:paraId="144CB41E" w14:textId="77777777" w:rsidR="00726C0B" w:rsidRDefault="00726C0B">
      <w:pPr>
        <w:rPr>
          <w:rFonts w:ascii="Arial" w:eastAsia="Arial" w:hAnsi="Arial" w:cs="Arial"/>
          <w:sz w:val="22"/>
          <w:szCs w:val="22"/>
        </w:rPr>
      </w:pPr>
    </w:p>
    <w:p w14:paraId="5DA69E77" w14:textId="77777777" w:rsidR="00726C0B" w:rsidRDefault="00726C0B">
      <w:pPr>
        <w:rPr>
          <w:rFonts w:ascii="Arial" w:eastAsia="Arial" w:hAnsi="Arial" w:cs="Arial"/>
          <w:sz w:val="22"/>
          <w:szCs w:val="22"/>
        </w:rPr>
      </w:pPr>
    </w:p>
    <w:p w14:paraId="5C1A3014" w14:textId="77777777" w:rsidR="00726C0B" w:rsidRDefault="00726C0B">
      <w:pPr>
        <w:rPr>
          <w:rFonts w:ascii="Arial" w:eastAsia="Arial" w:hAnsi="Arial" w:cs="Arial"/>
          <w:sz w:val="22"/>
          <w:szCs w:val="22"/>
        </w:rPr>
      </w:pPr>
    </w:p>
    <w:p w14:paraId="73B3668C" w14:textId="77777777" w:rsidR="00726C0B" w:rsidRDefault="00726C0B">
      <w:pPr>
        <w:rPr>
          <w:rFonts w:ascii="Arial" w:eastAsia="Arial" w:hAnsi="Arial" w:cs="Arial"/>
          <w:sz w:val="22"/>
          <w:szCs w:val="22"/>
        </w:rPr>
      </w:pPr>
    </w:p>
    <w:p w14:paraId="44720FA8" w14:textId="77777777" w:rsidR="00726C0B" w:rsidRDefault="00726C0B">
      <w:pPr>
        <w:rPr>
          <w:rFonts w:ascii="Arial" w:eastAsia="Arial" w:hAnsi="Arial" w:cs="Arial"/>
          <w:sz w:val="22"/>
          <w:szCs w:val="22"/>
        </w:rPr>
      </w:pPr>
    </w:p>
    <w:p w14:paraId="66CF712D" w14:textId="6A31555B" w:rsidR="00726C0B" w:rsidRPr="00E52BD2" w:rsidRDefault="00E41218" w:rsidP="00E41218">
      <w:pPr>
        <w:pStyle w:val="Heading1"/>
        <w:ind w:left="360"/>
        <w:jc w:val="center"/>
        <w:rPr>
          <w:sz w:val="22"/>
          <w:szCs w:val="22"/>
          <w:lang w:val="es-NI"/>
        </w:rPr>
        <w:sectPr w:rsidR="00726C0B" w:rsidRPr="00E52BD2">
          <w:headerReference w:type="default" r:id="rId19"/>
          <w:headerReference w:type="first" r:id="rId20"/>
          <w:footerReference w:type="first" r:id="rId21"/>
          <w:pgSz w:w="12240" w:h="15840"/>
          <w:pgMar w:top="1440" w:right="1800" w:bottom="1134" w:left="1800" w:header="720" w:footer="720" w:gutter="0"/>
          <w:cols w:space="720" w:equalWidth="0">
            <w:col w:w="8838"/>
          </w:cols>
          <w:titlePg/>
        </w:sectPr>
      </w:pPr>
      <w:bookmarkStart w:id="27" w:name="_Toc42709768"/>
      <w:r w:rsidRPr="00E52BD2">
        <w:rPr>
          <w:sz w:val="22"/>
          <w:szCs w:val="22"/>
          <w:lang w:val="es-NI"/>
        </w:rPr>
        <w:t>ANEXOS</w:t>
      </w:r>
      <w:bookmarkEnd w:id="27"/>
    </w:p>
    <w:p w14:paraId="3F35C0B0" w14:textId="3DA48292" w:rsidR="00726C0B" w:rsidRPr="00E41218" w:rsidRDefault="00BB4E15" w:rsidP="00C0310E">
      <w:pPr>
        <w:pStyle w:val="Heading2"/>
        <w:ind w:left="0"/>
        <w:jc w:val="center"/>
        <w:rPr>
          <w:i w:val="0"/>
          <w:sz w:val="22"/>
          <w:szCs w:val="22"/>
          <w:lang w:val="es-419"/>
        </w:rPr>
      </w:pPr>
      <w:bookmarkStart w:id="28" w:name="_Toc42709769"/>
      <w:r w:rsidRPr="00E41218">
        <w:rPr>
          <w:i w:val="0"/>
          <w:sz w:val="22"/>
          <w:szCs w:val="22"/>
          <w:lang w:val="es-419"/>
        </w:rPr>
        <w:lastRenderedPageBreak/>
        <w:t xml:space="preserve">Anexo </w:t>
      </w:r>
      <w:r w:rsidR="008C7B45">
        <w:rPr>
          <w:i w:val="0"/>
          <w:sz w:val="22"/>
          <w:szCs w:val="22"/>
          <w:lang w:val="es-419"/>
        </w:rPr>
        <w:t>1</w:t>
      </w:r>
      <w:r w:rsidRPr="00E41218">
        <w:rPr>
          <w:i w:val="0"/>
          <w:sz w:val="22"/>
          <w:szCs w:val="22"/>
          <w:lang w:val="es-419"/>
        </w:rPr>
        <w:t>: Lista de exclusión</w:t>
      </w:r>
      <w:bookmarkEnd w:id="28"/>
    </w:p>
    <w:p w14:paraId="0C2DE4A6" w14:textId="77777777" w:rsidR="00726C0B" w:rsidRPr="00E41218" w:rsidRDefault="00726C0B">
      <w:pPr>
        <w:widowControl w:val="0"/>
        <w:ind w:right="-720"/>
        <w:rPr>
          <w:rFonts w:ascii="Arial" w:eastAsia="Arial" w:hAnsi="Arial" w:cs="Arial"/>
          <w:sz w:val="22"/>
          <w:szCs w:val="22"/>
          <w:lang w:val="es-419"/>
        </w:rPr>
      </w:pPr>
    </w:p>
    <w:p w14:paraId="57A97D6F" w14:textId="77777777" w:rsidR="00726C0B" w:rsidRPr="00E41218" w:rsidRDefault="00726C0B">
      <w:pPr>
        <w:widowControl w:val="0"/>
        <w:ind w:right="-720"/>
        <w:rPr>
          <w:rFonts w:ascii="Arial" w:eastAsia="Arial" w:hAnsi="Arial" w:cs="Arial"/>
          <w:sz w:val="22"/>
          <w:szCs w:val="22"/>
          <w:lang w:val="es-419"/>
        </w:rPr>
      </w:pPr>
    </w:p>
    <w:p w14:paraId="1C3DEFF5" w14:textId="77777777" w:rsidR="00726C0B" w:rsidRDefault="00BB4E15" w:rsidP="000C1446">
      <w:pPr>
        <w:widowControl w:val="0"/>
        <w:ind w:right="-720"/>
        <w:jc w:val="both"/>
        <w:rPr>
          <w:rFonts w:ascii="Arial" w:eastAsia="Arial" w:hAnsi="Arial" w:cs="Arial"/>
          <w:sz w:val="22"/>
          <w:szCs w:val="22"/>
        </w:rPr>
      </w:pPr>
      <w:r>
        <w:rPr>
          <w:rFonts w:ascii="Arial" w:eastAsia="Arial" w:hAnsi="Arial" w:cs="Arial"/>
          <w:sz w:val="22"/>
          <w:szCs w:val="22"/>
        </w:rPr>
        <w:t>Los Prestatarios no podrán adquirir créditos que: (i) incluyan financiamiento para la producción directa, el comercio o el uso final (incluido en proyectos) de productos, sustancias o actividades enumeradas a continuación; o (</w:t>
      </w:r>
      <w:proofErr w:type="spellStart"/>
      <w:r>
        <w:rPr>
          <w:rFonts w:ascii="Arial" w:eastAsia="Arial" w:hAnsi="Arial" w:cs="Arial"/>
          <w:sz w:val="22"/>
          <w:szCs w:val="22"/>
        </w:rPr>
        <w:t>ii</w:t>
      </w:r>
      <w:proofErr w:type="spellEnd"/>
      <w:r>
        <w:rPr>
          <w:rFonts w:ascii="Arial" w:eastAsia="Arial" w:hAnsi="Arial" w:cs="Arial"/>
          <w:sz w:val="22"/>
          <w:szCs w:val="22"/>
        </w:rPr>
        <w:t>) cuyos sujetos sean personas naturales o jurídicas cuyas actividades que tengan que ver con los productos, las sustancias o las actividades enumeradas a continuación:</w:t>
      </w:r>
    </w:p>
    <w:p w14:paraId="0F2B3B4F" w14:textId="77777777" w:rsidR="00726C0B" w:rsidRDefault="00726C0B">
      <w:pPr>
        <w:widowControl w:val="0"/>
        <w:ind w:right="-720"/>
        <w:rPr>
          <w:rFonts w:ascii="Arial" w:eastAsia="Arial" w:hAnsi="Arial" w:cs="Arial"/>
          <w:sz w:val="22"/>
          <w:szCs w:val="22"/>
        </w:rPr>
      </w:pPr>
    </w:p>
    <w:p w14:paraId="088F0D1C" w14:textId="77777777" w:rsidR="00726C0B" w:rsidRDefault="00BB4E15">
      <w:pPr>
        <w:widowControl w:val="0"/>
        <w:numPr>
          <w:ilvl w:val="0"/>
          <w:numId w:val="3"/>
        </w:numPr>
        <w:pBdr>
          <w:top w:val="nil"/>
          <w:left w:val="nil"/>
          <w:bottom w:val="nil"/>
          <w:right w:val="nil"/>
          <w:between w:val="nil"/>
        </w:pBdr>
        <w:ind w:right="-720"/>
        <w:rPr>
          <w:color w:val="000000"/>
          <w:sz w:val="22"/>
          <w:szCs w:val="22"/>
        </w:rPr>
      </w:pPr>
      <w:r>
        <w:rPr>
          <w:rFonts w:ascii="Arial" w:eastAsia="Arial" w:hAnsi="Arial" w:cs="Arial"/>
          <w:color w:val="000000"/>
          <w:sz w:val="22"/>
          <w:szCs w:val="22"/>
        </w:rPr>
        <w:t>Aquellos que son ilegales según las leyes o reglamentos del país o de convenios y acuerdos internacionales firmados y ratificados o adoptados por el país, lo cual incluye, sin limitarse a ello, los requisitos del país relacionados con los aspectos ambientales, de salud y seguridad y laborales.</w:t>
      </w:r>
    </w:p>
    <w:p w14:paraId="72F6A29E" w14:textId="1AD4E900" w:rsidR="00726C0B" w:rsidRDefault="00BB4E15">
      <w:pPr>
        <w:widowControl w:val="0"/>
        <w:numPr>
          <w:ilvl w:val="0"/>
          <w:numId w:val="3"/>
        </w:numPr>
        <w:pBdr>
          <w:top w:val="nil"/>
          <w:left w:val="nil"/>
          <w:bottom w:val="nil"/>
          <w:right w:val="nil"/>
          <w:between w:val="nil"/>
        </w:pBdr>
        <w:ind w:right="-720"/>
        <w:rPr>
          <w:color w:val="000000"/>
          <w:sz w:val="22"/>
          <w:szCs w:val="22"/>
        </w:rPr>
      </w:pPr>
      <w:r>
        <w:rPr>
          <w:rFonts w:ascii="Arial" w:eastAsia="Arial" w:hAnsi="Arial" w:cs="Arial"/>
          <w:color w:val="000000"/>
          <w:sz w:val="22"/>
          <w:szCs w:val="22"/>
        </w:rPr>
        <w:t>Utilización de formas peligrosas o de explotación de trabajo forzado o trabajo infantil</w:t>
      </w:r>
      <w:r>
        <w:rPr>
          <w:rFonts w:ascii="Arial" w:eastAsia="Arial" w:hAnsi="Arial" w:cs="Arial"/>
          <w:color w:val="000000"/>
          <w:sz w:val="22"/>
          <w:szCs w:val="22"/>
          <w:vertAlign w:val="superscript"/>
        </w:rPr>
        <w:footnoteReference w:id="5"/>
      </w:r>
      <w:r w:rsidR="00796A99">
        <w:rPr>
          <w:rFonts w:ascii="Arial" w:eastAsia="Arial" w:hAnsi="Arial" w:cs="Arial"/>
          <w:color w:val="000000"/>
          <w:sz w:val="22"/>
          <w:szCs w:val="22"/>
        </w:rPr>
        <w:t>.</w:t>
      </w:r>
    </w:p>
    <w:p w14:paraId="7AC9711E" w14:textId="77777777" w:rsidR="00726C0B" w:rsidRDefault="00BB4E15">
      <w:pPr>
        <w:widowControl w:val="0"/>
        <w:numPr>
          <w:ilvl w:val="0"/>
          <w:numId w:val="3"/>
        </w:numPr>
        <w:pBdr>
          <w:top w:val="nil"/>
          <w:left w:val="nil"/>
          <w:bottom w:val="nil"/>
          <w:right w:val="nil"/>
          <w:between w:val="nil"/>
        </w:pBdr>
        <w:ind w:right="-720"/>
        <w:rPr>
          <w:color w:val="000000"/>
          <w:sz w:val="22"/>
          <w:szCs w:val="22"/>
        </w:rPr>
      </w:pPr>
      <w:r>
        <w:rPr>
          <w:rFonts w:ascii="Arial" w:eastAsia="Arial" w:hAnsi="Arial" w:cs="Arial"/>
          <w:color w:val="000000"/>
          <w:sz w:val="22"/>
          <w:szCs w:val="22"/>
        </w:rPr>
        <w:t>Armas y municiones.</w:t>
      </w:r>
    </w:p>
    <w:p w14:paraId="1D05977E" w14:textId="77777777" w:rsidR="00726C0B" w:rsidRDefault="00BB4E15">
      <w:pPr>
        <w:widowControl w:val="0"/>
        <w:numPr>
          <w:ilvl w:val="0"/>
          <w:numId w:val="3"/>
        </w:numPr>
        <w:pBdr>
          <w:top w:val="nil"/>
          <w:left w:val="nil"/>
          <w:bottom w:val="nil"/>
          <w:right w:val="nil"/>
          <w:between w:val="nil"/>
        </w:pBdr>
        <w:ind w:right="-720"/>
        <w:rPr>
          <w:color w:val="000000"/>
          <w:sz w:val="22"/>
          <w:szCs w:val="22"/>
        </w:rPr>
      </w:pPr>
      <w:r>
        <w:rPr>
          <w:rFonts w:ascii="Arial" w:eastAsia="Arial" w:hAnsi="Arial" w:cs="Arial"/>
          <w:color w:val="000000"/>
          <w:sz w:val="22"/>
          <w:szCs w:val="22"/>
        </w:rPr>
        <w:t>Tabaco</w:t>
      </w:r>
      <w:r>
        <w:rPr>
          <w:rFonts w:ascii="Arial" w:eastAsia="Arial" w:hAnsi="Arial" w:cs="Arial"/>
          <w:color w:val="000000"/>
          <w:sz w:val="22"/>
          <w:szCs w:val="22"/>
          <w:vertAlign w:val="superscript"/>
        </w:rPr>
        <w:t>12</w:t>
      </w:r>
      <w:r>
        <w:rPr>
          <w:rFonts w:ascii="Arial" w:eastAsia="Arial" w:hAnsi="Arial" w:cs="Arial"/>
          <w:color w:val="000000"/>
          <w:sz w:val="22"/>
          <w:szCs w:val="22"/>
        </w:rPr>
        <w:t>.</w:t>
      </w:r>
    </w:p>
    <w:p w14:paraId="7A917F88" w14:textId="77777777" w:rsidR="00726C0B" w:rsidRDefault="00BB4E15">
      <w:pPr>
        <w:widowControl w:val="0"/>
        <w:numPr>
          <w:ilvl w:val="0"/>
          <w:numId w:val="3"/>
        </w:numPr>
        <w:pBdr>
          <w:top w:val="nil"/>
          <w:left w:val="nil"/>
          <w:bottom w:val="nil"/>
          <w:right w:val="nil"/>
          <w:between w:val="nil"/>
        </w:pBdr>
        <w:ind w:right="-720"/>
        <w:rPr>
          <w:color w:val="000000"/>
          <w:sz w:val="22"/>
          <w:szCs w:val="22"/>
        </w:rPr>
      </w:pPr>
      <w:r>
        <w:rPr>
          <w:rFonts w:ascii="Arial" w:eastAsia="Arial" w:hAnsi="Arial" w:cs="Arial"/>
          <w:color w:val="000000"/>
          <w:sz w:val="22"/>
          <w:szCs w:val="22"/>
        </w:rPr>
        <w:t>Apuestas, casinos y empresas equivalentes</w:t>
      </w:r>
      <w:r>
        <w:rPr>
          <w:rFonts w:ascii="Arial" w:eastAsia="Arial" w:hAnsi="Arial" w:cs="Arial"/>
          <w:color w:val="000000"/>
          <w:sz w:val="22"/>
          <w:szCs w:val="22"/>
          <w:vertAlign w:val="superscript"/>
        </w:rPr>
        <w:t>12</w:t>
      </w:r>
      <w:r>
        <w:rPr>
          <w:rFonts w:ascii="Arial" w:eastAsia="Arial" w:hAnsi="Arial" w:cs="Arial"/>
          <w:color w:val="000000"/>
          <w:sz w:val="22"/>
          <w:szCs w:val="22"/>
        </w:rPr>
        <w:t>.</w:t>
      </w:r>
    </w:p>
    <w:p w14:paraId="3AD67E8A" w14:textId="77777777" w:rsidR="00726C0B" w:rsidRDefault="00BB4E15">
      <w:pPr>
        <w:widowControl w:val="0"/>
        <w:numPr>
          <w:ilvl w:val="0"/>
          <w:numId w:val="3"/>
        </w:numPr>
        <w:pBdr>
          <w:top w:val="nil"/>
          <w:left w:val="nil"/>
          <w:bottom w:val="nil"/>
          <w:right w:val="nil"/>
          <w:between w:val="nil"/>
        </w:pBdr>
        <w:ind w:right="-720"/>
        <w:rPr>
          <w:color w:val="000000"/>
          <w:sz w:val="22"/>
          <w:szCs w:val="22"/>
        </w:rPr>
      </w:pPr>
      <w:r>
        <w:rPr>
          <w:rFonts w:ascii="Arial" w:eastAsia="Arial" w:hAnsi="Arial" w:cs="Arial"/>
          <w:color w:val="000000"/>
          <w:sz w:val="22"/>
          <w:szCs w:val="22"/>
        </w:rPr>
        <w:t>Animales o plantas silvestres o productos de animales o plantas silvestres protegidos por la CITES</w:t>
      </w:r>
      <w:r>
        <w:rPr>
          <w:rFonts w:ascii="Arial" w:eastAsia="Arial" w:hAnsi="Arial" w:cs="Arial"/>
          <w:color w:val="000000"/>
          <w:sz w:val="22"/>
          <w:szCs w:val="22"/>
          <w:vertAlign w:val="superscript"/>
        </w:rPr>
        <w:footnoteReference w:id="6"/>
      </w:r>
      <w:r>
        <w:rPr>
          <w:rFonts w:ascii="Arial" w:eastAsia="Arial" w:hAnsi="Arial" w:cs="Arial"/>
          <w:color w:val="000000"/>
          <w:sz w:val="22"/>
          <w:szCs w:val="22"/>
        </w:rPr>
        <w:t>.</w:t>
      </w:r>
    </w:p>
    <w:p w14:paraId="51C150F8" w14:textId="77777777" w:rsidR="00726C0B" w:rsidRDefault="00BB4E15">
      <w:pPr>
        <w:widowControl w:val="0"/>
        <w:numPr>
          <w:ilvl w:val="0"/>
          <w:numId w:val="3"/>
        </w:numPr>
        <w:pBdr>
          <w:top w:val="nil"/>
          <w:left w:val="nil"/>
          <w:bottom w:val="nil"/>
          <w:right w:val="nil"/>
          <w:between w:val="nil"/>
        </w:pBdr>
        <w:ind w:right="-720"/>
        <w:rPr>
          <w:color w:val="000000"/>
          <w:sz w:val="22"/>
          <w:szCs w:val="22"/>
        </w:rPr>
      </w:pPr>
      <w:r>
        <w:rPr>
          <w:rFonts w:ascii="Arial" w:eastAsia="Arial" w:hAnsi="Arial" w:cs="Arial"/>
          <w:color w:val="000000"/>
          <w:sz w:val="22"/>
          <w:szCs w:val="22"/>
        </w:rPr>
        <w:t>Materiales radioactivos.</w:t>
      </w:r>
    </w:p>
    <w:p w14:paraId="004C15F6" w14:textId="77777777" w:rsidR="00726C0B" w:rsidRDefault="00BB4E15">
      <w:pPr>
        <w:widowControl w:val="0"/>
        <w:numPr>
          <w:ilvl w:val="0"/>
          <w:numId w:val="3"/>
        </w:numPr>
        <w:pBdr>
          <w:top w:val="nil"/>
          <w:left w:val="nil"/>
          <w:bottom w:val="nil"/>
          <w:right w:val="nil"/>
          <w:between w:val="nil"/>
        </w:pBdr>
        <w:ind w:right="-720"/>
        <w:rPr>
          <w:color w:val="000000"/>
          <w:sz w:val="22"/>
          <w:szCs w:val="22"/>
        </w:rPr>
      </w:pPr>
      <w:r>
        <w:rPr>
          <w:rFonts w:ascii="Arial" w:eastAsia="Arial" w:hAnsi="Arial" w:cs="Arial"/>
          <w:color w:val="000000"/>
          <w:sz w:val="22"/>
          <w:szCs w:val="22"/>
        </w:rPr>
        <w:t xml:space="preserve">Fibras de amianto (asbesto) sin </w:t>
      </w:r>
      <w:proofErr w:type="spellStart"/>
      <w:r>
        <w:rPr>
          <w:rFonts w:ascii="Arial" w:eastAsia="Arial" w:hAnsi="Arial" w:cs="Arial"/>
          <w:color w:val="000000"/>
          <w:sz w:val="22"/>
          <w:szCs w:val="22"/>
        </w:rPr>
        <w:t>aglutinatura</w:t>
      </w:r>
      <w:proofErr w:type="spellEnd"/>
      <w:r>
        <w:rPr>
          <w:rFonts w:ascii="Arial" w:eastAsia="Arial" w:hAnsi="Arial" w:cs="Arial"/>
          <w:color w:val="000000"/>
          <w:sz w:val="22"/>
          <w:szCs w:val="22"/>
        </w:rPr>
        <w:t>. Esto no aplica a la compra y uso de láminas de cemento con amianto (asbesto) en donde el contenido de amianto (asbesto) sea menor del 20%.</w:t>
      </w:r>
    </w:p>
    <w:p w14:paraId="01F32602" w14:textId="77777777" w:rsidR="00726C0B" w:rsidRDefault="00BB4E15">
      <w:pPr>
        <w:widowControl w:val="0"/>
        <w:numPr>
          <w:ilvl w:val="0"/>
          <w:numId w:val="3"/>
        </w:numPr>
        <w:pBdr>
          <w:top w:val="nil"/>
          <w:left w:val="nil"/>
          <w:bottom w:val="nil"/>
          <w:right w:val="nil"/>
          <w:between w:val="nil"/>
        </w:pBdr>
        <w:ind w:right="-720"/>
        <w:rPr>
          <w:color w:val="000000"/>
          <w:sz w:val="22"/>
          <w:szCs w:val="22"/>
        </w:rPr>
      </w:pPr>
      <w:r>
        <w:rPr>
          <w:rFonts w:ascii="Arial" w:eastAsia="Arial" w:hAnsi="Arial" w:cs="Arial"/>
          <w:color w:val="000000"/>
          <w:sz w:val="22"/>
          <w:szCs w:val="22"/>
        </w:rPr>
        <w:t>Operaciones madereras comerciales o la compra de equipos de explotación forestal para uso en bosques tropicales húmedos y bosques primarios</w:t>
      </w:r>
      <w:r>
        <w:rPr>
          <w:rFonts w:ascii="Arial" w:eastAsia="Arial" w:hAnsi="Arial" w:cs="Arial"/>
          <w:color w:val="000000"/>
          <w:sz w:val="22"/>
          <w:szCs w:val="22"/>
          <w:vertAlign w:val="superscript"/>
        </w:rPr>
        <w:footnoteReference w:id="7"/>
      </w:r>
      <w:r>
        <w:rPr>
          <w:rFonts w:ascii="Arial" w:eastAsia="Arial" w:hAnsi="Arial" w:cs="Arial"/>
          <w:color w:val="000000"/>
          <w:sz w:val="22"/>
          <w:szCs w:val="22"/>
        </w:rPr>
        <w:t xml:space="preserve">. </w:t>
      </w:r>
    </w:p>
    <w:p w14:paraId="6805D193" w14:textId="77777777" w:rsidR="00726C0B" w:rsidRDefault="00BB4E15">
      <w:pPr>
        <w:widowControl w:val="0"/>
        <w:numPr>
          <w:ilvl w:val="0"/>
          <w:numId w:val="3"/>
        </w:numPr>
        <w:pBdr>
          <w:top w:val="nil"/>
          <w:left w:val="nil"/>
          <w:bottom w:val="nil"/>
          <w:right w:val="nil"/>
          <w:between w:val="nil"/>
        </w:pBdr>
        <w:ind w:right="-720"/>
        <w:rPr>
          <w:color w:val="000000"/>
          <w:sz w:val="22"/>
          <w:szCs w:val="22"/>
        </w:rPr>
      </w:pPr>
      <w:r>
        <w:rPr>
          <w:rFonts w:ascii="Arial" w:eastAsia="Arial" w:hAnsi="Arial" w:cs="Arial"/>
          <w:color w:val="000000"/>
          <w:sz w:val="22"/>
          <w:szCs w:val="22"/>
        </w:rPr>
        <w:t>Proyectos u operaciones forestales que no cuentan con una gestión sostenible, proyectos forestales en áreas de alto valor ecológico con la excepción de la preservación y el uso moderado y no extractivo de los recursos forestales.</w:t>
      </w:r>
    </w:p>
    <w:p w14:paraId="4245DB1E" w14:textId="77777777" w:rsidR="00726C0B" w:rsidRDefault="00BB4E15">
      <w:pPr>
        <w:widowControl w:val="0"/>
        <w:numPr>
          <w:ilvl w:val="0"/>
          <w:numId w:val="3"/>
        </w:numPr>
        <w:pBdr>
          <w:top w:val="nil"/>
          <w:left w:val="nil"/>
          <w:bottom w:val="nil"/>
          <w:right w:val="nil"/>
          <w:between w:val="nil"/>
        </w:pBdr>
        <w:ind w:right="-720"/>
        <w:rPr>
          <w:color w:val="000000"/>
          <w:sz w:val="22"/>
          <w:szCs w:val="22"/>
        </w:rPr>
      </w:pPr>
      <w:r>
        <w:rPr>
          <w:rFonts w:ascii="Arial" w:eastAsia="Arial" w:hAnsi="Arial" w:cs="Arial"/>
          <w:color w:val="000000"/>
          <w:sz w:val="22"/>
          <w:szCs w:val="22"/>
        </w:rPr>
        <w:t>Proyectos que requerirían la eliminación de bosques naturales existentes no degradados, o actividades dentro de, aledañas a, o aguas arriba de hábitats naturales críticos</w:t>
      </w:r>
      <w:r>
        <w:rPr>
          <w:rFonts w:ascii="Arial" w:eastAsia="Arial" w:hAnsi="Arial" w:cs="Arial"/>
          <w:color w:val="000000"/>
          <w:sz w:val="22"/>
          <w:szCs w:val="22"/>
          <w:vertAlign w:val="superscript"/>
        </w:rPr>
        <w:footnoteReference w:id="8"/>
      </w:r>
      <w:r>
        <w:rPr>
          <w:rFonts w:ascii="Arial" w:eastAsia="Arial" w:hAnsi="Arial" w:cs="Arial"/>
          <w:color w:val="000000"/>
          <w:sz w:val="22"/>
          <w:szCs w:val="22"/>
        </w:rPr>
        <w:t xml:space="preserve">. </w:t>
      </w:r>
    </w:p>
    <w:p w14:paraId="0CF3E8F1" w14:textId="77777777" w:rsidR="00726C0B" w:rsidRDefault="00BB4E15">
      <w:pPr>
        <w:widowControl w:val="0"/>
        <w:numPr>
          <w:ilvl w:val="0"/>
          <w:numId w:val="3"/>
        </w:numPr>
        <w:pBdr>
          <w:top w:val="nil"/>
          <w:left w:val="nil"/>
          <w:bottom w:val="nil"/>
          <w:right w:val="nil"/>
          <w:between w:val="nil"/>
        </w:pBdr>
        <w:ind w:right="-720"/>
        <w:rPr>
          <w:color w:val="000000"/>
          <w:sz w:val="22"/>
          <w:szCs w:val="22"/>
        </w:rPr>
      </w:pPr>
      <w:r>
        <w:rPr>
          <w:rFonts w:ascii="Arial" w:eastAsia="Arial" w:hAnsi="Arial" w:cs="Arial"/>
          <w:color w:val="000000"/>
          <w:sz w:val="22"/>
          <w:szCs w:val="22"/>
        </w:rPr>
        <w:lastRenderedPageBreak/>
        <w:t>Introducción de especies invasivas</w:t>
      </w:r>
      <w:r>
        <w:rPr>
          <w:rFonts w:ascii="Arial" w:eastAsia="Arial" w:hAnsi="Arial" w:cs="Arial"/>
          <w:color w:val="000000"/>
          <w:sz w:val="22"/>
          <w:szCs w:val="22"/>
          <w:vertAlign w:val="superscript"/>
        </w:rPr>
        <w:footnoteReference w:id="9"/>
      </w:r>
      <w:r>
        <w:rPr>
          <w:rFonts w:ascii="Arial" w:eastAsia="Arial" w:hAnsi="Arial" w:cs="Arial"/>
          <w:color w:val="000000"/>
          <w:sz w:val="22"/>
          <w:szCs w:val="22"/>
        </w:rPr>
        <w:t>.</w:t>
      </w:r>
    </w:p>
    <w:p w14:paraId="043C0D44" w14:textId="77777777" w:rsidR="00726C0B" w:rsidRDefault="00BB4E15">
      <w:pPr>
        <w:widowControl w:val="0"/>
        <w:numPr>
          <w:ilvl w:val="0"/>
          <w:numId w:val="3"/>
        </w:numPr>
        <w:pBdr>
          <w:top w:val="nil"/>
          <w:left w:val="nil"/>
          <w:bottom w:val="nil"/>
          <w:right w:val="nil"/>
          <w:between w:val="nil"/>
        </w:pBdr>
        <w:ind w:right="-720"/>
        <w:rPr>
          <w:color w:val="000000"/>
          <w:sz w:val="22"/>
          <w:szCs w:val="22"/>
        </w:rPr>
      </w:pPr>
      <w:r>
        <w:rPr>
          <w:rFonts w:ascii="Arial" w:eastAsia="Arial" w:hAnsi="Arial" w:cs="Arial"/>
          <w:color w:val="000000"/>
          <w:sz w:val="22"/>
          <w:szCs w:val="22"/>
        </w:rPr>
        <w:t xml:space="preserve">Compuestos que contengan </w:t>
      </w:r>
      <w:proofErr w:type="spellStart"/>
      <w:r>
        <w:rPr>
          <w:rFonts w:ascii="Arial" w:eastAsia="Arial" w:hAnsi="Arial" w:cs="Arial"/>
          <w:color w:val="000000"/>
          <w:sz w:val="22"/>
          <w:szCs w:val="22"/>
        </w:rPr>
        <w:t>policlorinato</w:t>
      </w:r>
      <w:proofErr w:type="spellEnd"/>
      <w:r>
        <w:rPr>
          <w:rFonts w:ascii="Arial" w:eastAsia="Arial" w:hAnsi="Arial" w:cs="Arial"/>
          <w:color w:val="000000"/>
          <w:sz w:val="22"/>
          <w:szCs w:val="22"/>
        </w:rPr>
        <w:t xml:space="preserve"> de bifenilo (PCB)</w:t>
      </w:r>
      <w:r>
        <w:rPr>
          <w:rFonts w:ascii="Arial" w:eastAsia="Arial" w:hAnsi="Arial" w:cs="Arial"/>
          <w:color w:val="000000"/>
          <w:sz w:val="22"/>
          <w:szCs w:val="22"/>
          <w:vertAlign w:val="superscript"/>
        </w:rPr>
        <w:footnoteReference w:id="10"/>
      </w:r>
      <w:r>
        <w:rPr>
          <w:rFonts w:ascii="Arial" w:eastAsia="Arial" w:hAnsi="Arial" w:cs="Arial"/>
          <w:color w:val="000000"/>
          <w:sz w:val="22"/>
          <w:szCs w:val="22"/>
        </w:rPr>
        <w:t>.</w:t>
      </w:r>
    </w:p>
    <w:p w14:paraId="0ED5A786" w14:textId="77777777" w:rsidR="00726C0B" w:rsidRDefault="00BB4E15">
      <w:pPr>
        <w:widowControl w:val="0"/>
        <w:numPr>
          <w:ilvl w:val="0"/>
          <w:numId w:val="3"/>
        </w:numPr>
        <w:pBdr>
          <w:top w:val="nil"/>
          <w:left w:val="nil"/>
          <w:bottom w:val="nil"/>
          <w:right w:val="nil"/>
          <w:between w:val="nil"/>
        </w:pBdr>
        <w:ind w:right="-720"/>
        <w:rPr>
          <w:color w:val="000000"/>
          <w:sz w:val="22"/>
          <w:szCs w:val="22"/>
        </w:rPr>
      </w:pPr>
      <w:r>
        <w:rPr>
          <w:rFonts w:ascii="Arial" w:eastAsia="Arial" w:hAnsi="Arial" w:cs="Arial"/>
          <w:color w:val="000000"/>
          <w:sz w:val="22"/>
          <w:szCs w:val="22"/>
        </w:rPr>
        <w:t>Fármacos sujetos a eliminación gradual o cese obligatorio de producción o prohibición de venta a nivel internacional</w:t>
      </w:r>
      <w:r>
        <w:rPr>
          <w:rFonts w:ascii="Arial" w:eastAsia="Arial" w:hAnsi="Arial" w:cs="Arial"/>
          <w:color w:val="000000"/>
          <w:sz w:val="22"/>
          <w:szCs w:val="22"/>
          <w:vertAlign w:val="superscript"/>
        </w:rPr>
        <w:footnoteReference w:id="11"/>
      </w:r>
      <w:r>
        <w:rPr>
          <w:rFonts w:ascii="Arial" w:eastAsia="Arial" w:hAnsi="Arial" w:cs="Arial"/>
          <w:color w:val="000000"/>
          <w:sz w:val="22"/>
          <w:szCs w:val="22"/>
        </w:rPr>
        <w:t>.</w:t>
      </w:r>
    </w:p>
    <w:p w14:paraId="35886D89" w14:textId="77777777" w:rsidR="00726C0B" w:rsidRDefault="00BB4E15">
      <w:pPr>
        <w:widowControl w:val="0"/>
        <w:numPr>
          <w:ilvl w:val="0"/>
          <w:numId w:val="3"/>
        </w:numPr>
        <w:pBdr>
          <w:top w:val="nil"/>
          <w:left w:val="nil"/>
          <w:bottom w:val="nil"/>
          <w:right w:val="nil"/>
          <w:between w:val="nil"/>
        </w:pBdr>
        <w:ind w:right="-720"/>
        <w:rPr>
          <w:color w:val="000000"/>
          <w:sz w:val="22"/>
          <w:szCs w:val="22"/>
        </w:rPr>
      </w:pPr>
      <w:r>
        <w:rPr>
          <w:rFonts w:ascii="Arial" w:eastAsia="Arial" w:hAnsi="Arial" w:cs="Arial"/>
          <w:color w:val="000000"/>
          <w:sz w:val="22"/>
          <w:szCs w:val="22"/>
        </w:rPr>
        <w:t>Pesticidas o herbicidas sujetos a eliminación gradual o cese obligatorio de producción o prohibición de venta a nivel internacional</w:t>
      </w:r>
      <w:r>
        <w:rPr>
          <w:rFonts w:ascii="Arial" w:eastAsia="Arial" w:hAnsi="Arial" w:cs="Arial"/>
          <w:color w:val="000000"/>
          <w:sz w:val="22"/>
          <w:szCs w:val="22"/>
          <w:vertAlign w:val="superscript"/>
        </w:rPr>
        <w:footnoteReference w:id="12"/>
      </w:r>
      <w:r>
        <w:rPr>
          <w:rFonts w:ascii="Arial" w:eastAsia="Arial" w:hAnsi="Arial" w:cs="Arial"/>
          <w:color w:val="000000"/>
          <w:sz w:val="22"/>
          <w:szCs w:val="22"/>
        </w:rPr>
        <w:t>.</w:t>
      </w:r>
    </w:p>
    <w:p w14:paraId="4DDF00E7" w14:textId="77777777" w:rsidR="00726C0B" w:rsidRDefault="00BB4E15">
      <w:pPr>
        <w:widowControl w:val="0"/>
        <w:numPr>
          <w:ilvl w:val="0"/>
          <w:numId w:val="3"/>
        </w:numPr>
        <w:pBdr>
          <w:top w:val="nil"/>
          <w:left w:val="nil"/>
          <w:bottom w:val="nil"/>
          <w:right w:val="nil"/>
          <w:between w:val="nil"/>
        </w:pBdr>
        <w:ind w:right="-720"/>
        <w:rPr>
          <w:color w:val="000000"/>
          <w:sz w:val="22"/>
          <w:szCs w:val="22"/>
        </w:rPr>
      </w:pPr>
      <w:r>
        <w:rPr>
          <w:rFonts w:ascii="Arial" w:eastAsia="Arial" w:hAnsi="Arial" w:cs="Arial"/>
          <w:color w:val="000000"/>
          <w:sz w:val="22"/>
          <w:szCs w:val="22"/>
        </w:rPr>
        <w:t xml:space="preserve">Pesticidas tóxicos según la definición de la Organización Mundial de la Salud (OMS), clases </w:t>
      </w:r>
      <w:proofErr w:type="spellStart"/>
      <w:r>
        <w:rPr>
          <w:rFonts w:ascii="Arial" w:eastAsia="Arial" w:hAnsi="Arial" w:cs="Arial"/>
          <w:color w:val="000000"/>
          <w:sz w:val="22"/>
          <w:szCs w:val="22"/>
        </w:rPr>
        <w:t>Ia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Ib</w:t>
      </w:r>
      <w:proofErr w:type="spellEnd"/>
      <w:r>
        <w:rPr>
          <w:rFonts w:ascii="Arial" w:eastAsia="Arial" w:hAnsi="Arial" w:cs="Arial"/>
          <w:color w:val="000000"/>
          <w:sz w:val="22"/>
          <w:szCs w:val="22"/>
        </w:rPr>
        <w:t xml:space="preserve"> y II.</w:t>
      </w:r>
    </w:p>
    <w:p w14:paraId="7F32797A" w14:textId="77777777" w:rsidR="00726C0B" w:rsidRDefault="00BB4E15">
      <w:pPr>
        <w:widowControl w:val="0"/>
        <w:numPr>
          <w:ilvl w:val="0"/>
          <w:numId w:val="3"/>
        </w:numPr>
        <w:pBdr>
          <w:top w:val="nil"/>
          <w:left w:val="nil"/>
          <w:bottom w:val="nil"/>
          <w:right w:val="nil"/>
          <w:between w:val="nil"/>
        </w:pBdr>
        <w:ind w:right="-720"/>
        <w:rPr>
          <w:color w:val="000000"/>
          <w:sz w:val="22"/>
          <w:szCs w:val="22"/>
        </w:rPr>
      </w:pPr>
      <w:r>
        <w:rPr>
          <w:rFonts w:ascii="Arial" w:eastAsia="Arial" w:hAnsi="Arial" w:cs="Arial"/>
          <w:color w:val="000000"/>
          <w:sz w:val="22"/>
          <w:szCs w:val="22"/>
        </w:rPr>
        <w:t>Contaminantes orgánicos persistentes (COP)</w:t>
      </w:r>
      <w:r>
        <w:rPr>
          <w:rFonts w:ascii="Arial" w:eastAsia="Arial" w:hAnsi="Arial" w:cs="Arial"/>
          <w:color w:val="000000"/>
          <w:sz w:val="22"/>
          <w:szCs w:val="22"/>
          <w:vertAlign w:val="superscript"/>
        </w:rPr>
        <w:footnoteReference w:id="13"/>
      </w:r>
      <w:r>
        <w:rPr>
          <w:rFonts w:ascii="Arial" w:eastAsia="Arial" w:hAnsi="Arial" w:cs="Arial"/>
          <w:color w:val="000000"/>
          <w:sz w:val="22"/>
          <w:szCs w:val="22"/>
        </w:rPr>
        <w:t xml:space="preserve">. </w:t>
      </w:r>
    </w:p>
    <w:p w14:paraId="4E6B3C2C" w14:textId="77777777" w:rsidR="00726C0B" w:rsidRDefault="00BB4E15">
      <w:pPr>
        <w:widowControl w:val="0"/>
        <w:numPr>
          <w:ilvl w:val="0"/>
          <w:numId w:val="3"/>
        </w:numPr>
        <w:pBdr>
          <w:top w:val="nil"/>
          <w:left w:val="nil"/>
          <w:bottom w:val="nil"/>
          <w:right w:val="nil"/>
          <w:between w:val="nil"/>
        </w:pBdr>
        <w:ind w:right="-720"/>
        <w:rPr>
          <w:color w:val="000000"/>
          <w:sz w:val="22"/>
          <w:szCs w:val="22"/>
        </w:rPr>
      </w:pPr>
      <w:r>
        <w:rPr>
          <w:rFonts w:ascii="Arial" w:eastAsia="Arial" w:hAnsi="Arial" w:cs="Arial"/>
          <w:color w:val="000000"/>
          <w:sz w:val="22"/>
          <w:szCs w:val="22"/>
        </w:rPr>
        <w:t>ODS sujetos a cese obligatorio de producción o prohibición de venta a nivel internacional</w:t>
      </w:r>
      <w:r>
        <w:rPr>
          <w:rFonts w:ascii="Arial" w:eastAsia="Arial" w:hAnsi="Arial" w:cs="Arial"/>
          <w:color w:val="000000"/>
          <w:sz w:val="22"/>
          <w:szCs w:val="22"/>
          <w:vertAlign w:val="superscript"/>
        </w:rPr>
        <w:footnoteReference w:id="14"/>
      </w:r>
      <w:r>
        <w:rPr>
          <w:rFonts w:ascii="Arial" w:eastAsia="Arial" w:hAnsi="Arial" w:cs="Arial"/>
          <w:color w:val="000000"/>
          <w:sz w:val="22"/>
          <w:szCs w:val="22"/>
        </w:rPr>
        <w:t xml:space="preserve">. </w:t>
      </w:r>
    </w:p>
    <w:p w14:paraId="02F051C2" w14:textId="77777777" w:rsidR="00726C0B" w:rsidRDefault="00BB4E15">
      <w:pPr>
        <w:widowControl w:val="0"/>
        <w:numPr>
          <w:ilvl w:val="0"/>
          <w:numId w:val="3"/>
        </w:numPr>
        <w:pBdr>
          <w:top w:val="nil"/>
          <w:left w:val="nil"/>
          <w:bottom w:val="nil"/>
          <w:right w:val="nil"/>
          <w:between w:val="nil"/>
        </w:pBdr>
        <w:ind w:right="-720"/>
        <w:rPr>
          <w:color w:val="000000"/>
          <w:sz w:val="22"/>
          <w:szCs w:val="22"/>
        </w:rPr>
      </w:pPr>
      <w:r>
        <w:rPr>
          <w:rFonts w:ascii="Arial" w:eastAsia="Arial" w:hAnsi="Arial" w:cs="Arial"/>
          <w:color w:val="000000"/>
          <w:sz w:val="22"/>
          <w:szCs w:val="22"/>
        </w:rPr>
        <w:t>Comercio transfronterizo (internacional) de desechos o productos de desechos</w:t>
      </w:r>
      <w:r>
        <w:rPr>
          <w:rFonts w:ascii="Arial" w:eastAsia="Arial" w:hAnsi="Arial" w:cs="Arial"/>
          <w:color w:val="000000"/>
          <w:sz w:val="22"/>
          <w:szCs w:val="22"/>
          <w:vertAlign w:val="superscript"/>
        </w:rPr>
        <w:footnoteReference w:id="15"/>
      </w:r>
      <w:r>
        <w:rPr>
          <w:rFonts w:ascii="Arial" w:eastAsia="Arial" w:hAnsi="Arial" w:cs="Arial"/>
          <w:color w:val="000000"/>
          <w:sz w:val="22"/>
          <w:szCs w:val="22"/>
        </w:rPr>
        <w:t>, exceptuando desechos no peligrosos destinados al reciclaje.</w:t>
      </w:r>
    </w:p>
    <w:p w14:paraId="587D36EC" w14:textId="77777777" w:rsidR="00726C0B" w:rsidRDefault="00BB4E15">
      <w:pPr>
        <w:widowControl w:val="0"/>
        <w:numPr>
          <w:ilvl w:val="0"/>
          <w:numId w:val="3"/>
        </w:numPr>
        <w:pBdr>
          <w:top w:val="nil"/>
          <w:left w:val="nil"/>
          <w:bottom w:val="nil"/>
          <w:right w:val="nil"/>
          <w:between w:val="nil"/>
        </w:pBdr>
        <w:ind w:right="-720"/>
        <w:rPr>
          <w:color w:val="000000"/>
          <w:sz w:val="22"/>
          <w:szCs w:val="22"/>
        </w:rPr>
      </w:pPr>
      <w:r>
        <w:rPr>
          <w:rFonts w:ascii="Arial" w:eastAsia="Arial" w:hAnsi="Arial" w:cs="Arial"/>
          <w:color w:val="000000"/>
          <w:sz w:val="22"/>
          <w:szCs w:val="22"/>
        </w:rPr>
        <w:t>Incumplimiento de los principios fundamentales de los trabajadores y de los derechos en el trabajo</w:t>
      </w:r>
      <w:r>
        <w:rPr>
          <w:rFonts w:ascii="Arial" w:eastAsia="Arial" w:hAnsi="Arial" w:cs="Arial"/>
          <w:color w:val="000000"/>
          <w:sz w:val="22"/>
          <w:szCs w:val="22"/>
          <w:vertAlign w:val="superscript"/>
        </w:rPr>
        <w:footnoteReference w:id="16"/>
      </w:r>
    </w:p>
    <w:p w14:paraId="56B0E576" w14:textId="77777777" w:rsidR="00726C0B" w:rsidRDefault="00BB4E15">
      <w:pPr>
        <w:widowControl w:val="0"/>
        <w:numPr>
          <w:ilvl w:val="0"/>
          <w:numId w:val="3"/>
        </w:numPr>
        <w:pBdr>
          <w:top w:val="nil"/>
          <w:left w:val="nil"/>
          <w:bottom w:val="nil"/>
          <w:right w:val="nil"/>
          <w:between w:val="nil"/>
        </w:pBdr>
        <w:ind w:right="-720"/>
        <w:rPr>
          <w:color w:val="000000"/>
          <w:sz w:val="22"/>
          <w:szCs w:val="22"/>
        </w:rPr>
      </w:pPr>
      <w:r>
        <w:rPr>
          <w:rFonts w:ascii="Arial" w:eastAsia="Arial" w:hAnsi="Arial" w:cs="Arial"/>
          <w:color w:val="000000"/>
          <w:sz w:val="22"/>
          <w:szCs w:val="22"/>
        </w:rPr>
        <w:t>Actividades que impliquen reasentamiento involuntario físico o económico.</w:t>
      </w:r>
    </w:p>
    <w:p w14:paraId="5B5FB5A9" w14:textId="77777777" w:rsidR="00726C0B" w:rsidRDefault="00BB4E15">
      <w:pPr>
        <w:widowControl w:val="0"/>
        <w:numPr>
          <w:ilvl w:val="0"/>
          <w:numId w:val="3"/>
        </w:numPr>
        <w:pBdr>
          <w:top w:val="nil"/>
          <w:left w:val="nil"/>
          <w:bottom w:val="nil"/>
          <w:right w:val="nil"/>
          <w:between w:val="nil"/>
        </w:pBdr>
        <w:ind w:right="-720"/>
        <w:rPr>
          <w:color w:val="000000"/>
          <w:sz w:val="22"/>
          <w:szCs w:val="22"/>
        </w:rPr>
      </w:pPr>
      <w:r>
        <w:rPr>
          <w:rFonts w:ascii="Arial" w:eastAsia="Arial" w:hAnsi="Arial" w:cs="Arial"/>
          <w:color w:val="000000"/>
          <w:sz w:val="22"/>
          <w:szCs w:val="22"/>
        </w:rPr>
        <w:t>Actividades que tengan impacto negativo sobre grupos indígenas.</w:t>
      </w:r>
    </w:p>
    <w:p w14:paraId="01C8ED6A" w14:textId="77777777" w:rsidR="00726C0B" w:rsidRDefault="00BB4E15">
      <w:pPr>
        <w:widowControl w:val="0"/>
        <w:numPr>
          <w:ilvl w:val="0"/>
          <w:numId w:val="3"/>
        </w:numPr>
        <w:pBdr>
          <w:top w:val="nil"/>
          <w:left w:val="nil"/>
          <w:bottom w:val="nil"/>
          <w:right w:val="nil"/>
          <w:between w:val="nil"/>
        </w:pBdr>
        <w:ind w:right="-720"/>
        <w:rPr>
          <w:color w:val="000000"/>
          <w:sz w:val="22"/>
          <w:szCs w:val="22"/>
        </w:rPr>
      </w:pPr>
      <w:r>
        <w:rPr>
          <w:rFonts w:ascii="Arial" w:eastAsia="Arial" w:hAnsi="Arial" w:cs="Arial"/>
          <w:color w:val="000000"/>
          <w:sz w:val="22"/>
          <w:szCs w:val="22"/>
        </w:rPr>
        <w:t xml:space="preserve">Actividades que puedan dañar sitios culturales o sitios culturales críticos. </w:t>
      </w:r>
    </w:p>
    <w:p w14:paraId="42375930" w14:textId="77777777" w:rsidR="00726C0B" w:rsidRDefault="00BB4E15">
      <w:pPr>
        <w:widowControl w:val="0"/>
        <w:numPr>
          <w:ilvl w:val="0"/>
          <w:numId w:val="3"/>
        </w:numPr>
        <w:pBdr>
          <w:top w:val="nil"/>
          <w:left w:val="nil"/>
          <w:bottom w:val="nil"/>
          <w:right w:val="nil"/>
          <w:between w:val="nil"/>
        </w:pBdr>
        <w:ind w:right="-720"/>
        <w:rPr>
          <w:color w:val="000000"/>
          <w:sz w:val="22"/>
          <w:szCs w:val="22"/>
        </w:rPr>
      </w:pPr>
      <w:r>
        <w:rPr>
          <w:rFonts w:ascii="Arial" w:eastAsia="Arial" w:hAnsi="Arial" w:cs="Arial"/>
          <w:color w:val="000000"/>
          <w:sz w:val="22"/>
          <w:szCs w:val="22"/>
        </w:rPr>
        <w:t>Industrias extractivas.</w:t>
      </w:r>
    </w:p>
    <w:p w14:paraId="37244A91" w14:textId="77777777" w:rsidR="000C1446" w:rsidRDefault="000C1446">
      <w:pPr>
        <w:rPr>
          <w:rFonts w:ascii="Arial" w:eastAsia="Arial" w:hAnsi="Arial" w:cs="Arial"/>
          <w:sz w:val="22"/>
          <w:szCs w:val="22"/>
        </w:rPr>
      </w:pPr>
    </w:p>
    <w:p w14:paraId="3C1FE0A6" w14:textId="77777777" w:rsidR="00337797" w:rsidRDefault="00337797">
      <w:pPr>
        <w:rPr>
          <w:rFonts w:ascii="Arial" w:eastAsia="Arial" w:hAnsi="Arial" w:cs="Arial"/>
          <w:b/>
          <w:sz w:val="22"/>
          <w:szCs w:val="22"/>
          <w:lang w:val="pt-BR"/>
        </w:rPr>
      </w:pPr>
      <w:r>
        <w:rPr>
          <w:i/>
          <w:sz w:val="22"/>
          <w:szCs w:val="22"/>
          <w:lang w:val="pt-BR"/>
        </w:rPr>
        <w:br w:type="page"/>
      </w:r>
    </w:p>
    <w:p w14:paraId="083A5F05" w14:textId="309B1959" w:rsidR="00320AA4" w:rsidRPr="00D57B49" w:rsidRDefault="00320AA4" w:rsidP="00C0310E">
      <w:pPr>
        <w:pStyle w:val="Heading2"/>
        <w:ind w:left="0"/>
        <w:jc w:val="center"/>
        <w:rPr>
          <w:b w:val="0"/>
          <w:i w:val="0"/>
          <w:iCs/>
          <w:sz w:val="22"/>
          <w:szCs w:val="22"/>
          <w:lang w:val="pt-BR"/>
        </w:rPr>
      </w:pPr>
      <w:bookmarkStart w:id="29" w:name="_Toc42709770"/>
      <w:r w:rsidRPr="00D57B49">
        <w:rPr>
          <w:i w:val="0"/>
          <w:sz w:val="22"/>
          <w:szCs w:val="22"/>
          <w:lang w:val="pt-BR"/>
        </w:rPr>
        <w:lastRenderedPageBreak/>
        <w:t>Anexo</w:t>
      </w:r>
      <w:r w:rsidRPr="00D57B49">
        <w:rPr>
          <w:sz w:val="22"/>
          <w:szCs w:val="22"/>
          <w:lang w:val="pt-BR"/>
        </w:rPr>
        <w:t xml:space="preserve"> </w:t>
      </w:r>
      <w:r w:rsidR="00D57B49" w:rsidRPr="00D57B49">
        <w:rPr>
          <w:i w:val="0"/>
          <w:iCs/>
          <w:sz w:val="22"/>
          <w:szCs w:val="22"/>
          <w:lang w:val="pt-BR"/>
        </w:rPr>
        <w:t>2</w:t>
      </w:r>
      <w:r w:rsidRPr="00D57B49">
        <w:rPr>
          <w:sz w:val="22"/>
          <w:szCs w:val="22"/>
          <w:lang w:val="pt-BR"/>
        </w:rPr>
        <w:t xml:space="preserve">: </w:t>
      </w:r>
      <w:r w:rsidRPr="00D57B49">
        <w:rPr>
          <w:i w:val="0"/>
          <w:sz w:val="22"/>
          <w:szCs w:val="22"/>
          <w:lang w:val="pt-BR"/>
        </w:rPr>
        <w:t>Reporte</w:t>
      </w:r>
      <w:r w:rsidRPr="00D57B49">
        <w:rPr>
          <w:i w:val="0"/>
          <w:iCs/>
          <w:sz w:val="22"/>
          <w:szCs w:val="22"/>
          <w:lang w:val="pt-BR"/>
        </w:rPr>
        <w:t xml:space="preserve"> de </w:t>
      </w:r>
      <w:proofErr w:type="spellStart"/>
      <w:r w:rsidRPr="00D57B49">
        <w:rPr>
          <w:i w:val="0"/>
          <w:iCs/>
          <w:sz w:val="22"/>
          <w:szCs w:val="22"/>
          <w:lang w:val="pt-BR"/>
        </w:rPr>
        <w:t>desempeño</w:t>
      </w:r>
      <w:proofErr w:type="spellEnd"/>
      <w:r w:rsidRPr="00D57B49">
        <w:rPr>
          <w:i w:val="0"/>
          <w:iCs/>
          <w:sz w:val="22"/>
          <w:szCs w:val="22"/>
          <w:lang w:val="pt-BR"/>
        </w:rPr>
        <w:t xml:space="preserve"> socioambiental semestral</w:t>
      </w:r>
      <w:bookmarkEnd w:id="29"/>
    </w:p>
    <w:p w14:paraId="425C0A4C" w14:textId="77777777" w:rsidR="00320AA4" w:rsidRPr="00D57B49" w:rsidRDefault="00320AA4" w:rsidP="00320AA4">
      <w:pPr>
        <w:jc w:val="both"/>
        <w:rPr>
          <w:rFonts w:ascii="Arial" w:eastAsia="Arial" w:hAnsi="Arial" w:cs="Arial"/>
          <w:sz w:val="22"/>
          <w:szCs w:val="22"/>
          <w:lang w:val="pt-BR"/>
        </w:rPr>
      </w:pPr>
    </w:p>
    <w:p w14:paraId="6003EA63" w14:textId="77777777" w:rsidR="00320AA4" w:rsidRPr="00D57B49" w:rsidRDefault="00320AA4" w:rsidP="00320AA4">
      <w:pPr>
        <w:jc w:val="both"/>
        <w:rPr>
          <w:rFonts w:ascii="Arial" w:eastAsia="Arial" w:hAnsi="Arial" w:cs="Arial"/>
          <w:sz w:val="22"/>
          <w:szCs w:val="22"/>
          <w:lang w:val="pt-BR"/>
        </w:rPr>
      </w:pPr>
    </w:p>
    <w:p w14:paraId="1143BD92" w14:textId="61CA3139" w:rsidR="00320AA4" w:rsidRPr="00320AA4" w:rsidRDefault="00320AA4" w:rsidP="00320AA4">
      <w:pPr>
        <w:jc w:val="both"/>
        <w:rPr>
          <w:rFonts w:ascii="Arial" w:eastAsia="Arial" w:hAnsi="Arial" w:cs="Arial"/>
          <w:sz w:val="22"/>
          <w:szCs w:val="22"/>
        </w:rPr>
      </w:pPr>
      <w:r w:rsidRPr="00320AA4">
        <w:rPr>
          <w:rFonts w:ascii="Arial" w:eastAsia="Arial" w:hAnsi="Arial" w:cs="Arial"/>
          <w:sz w:val="22"/>
          <w:szCs w:val="22"/>
        </w:rPr>
        <w:t xml:space="preserve">El ejecutor deberá presentar semestralmente – dentro de las fechas limites establecidas para el ingreso del </w:t>
      </w:r>
      <w:r>
        <w:rPr>
          <w:rFonts w:ascii="Arial" w:eastAsia="Arial" w:hAnsi="Arial" w:cs="Arial"/>
          <w:sz w:val="22"/>
          <w:szCs w:val="22"/>
        </w:rPr>
        <w:t>informe semestral (</w:t>
      </w:r>
      <w:r w:rsidRPr="00320AA4">
        <w:rPr>
          <w:rFonts w:ascii="Arial" w:eastAsia="Arial" w:hAnsi="Arial" w:cs="Arial"/>
          <w:sz w:val="22"/>
          <w:szCs w:val="22"/>
        </w:rPr>
        <w:t>PMR</w:t>
      </w:r>
      <w:r>
        <w:rPr>
          <w:rFonts w:ascii="Arial" w:eastAsia="Arial" w:hAnsi="Arial" w:cs="Arial"/>
          <w:sz w:val="22"/>
          <w:szCs w:val="22"/>
        </w:rPr>
        <w:t>)</w:t>
      </w:r>
      <w:r w:rsidRPr="00320AA4">
        <w:rPr>
          <w:rFonts w:ascii="Arial" w:eastAsia="Arial" w:hAnsi="Arial" w:cs="Arial"/>
          <w:sz w:val="22"/>
          <w:szCs w:val="22"/>
        </w:rPr>
        <w:t xml:space="preserve"> – un Informe de Cumplimiento de Gestión de Riesgos Socioambientales que integre la información siguiente:</w:t>
      </w:r>
    </w:p>
    <w:p w14:paraId="6ECC4933" w14:textId="0C6D26EE" w:rsidR="00320AA4" w:rsidRPr="00320AA4" w:rsidRDefault="00320AA4" w:rsidP="00320AA4">
      <w:pPr>
        <w:jc w:val="both"/>
        <w:rPr>
          <w:rFonts w:ascii="Arial" w:eastAsia="Arial" w:hAnsi="Arial" w:cs="Arial"/>
          <w:sz w:val="22"/>
          <w:szCs w:val="22"/>
        </w:rPr>
      </w:pPr>
    </w:p>
    <w:p w14:paraId="2E212E74" w14:textId="03CEBEFB" w:rsidR="00320AA4" w:rsidRPr="007B68A3" w:rsidRDefault="00320AA4" w:rsidP="007B68A3">
      <w:pPr>
        <w:pStyle w:val="ListParagraph"/>
        <w:numPr>
          <w:ilvl w:val="0"/>
          <w:numId w:val="28"/>
        </w:numPr>
        <w:jc w:val="both"/>
        <w:rPr>
          <w:rFonts w:ascii="Arial" w:eastAsia="Arial" w:hAnsi="Arial" w:cs="Arial"/>
          <w:sz w:val="22"/>
          <w:szCs w:val="22"/>
        </w:rPr>
      </w:pPr>
      <w:r w:rsidRPr="007B68A3">
        <w:rPr>
          <w:rFonts w:ascii="Arial" w:eastAsia="Arial" w:hAnsi="Arial" w:cs="Arial"/>
          <w:sz w:val="22"/>
          <w:szCs w:val="22"/>
        </w:rPr>
        <w:t xml:space="preserve">Montos desembolsados y repartición por sector </w:t>
      </w:r>
    </w:p>
    <w:p w14:paraId="49FFD49C" w14:textId="2D816220" w:rsidR="00320AA4" w:rsidRPr="007B68A3" w:rsidRDefault="00320AA4" w:rsidP="007B68A3">
      <w:pPr>
        <w:pStyle w:val="ListParagraph"/>
        <w:numPr>
          <w:ilvl w:val="0"/>
          <w:numId w:val="28"/>
        </w:numPr>
        <w:jc w:val="both"/>
        <w:rPr>
          <w:rFonts w:ascii="Arial" w:eastAsia="Arial" w:hAnsi="Arial" w:cs="Arial"/>
          <w:sz w:val="22"/>
          <w:szCs w:val="22"/>
        </w:rPr>
      </w:pPr>
      <w:r w:rsidRPr="007B68A3">
        <w:rPr>
          <w:rFonts w:ascii="Arial" w:eastAsia="Arial" w:hAnsi="Arial" w:cs="Arial"/>
          <w:sz w:val="22"/>
          <w:szCs w:val="22"/>
        </w:rPr>
        <w:t>Monto promedio de financiamiento total y por sector</w:t>
      </w:r>
    </w:p>
    <w:p w14:paraId="768C2E8C" w14:textId="556FF39E" w:rsidR="00320AA4" w:rsidRPr="007B68A3" w:rsidRDefault="00320AA4" w:rsidP="007B68A3">
      <w:pPr>
        <w:pStyle w:val="ListParagraph"/>
        <w:numPr>
          <w:ilvl w:val="0"/>
          <w:numId w:val="28"/>
        </w:numPr>
        <w:jc w:val="both"/>
        <w:rPr>
          <w:rFonts w:ascii="Arial" w:eastAsia="Arial" w:hAnsi="Arial" w:cs="Arial"/>
          <w:sz w:val="22"/>
          <w:szCs w:val="22"/>
        </w:rPr>
      </w:pPr>
      <w:r w:rsidRPr="007B68A3">
        <w:rPr>
          <w:rFonts w:ascii="Arial" w:eastAsia="Arial" w:hAnsi="Arial" w:cs="Arial"/>
          <w:sz w:val="22"/>
          <w:szCs w:val="22"/>
        </w:rPr>
        <w:t>Información relevante sobre temas socioambientales relacionados a MIPYME beneficiarias del Programa (si la hubiera)</w:t>
      </w:r>
    </w:p>
    <w:p w14:paraId="7AE2B4CE" w14:textId="74FB759F" w:rsidR="00320AA4" w:rsidRPr="007B68A3" w:rsidRDefault="00320AA4" w:rsidP="007B68A3">
      <w:pPr>
        <w:pStyle w:val="ListParagraph"/>
        <w:numPr>
          <w:ilvl w:val="0"/>
          <w:numId w:val="28"/>
        </w:numPr>
        <w:jc w:val="both"/>
        <w:rPr>
          <w:rFonts w:ascii="Arial" w:eastAsia="Arial" w:hAnsi="Arial" w:cs="Arial"/>
          <w:sz w:val="22"/>
          <w:szCs w:val="22"/>
        </w:rPr>
      </w:pPr>
      <w:r w:rsidRPr="007B68A3">
        <w:rPr>
          <w:rFonts w:ascii="Arial" w:eastAsia="Arial" w:hAnsi="Arial" w:cs="Arial"/>
          <w:sz w:val="22"/>
          <w:szCs w:val="22"/>
        </w:rPr>
        <w:t xml:space="preserve">Información relevante sobre temas socioambientales dentro de la institución (cambios organizacionales dentro del OE o del BICE, asi como cambios en el convenio entre el OE y </w:t>
      </w:r>
      <w:r w:rsidR="0062114A">
        <w:rPr>
          <w:rFonts w:ascii="Arial" w:eastAsia="Arial" w:hAnsi="Arial" w:cs="Arial"/>
          <w:sz w:val="22"/>
          <w:szCs w:val="22"/>
        </w:rPr>
        <w:t>BFSA</w:t>
      </w:r>
      <w:r w:rsidRPr="007B68A3">
        <w:rPr>
          <w:rFonts w:ascii="Arial" w:eastAsia="Arial" w:hAnsi="Arial" w:cs="Arial"/>
          <w:sz w:val="22"/>
          <w:szCs w:val="22"/>
        </w:rPr>
        <w:t>, etc.)</w:t>
      </w:r>
    </w:p>
    <w:p w14:paraId="7E54B6B0" w14:textId="4B6CB9E7" w:rsidR="00726C0B" w:rsidRDefault="00320AA4" w:rsidP="007B68A3">
      <w:pPr>
        <w:pStyle w:val="ListParagraph"/>
        <w:numPr>
          <w:ilvl w:val="0"/>
          <w:numId w:val="28"/>
        </w:numPr>
        <w:jc w:val="both"/>
        <w:rPr>
          <w:rFonts w:ascii="Arial" w:eastAsia="Arial" w:hAnsi="Arial" w:cs="Arial"/>
          <w:sz w:val="22"/>
          <w:szCs w:val="22"/>
        </w:rPr>
      </w:pPr>
      <w:r w:rsidRPr="007B68A3">
        <w:rPr>
          <w:rFonts w:ascii="Arial" w:eastAsia="Arial" w:hAnsi="Arial" w:cs="Arial"/>
          <w:sz w:val="22"/>
          <w:szCs w:val="22"/>
        </w:rPr>
        <w:t>Información relevante de regulación nacional o subnacional (cambios regulatorios etc.)</w:t>
      </w:r>
    </w:p>
    <w:p w14:paraId="2524BA8C" w14:textId="36D0D780" w:rsidR="00337797" w:rsidRDefault="00337797" w:rsidP="00337797">
      <w:pPr>
        <w:jc w:val="both"/>
        <w:rPr>
          <w:rFonts w:ascii="Arial" w:eastAsia="Arial" w:hAnsi="Arial" w:cs="Arial"/>
          <w:sz w:val="22"/>
          <w:szCs w:val="22"/>
        </w:rPr>
      </w:pPr>
    </w:p>
    <w:p w14:paraId="1704F1AF" w14:textId="4E3DE1B9" w:rsidR="00337797" w:rsidRPr="00C0310E" w:rsidRDefault="00337797" w:rsidP="00D57B49">
      <w:pPr>
        <w:rPr>
          <w:b/>
          <w:bCs/>
          <w:iCs/>
          <w:sz w:val="22"/>
          <w:szCs w:val="22"/>
          <w:lang w:val="es-419"/>
        </w:rPr>
      </w:pPr>
    </w:p>
    <w:sectPr w:rsidR="00337797" w:rsidRPr="00C0310E">
      <w:headerReference w:type="default" r:id="rId22"/>
      <w:headerReference w:type="first" r:id="rId23"/>
      <w:footerReference w:type="first" r:id="rId24"/>
      <w:pgSz w:w="12240" w:h="15840"/>
      <w:pgMar w:top="1440" w:right="1800" w:bottom="1440" w:left="1800" w:header="720" w:footer="720" w:gutter="0"/>
      <w:cols w:space="720" w:equalWidth="0">
        <w:col w:w="883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39511" w14:textId="77777777" w:rsidR="00037490" w:rsidRDefault="00037490">
      <w:r>
        <w:separator/>
      </w:r>
    </w:p>
  </w:endnote>
  <w:endnote w:type="continuationSeparator" w:id="0">
    <w:p w14:paraId="4B58C4ED" w14:textId="77777777" w:rsidR="00037490" w:rsidRDefault="00037490">
      <w:r>
        <w:continuationSeparator/>
      </w:r>
    </w:p>
  </w:endnote>
  <w:endnote w:type="continuationNotice" w:id="1">
    <w:p w14:paraId="15418985" w14:textId="77777777" w:rsidR="00037490" w:rsidRDefault="00037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67791" w14:textId="77777777" w:rsidR="00FA63C1" w:rsidRDefault="00FA63C1">
    <w:pPr>
      <w:pBdr>
        <w:top w:val="nil"/>
        <w:left w:val="nil"/>
        <w:bottom w:val="nil"/>
        <w:right w:val="nil"/>
        <w:between w:val="nil"/>
      </w:pBdr>
      <w:tabs>
        <w:tab w:val="center" w:pos="4320"/>
        <w:tab w:val="right" w:pos="8640"/>
      </w:tabs>
      <w:jc w:val="right"/>
      <w:rPr>
        <w:color w:val="000000"/>
      </w:rPr>
    </w:pPr>
  </w:p>
  <w:p w14:paraId="3F65A3AF" w14:textId="77777777" w:rsidR="00FA63C1" w:rsidRDefault="00FA63C1">
    <w:pPr>
      <w:pBdr>
        <w:top w:val="nil"/>
        <w:left w:val="nil"/>
        <w:bottom w:val="nil"/>
        <w:right w:val="nil"/>
        <w:between w:val="nil"/>
      </w:pBdr>
      <w:tabs>
        <w:tab w:val="center" w:pos="4320"/>
        <w:tab w:val="right" w:pos="864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F57A" w14:textId="77777777" w:rsidR="00FA63C1" w:rsidRDefault="00FA63C1">
    <w:pPr>
      <w:pBdr>
        <w:top w:val="nil"/>
        <w:left w:val="nil"/>
        <w:bottom w:val="nil"/>
        <w:right w:val="nil"/>
        <w:between w:val="nil"/>
      </w:pBdr>
      <w:tabs>
        <w:tab w:val="center" w:pos="4320"/>
        <w:tab w:val="right" w:pos="8640"/>
      </w:tabs>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3</w:t>
    </w:r>
    <w:r>
      <w:rPr>
        <w:rFonts w:ascii="Arial" w:eastAsia="Arial" w:hAnsi="Arial" w:cs="Arial"/>
        <w:color w:val="000000"/>
        <w:sz w:val="18"/>
        <w:szCs w:val="18"/>
      </w:rPr>
      <w:fldChar w:fldCharType="end"/>
    </w:r>
  </w:p>
  <w:p w14:paraId="4DB2228F" w14:textId="77777777" w:rsidR="00FA63C1" w:rsidRDefault="00FA63C1">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73F8" w14:textId="77777777" w:rsidR="00FA63C1" w:rsidRDefault="00FA63C1">
    <w:pPr>
      <w:widowControl w:val="0"/>
      <w:pBdr>
        <w:top w:val="nil"/>
        <w:left w:val="nil"/>
        <w:bottom w:val="nil"/>
        <w:right w:val="nil"/>
        <w:between w:val="nil"/>
      </w:pBdr>
      <w:spacing w:line="276" w:lineRule="auto"/>
      <w:rPr>
        <w:color w:val="000000"/>
      </w:rPr>
    </w:pPr>
  </w:p>
  <w:tbl>
    <w:tblPr>
      <w:tblW w:w="8640" w:type="dxa"/>
      <w:tblLayout w:type="fixed"/>
      <w:tblCellMar>
        <w:left w:w="115" w:type="dxa"/>
        <w:right w:w="115" w:type="dxa"/>
      </w:tblCellMar>
      <w:tblLook w:val="0600" w:firstRow="0" w:lastRow="0" w:firstColumn="0" w:lastColumn="0" w:noHBand="1" w:noVBand="1"/>
    </w:tblPr>
    <w:tblGrid>
      <w:gridCol w:w="2880"/>
      <w:gridCol w:w="2880"/>
      <w:gridCol w:w="2880"/>
    </w:tblGrid>
    <w:tr w:rsidR="00FA63C1" w14:paraId="2A62EB06" w14:textId="77777777">
      <w:tc>
        <w:tcPr>
          <w:tcW w:w="2880" w:type="dxa"/>
        </w:tcPr>
        <w:p w14:paraId="47D3B979" w14:textId="77777777" w:rsidR="00FA63C1" w:rsidRDefault="00FA63C1">
          <w:pPr>
            <w:pBdr>
              <w:top w:val="nil"/>
              <w:left w:val="nil"/>
              <w:bottom w:val="nil"/>
              <w:right w:val="nil"/>
              <w:between w:val="nil"/>
            </w:pBdr>
            <w:tabs>
              <w:tab w:val="center" w:pos="4320"/>
              <w:tab w:val="right" w:pos="8640"/>
            </w:tabs>
            <w:ind w:left="-115"/>
            <w:rPr>
              <w:color w:val="000000"/>
            </w:rPr>
          </w:pPr>
        </w:p>
      </w:tc>
      <w:tc>
        <w:tcPr>
          <w:tcW w:w="2880" w:type="dxa"/>
        </w:tcPr>
        <w:p w14:paraId="207F42A2" w14:textId="77777777" w:rsidR="00FA63C1" w:rsidRDefault="00FA63C1">
          <w:pPr>
            <w:pBdr>
              <w:top w:val="nil"/>
              <w:left w:val="nil"/>
              <w:bottom w:val="nil"/>
              <w:right w:val="nil"/>
              <w:between w:val="nil"/>
            </w:pBdr>
            <w:tabs>
              <w:tab w:val="center" w:pos="4320"/>
              <w:tab w:val="right" w:pos="8640"/>
            </w:tabs>
            <w:jc w:val="center"/>
            <w:rPr>
              <w:color w:val="000000"/>
            </w:rPr>
          </w:pPr>
        </w:p>
      </w:tc>
      <w:tc>
        <w:tcPr>
          <w:tcW w:w="2880" w:type="dxa"/>
        </w:tcPr>
        <w:p w14:paraId="4D2BF500" w14:textId="77777777" w:rsidR="00FA63C1" w:rsidRDefault="00FA63C1">
          <w:pPr>
            <w:pBdr>
              <w:top w:val="nil"/>
              <w:left w:val="nil"/>
              <w:bottom w:val="nil"/>
              <w:right w:val="nil"/>
              <w:between w:val="nil"/>
            </w:pBdr>
            <w:tabs>
              <w:tab w:val="center" w:pos="4320"/>
              <w:tab w:val="right" w:pos="8640"/>
            </w:tabs>
            <w:ind w:right="-115"/>
            <w:jc w:val="right"/>
            <w:rPr>
              <w:color w:val="000000"/>
            </w:rPr>
          </w:pPr>
        </w:p>
      </w:tc>
    </w:tr>
  </w:tbl>
  <w:p w14:paraId="2FDF1FD8" w14:textId="77777777" w:rsidR="00FA63C1" w:rsidRDefault="00FA63C1">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6BCD" w14:textId="77777777" w:rsidR="00FA63C1" w:rsidRDefault="00FA63C1">
    <w:pPr>
      <w:widowControl w:val="0"/>
      <w:pBdr>
        <w:top w:val="nil"/>
        <w:left w:val="nil"/>
        <w:bottom w:val="nil"/>
        <w:right w:val="nil"/>
        <w:between w:val="nil"/>
      </w:pBdr>
      <w:spacing w:line="276" w:lineRule="auto"/>
      <w:rPr>
        <w:color w:val="000000"/>
      </w:rPr>
    </w:pPr>
  </w:p>
  <w:tbl>
    <w:tblPr>
      <w:tblW w:w="8640" w:type="dxa"/>
      <w:tblLayout w:type="fixed"/>
      <w:tblCellMar>
        <w:left w:w="115" w:type="dxa"/>
        <w:right w:w="115" w:type="dxa"/>
      </w:tblCellMar>
      <w:tblLook w:val="0600" w:firstRow="0" w:lastRow="0" w:firstColumn="0" w:lastColumn="0" w:noHBand="1" w:noVBand="1"/>
    </w:tblPr>
    <w:tblGrid>
      <w:gridCol w:w="2880"/>
      <w:gridCol w:w="2880"/>
      <w:gridCol w:w="2880"/>
    </w:tblGrid>
    <w:tr w:rsidR="00FA63C1" w14:paraId="5BEC44DA" w14:textId="77777777">
      <w:tc>
        <w:tcPr>
          <w:tcW w:w="2880" w:type="dxa"/>
        </w:tcPr>
        <w:p w14:paraId="5CC0840B" w14:textId="77777777" w:rsidR="00FA63C1" w:rsidRDefault="00FA63C1">
          <w:pPr>
            <w:pBdr>
              <w:top w:val="nil"/>
              <w:left w:val="nil"/>
              <w:bottom w:val="nil"/>
              <w:right w:val="nil"/>
              <w:between w:val="nil"/>
            </w:pBdr>
            <w:tabs>
              <w:tab w:val="center" w:pos="4320"/>
              <w:tab w:val="right" w:pos="8640"/>
            </w:tabs>
            <w:ind w:left="-115"/>
            <w:rPr>
              <w:color w:val="000000"/>
            </w:rPr>
          </w:pPr>
        </w:p>
      </w:tc>
      <w:tc>
        <w:tcPr>
          <w:tcW w:w="2880" w:type="dxa"/>
        </w:tcPr>
        <w:p w14:paraId="60967B67" w14:textId="77777777" w:rsidR="00FA63C1" w:rsidRDefault="00FA63C1">
          <w:pPr>
            <w:pBdr>
              <w:top w:val="nil"/>
              <w:left w:val="nil"/>
              <w:bottom w:val="nil"/>
              <w:right w:val="nil"/>
              <w:between w:val="nil"/>
            </w:pBdr>
            <w:tabs>
              <w:tab w:val="center" w:pos="4320"/>
              <w:tab w:val="right" w:pos="8640"/>
            </w:tabs>
            <w:jc w:val="center"/>
            <w:rPr>
              <w:color w:val="000000"/>
            </w:rPr>
          </w:pPr>
        </w:p>
      </w:tc>
      <w:tc>
        <w:tcPr>
          <w:tcW w:w="2880" w:type="dxa"/>
        </w:tcPr>
        <w:p w14:paraId="0808FD5B" w14:textId="77777777" w:rsidR="00FA63C1" w:rsidRDefault="00FA63C1">
          <w:pPr>
            <w:pBdr>
              <w:top w:val="nil"/>
              <w:left w:val="nil"/>
              <w:bottom w:val="nil"/>
              <w:right w:val="nil"/>
              <w:between w:val="nil"/>
            </w:pBdr>
            <w:tabs>
              <w:tab w:val="center" w:pos="4320"/>
              <w:tab w:val="right" w:pos="8640"/>
            </w:tabs>
            <w:ind w:right="-115"/>
            <w:jc w:val="right"/>
            <w:rPr>
              <w:color w:val="000000"/>
            </w:rPr>
          </w:pPr>
        </w:p>
      </w:tc>
    </w:tr>
  </w:tbl>
  <w:p w14:paraId="121A5343" w14:textId="77777777" w:rsidR="00FA63C1" w:rsidRDefault="00FA63C1">
    <w:pPr>
      <w:pBdr>
        <w:top w:val="nil"/>
        <w:left w:val="nil"/>
        <w:bottom w:val="nil"/>
        <w:right w:val="nil"/>
        <w:between w:val="nil"/>
      </w:pBdr>
      <w:tabs>
        <w:tab w:val="center" w:pos="4320"/>
        <w:tab w:val="right" w:pos="8640"/>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39847" w14:textId="77777777" w:rsidR="00FA63C1" w:rsidRDefault="00FA63C1">
    <w:pPr>
      <w:widowControl w:val="0"/>
      <w:pBdr>
        <w:top w:val="nil"/>
        <w:left w:val="nil"/>
        <w:bottom w:val="nil"/>
        <w:right w:val="nil"/>
        <w:between w:val="nil"/>
      </w:pBdr>
      <w:spacing w:line="276" w:lineRule="auto"/>
      <w:rPr>
        <w:color w:val="000000"/>
      </w:rPr>
    </w:pPr>
  </w:p>
  <w:tbl>
    <w:tblPr>
      <w:tblW w:w="12960" w:type="dxa"/>
      <w:tblLayout w:type="fixed"/>
      <w:tblCellMar>
        <w:left w:w="115" w:type="dxa"/>
        <w:right w:w="115" w:type="dxa"/>
      </w:tblCellMar>
      <w:tblLook w:val="0600" w:firstRow="0" w:lastRow="0" w:firstColumn="0" w:lastColumn="0" w:noHBand="1" w:noVBand="1"/>
    </w:tblPr>
    <w:tblGrid>
      <w:gridCol w:w="4320"/>
      <w:gridCol w:w="4320"/>
      <w:gridCol w:w="4320"/>
    </w:tblGrid>
    <w:tr w:rsidR="00FA63C1" w14:paraId="65DDBF5B" w14:textId="77777777">
      <w:tc>
        <w:tcPr>
          <w:tcW w:w="4320" w:type="dxa"/>
        </w:tcPr>
        <w:p w14:paraId="48A594F7" w14:textId="77777777" w:rsidR="00FA63C1" w:rsidRDefault="00FA63C1">
          <w:pPr>
            <w:pBdr>
              <w:top w:val="nil"/>
              <w:left w:val="nil"/>
              <w:bottom w:val="nil"/>
              <w:right w:val="nil"/>
              <w:between w:val="nil"/>
            </w:pBdr>
            <w:tabs>
              <w:tab w:val="center" w:pos="4320"/>
              <w:tab w:val="right" w:pos="8640"/>
            </w:tabs>
            <w:ind w:left="-115"/>
            <w:rPr>
              <w:color w:val="000000"/>
            </w:rPr>
          </w:pPr>
        </w:p>
      </w:tc>
      <w:tc>
        <w:tcPr>
          <w:tcW w:w="4320" w:type="dxa"/>
        </w:tcPr>
        <w:p w14:paraId="135091EA" w14:textId="77777777" w:rsidR="00FA63C1" w:rsidRDefault="00FA63C1">
          <w:pPr>
            <w:pBdr>
              <w:top w:val="nil"/>
              <w:left w:val="nil"/>
              <w:bottom w:val="nil"/>
              <w:right w:val="nil"/>
              <w:between w:val="nil"/>
            </w:pBdr>
            <w:tabs>
              <w:tab w:val="center" w:pos="4320"/>
              <w:tab w:val="right" w:pos="8640"/>
            </w:tabs>
            <w:jc w:val="center"/>
            <w:rPr>
              <w:color w:val="000000"/>
            </w:rPr>
          </w:pPr>
        </w:p>
      </w:tc>
      <w:tc>
        <w:tcPr>
          <w:tcW w:w="4320" w:type="dxa"/>
        </w:tcPr>
        <w:p w14:paraId="14FA6ABE" w14:textId="77777777" w:rsidR="00FA63C1" w:rsidRDefault="00FA63C1">
          <w:pPr>
            <w:pBdr>
              <w:top w:val="nil"/>
              <w:left w:val="nil"/>
              <w:bottom w:val="nil"/>
              <w:right w:val="nil"/>
              <w:between w:val="nil"/>
            </w:pBdr>
            <w:tabs>
              <w:tab w:val="center" w:pos="4320"/>
              <w:tab w:val="right" w:pos="8640"/>
            </w:tabs>
            <w:ind w:right="-115"/>
            <w:jc w:val="right"/>
            <w:rPr>
              <w:color w:val="000000"/>
            </w:rPr>
          </w:pPr>
        </w:p>
      </w:tc>
    </w:tr>
  </w:tbl>
  <w:p w14:paraId="0702F914" w14:textId="77777777" w:rsidR="00FA63C1" w:rsidRDefault="00FA63C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D42C6" w14:textId="77777777" w:rsidR="00037490" w:rsidRDefault="00037490">
      <w:r>
        <w:separator/>
      </w:r>
    </w:p>
  </w:footnote>
  <w:footnote w:type="continuationSeparator" w:id="0">
    <w:p w14:paraId="7077638D" w14:textId="77777777" w:rsidR="00037490" w:rsidRDefault="00037490">
      <w:r>
        <w:continuationSeparator/>
      </w:r>
    </w:p>
  </w:footnote>
  <w:footnote w:type="continuationNotice" w:id="1">
    <w:p w14:paraId="5201302D" w14:textId="77777777" w:rsidR="00037490" w:rsidRDefault="00037490"/>
  </w:footnote>
  <w:footnote w:id="2">
    <w:p w14:paraId="5EE28F38" w14:textId="77777777" w:rsidR="00FA63C1" w:rsidRPr="002C0AA2" w:rsidRDefault="00FA63C1">
      <w:pPr>
        <w:keepNext/>
        <w:keepLines/>
        <w:pBdr>
          <w:top w:val="nil"/>
          <w:left w:val="nil"/>
          <w:bottom w:val="nil"/>
          <w:right w:val="nil"/>
          <w:between w:val="nil"/>
        </w:pBdr>
        <w:ind w:left="180" w:hanging="180"/>
        <w:jc w:val="both"/>
        <w:rPr>
          <w:rFonts w:ascii="Arial" w:eastAsia="Arial" w:hAnsi="Arial" w:cs="Arial"/>
          <w:color w:val="000000"/>
          <w:sz w:val="18"/>
          <w:szCs w:val="18"/>
        </w:rPr>
      </w:pPr>
      <w:r w:rsidRPr="002C0AA2">
        <w:rPr>
          <w:rFonts w:ascii="Arial" w:hAnsi="Arial" w:cs="Arial"/>
          <w:sz w:val="18"/>
          <w:szCs w:val="18"/>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rPr>
        <w:tab/>
        <w:t>Para efectos de clasificación según tamaño de empresas, el programa de préstamo utilizará las definiciones vigentes y emitidas por la SEPYME.</w:t>
      </w:r>
    </w:p>
  </w:footnote>
  <w:footnote w:id="3">
    <w:p w14:paraId="01DF74E4" w14:textId="33C4D998" w:rsidR="00E57460" w:rsidRPr="00C8763B" w:rsidRDefault="00E57460" w:rsidP="001069D8">
      <w:pPr>
        <w:keepNext/>
        <w:keepLines/>
        <w:pBdr>
          <w:top w:val="nil"/>
          <w:left w:val="nil"/>
          <w:bottom w:val="nil"/>
          <w:right w:val="nil"/>
          <w:between w:val="nil"/>
        </w:pBdr>
        <w:ind w:left="180" w:hanging="180"/>
        <w:jc w:val="both"/>
        <w:rPr>
          <w:rFonts w:ascii="Arial" w:hAnsi="Arial" w:cs="Arial"/>
          <w:sz w:val="18"/>
          <w:szCs w:val="18"/>
        </w:rPr>
      </w:pPr>
      <w:r w:rsidRPr="00C8763B">
        <w:rPr>
          <w:rStyle w:val="FootnoteReference"/>
          <w:rFonts w:ascii="Arial" w:hAnsi="Arial" w:cs="Arial"/>
          <w:sz w:val="18"/>
          <w:szCs w:val="18"/>
        </w:rPr>
        <w:footnoteRef/>
      </w:r>
      <w:r w:rsidRPr="00C8763B">
        <w:rPr>
          <w:rFonts w:ascii="Arial" w:hAnsi="Arial" w:cs="Arial"/>
          <w:sz w:val="18"/>
          <w:szCs w:val="18"/>
        </w:rPr>
        <w:t xml:space="preserve"> </w:t>
      </w:r>
      <w:r w:rsidRPr="00C8763B">
        <w:rPr>
          <w:rFonts w:ascii="Arial" w:hAnsi="Arial" w:cs="Arial"/>
          <w:sz w:val="18"/>
          <w:szCs w:val="18"/>
        </w:rPr>
        <w:tab/>
      </w:r>
      <w:r w:rsidRPr="001069D8">
        <w:rPr>
          <w:rFonts w:ascii="Arial" w:eastAsia="Arial" w:hAnsi="Arial" w:cs="Arial"/>
          <w:color w:val="000000"/>
          <w:sz w:val="18"/>
          <w:szCs w:val="18"/>
        </w:rPr>
        <w:t>Mediante</w:t>
      </w:r>
      <w:r w:rsidRPr="00C8763B">
        <w:rPr>
          <w:rFonts w:ascii="Arial" w:hAnsi="Arial" w:cs="Arial"/>
          <w:sz w:val="18"/>
          <w:szCs w:val="18"/>
        </w:rPr>
        <w:t xml:space="preserve"> la bonificación de tasa</w:t>
      </w:r>
      <w:r>
        <w:rPr>
          <w:rFonts w:ascii="Arial" w:hAnsi="Arial" w:cs="Arial"/>
          <w:sz w:val="18"/>
          <w:szCs w:val="18"/>
        </w:rPr>
        <w:t>, elegible bajo ambos subcomponentes, el FONDEP podrá pagar una porción de la tasa de interés que la MIPYME paga a la IFI en virtud del crédito.</w:t>
      </w:r>
    </w:p>
  </w:footnote>
  <w:footnote w:id="4">
    <w:p w14:paraId="3EB7DB63" w14:textId="68E90C14" w:rsidR="00FA63C1" w:rsidRPr="002C0AA2" w:rsidRDefault="00FA63C1" w:rsidP="00315379">
      <w:pPr>
        <w:keepNext/>
        <w:keepLines/>
        <w:pBdr>
          <w:top w:val="nil"/>
          <w:left w:val="nil"/>
          <w:bottom w:val="nil"/>
          <w:right w:val="nil"/>
          <w:between w:val="nil"/>
        </w:pBdr>
        <w:tabs>
          <w:tab w:val="left" w:pos="270"/>
        </w:tabs>
        <w:ind w:left="288" w:hanging="288"/>
        <w:jc w:val="both"/>
        <w:rPr>
          <w:rFonts w:ascii="Arial" w:hAnsi="Arial" w:cs="Arial"/>
          <w:sz w:val="18"/>
          <w:szCs w:val="18"/>
        </w:rPr>
      </w:pPr>
      <w:r w:rsidRPr="002C0AA2">
        <w:rPr>
          <w:rStyle w:val="FootnoteReference"/>
          <w:rFonts w:ascii="Arial" w:hAnsi="Arial" w:cs="Arial"/>
          <w:sz w:val="18"/>
          <w:szCs w:val="18"/>
        </w:rPr>
        <w:footnoteRef/>
      </w:r>
      <w:r w:rsidRPr="002C0AA2">
        <w:rPr>
          <w:rFonts w:ascii="Arial" w:hAnsi="Arial" w:cs="Arial"/>
          <w:sz w:val="18"/>
          <w:szCs w:val="18"/>
        </w:rPr>
        <w:t xml:space="preserve"> </w:t>
      </w:r>
      <w:r w:rsidRPr="002C0AA2">
        <w:rPr>
          <w:rFonts w:ascii="Arial" w:hAnsi="Arial" w:cs="Arial"/>
          <w:sz w:val="18"/>
          <w:szCs w:val="18"/>
        </w:rPr>
        <w:tab/>
        <w:t xml:space="preserve">Este convenio permitirá la transferencia de recursos a la SAE para que ésta, como organismo subejecutor, pueda llevar a cabo la contratación de una evaluación del </w:t>
      </w:r>
      <w:r>
        <w:rPr>
          <w:rFonts w:ascii="Arial" w:hAnsi="Arial" w:cs="Arial"/>
          <w:sz w:val="18"/>
          <w:szCs w:val="18"/>
        </w:rPr>
        <w:t>p</w:t>
      </w:r>
      <w:r w:rsidRPr="002C0AA2">
        <w:rPr>
          <w:rFonts w:ascii="Arial" w:hAnsi="Arial" w:cs="Arial"/>
          <w:sz w:val="18"/>
          <w:szCs w:val="18"/>
        </w:rPr>
        <w:t>rograma.</w:t>
      </w:r>
    </w:p>
  </w:footnote>
  <w:footnote w:id="5">
    <w:p w14:paraId="11FDF580" w14:textId="77777777" w:rsidR="00FA63C1" w:rsidRDefault="00FA63C1">
      <w:pPr>
        <w:keepNext/>
        <w:keepLines/>
        <w:pBdr>
          <w:top w:val="nil"/>
          <w:left w:val="nil"/>
          <w:bottom w:val="nil"/>
          <w:right w:val="nil"/>
          <w:between w:val="nil"/>
        </w:pBdr>
        <w:ind w:left="180" w:hanging="180"/>
        <w:jc w:val="both"/>
        <w:rPr>
          <w:rFonts w:ascii="Arial" w:eastAsia="Arial" w:hAnsi="Arial" w:cs="Arial"/>
          <w:color w:val="000000"/>
          <w:sz w:val="18"/>
          <w:szCs w:val="18"/>
        </w:rPr>
      </w:pPr>
      <w:r w:rsidRPr="002C0AA2">
        <w:rPr>
          <w:rFonts w:ascii="Arial" w:hAnsi="Arial" w:cs="Arial"/>
          <w:sz w:val="18"/>
          <w:szCs w:val="18"/>
          <w:vertAlign w:val="superscript"/>
        </w:rPr>
        <w:footnoteRef/>
      </w:r>
      <w:r>
        <w:rPr>
          <w:rFonts w:ascii="Arial" w:eastAsia="Arial" w:hAnsi="Arial" w:cs="Arial"/>
          <w:color w:val="000000"/>
          <w:sz w:val="18"/>
          <w:szCs w:val="18"/>
        </w:rPr>
        <w:t xml:space="preserve"> Trabajo forzado significa todo trabajo o servicio no realizado voluntariamente, que es impuesto sobre una persona bajo amenaza de fuerza o penalidad. Trabajo infantil dañino significa el empleo de niños en condiciones de explotación económica, o en situaciones de alto peligro o interferencia con su educación, o que sea dañino a la salud o atente contra su desarrollo físico, mental, espiritual, moral o social.</w:t>
      </w:r>
    </w:p>
  </w:footnote>
  <w:footnote w:id="6">
    <w:p w14:paraId="56BFF99A" w14:textId="77777777" w:rsidR="00FA63C1" w:rsidRDefault="00FA63C1">
      <w:pPr>
        <w:keepNext/>
        <w:keepLines/>
        <w:pBdr>
          <w:top w:val="nil"/>
          <w:left w:val="nil"/>
          <w:bottom w:val="nil"/>
          <w:right w:val="nil"/>
          <w:between w:val="nil"/>
        </w:pBdr>
        <w:ind w:left="180" w:hanging="180"/>
        <w:jc w:val="both"/>
        <w:rPr>
          <w:rFonts w:ascii="Arial" w:eastAsia="Arial" w:hAnsi="Arial" w:cs="Arial"/>
          <w:color w:val="000000"/>
          <w:sz w:val="18"/>
          <w:szCs w:val="18"/>
        </w:rPr>
      </w:pPr>
      <w:r w:rsidRPr="002C0AA2">
        <w:rPr>
          <w:rFonts w:ascii="Arial" w:hAnsi="Arial" w:cs="Arial"/>
          <w:sz w:val="18"/>
          <w:szCs w:val="18"/>
          <w:vertAlign w:val="superscript"/>
        </w:rPr>
        <w:footnoteRef/>
      </w:r>
      <w:r>
        <w:rPr>
          <w:rFonts w:ascii="Arial" w:eastAsia="Arial" w:hAnsi="Arial" w:cs="Arial"/>
          <w:color w:val="000000"/>
          <w:sz w:val="18"/>
          <w:szCs w:val="18"/>
        </w:rPr>
        <w:t xml:space="preserve"> Convención sobre el Comercio Internacional de Especies Amenazadas de Fauna y Flora Silvestres (www.cites.org).</w:t>
      </w:r>
    </w:p>
  </w:footnote>
  <w:footnote w:id="7">
    <w:p w14:paraId="1DD77B70" w14:textId="77777777" w:rsidR="00FA63C1" w:rsidRDefault="00FA63C1">
      <w:pPr>
        <w:keepNext/>
        <w:keepLines/>
        <w:pBdr>
          <w:top w:val="nil"/>
          <w:left w:val="nil"/>
          <w:bottom w:val="nil"/>
          <w:right w:val="nil"/>
          <w:between w:val="nil"/>
        </w:pBdr>
        <w:ind w:left="180" w:hanging="180"/>
        <w:jc w:val="both"/>
        <w:rPr>
          <w:rFonts w:ascii="Arial" w:eastAsia="Arial" w:hAnsi="Arial" w:cs="Arial"/>
          <w:color w:val="000000"/>
          <w:sz w:val="18"/>
          <w:szCs w:val="18"/>
        </w:rPr>
      </w:pPr>
      <w:r w:rsidRPr="002C0AA2">
        <w:rPr>
          <w:rFonts w:ascii="Arial" w:hAnsi="Arial" w:cs="Arial"/>
          <w:sz w:val="18"/>
          <w:szCs w:val="18"/>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rPr>
        <w:tab/>
        <w:t xml:space="preserve">Se entiende por bosque primario un bosque relativamente intacto que esencialmente no ha sido modificado por la actividad humana durante los últimos 60 a 80 años; mientras que generalmente se entiende por bosque tropical húmedo un bioma forestal situado en áreas que reciben no menos de 100 </w:t>
      </w:r>
      <w:proofErr w:type="spellStart"/>
      <w:r>
        <w:rPr>
          <w:rFonts w:ascii="Arial" w:eastAsia="Arial" w:hAnsi="Arial" w:cs="Arial"/>
          <w:color w:val="000000"/>
          <w:sz w:val="18"/>
          <w:szCs w:val="18"/>
        </w:rPr>
        <w:t>Mm.</w:t>
      </w:r>
      <w:proofErr w:type="spellEnd"/>
      <w:r>
        <w:rPr>
          <w:rFonts w:ascii="Arial" w:eastAsia="Arial" w:hAnsi="Arial" w:cs="Arial"/>
          <w:color w:val="000000"/>
          <w:sz w:val="18"/>
          <w:szCs w:val="18"/>
        </w:rPr>
        <w:t xml:space="preserve"> de lluvia por mes durante dos de cada tres años con una temperatura media anual de 240 C o más.</w:t>
      </w:r>
    </w:p>
  </w:footnote>
  <w:footnote w:id="8">
    <w:p w14:paraId="6EA74024" w14:textId="77777777" w:rsidR="00FA63C1" w:rsidRDefault="00FA63C1">
      <w:pPr>
        <w:keepNext/>
        <w:keepLines/>
        <w:pBdr>
          <w:top w:val="nil"/>
          <w:left w:val="nil"/>
          <w:bottom w:val="nil"/>
          <w:right w:val="nil"/>
          <w:between w:val="nil"/>
        </w:pBdr>
        <w:ind w:left="180" w:hanging="180"/>
        <w:jc w:val="both"/>
        <w:rPr>
          <w:rFonts w:ascii="Arial" w:eastAsia="Arial" w:hAnsi="Arial" w:cs="Arial"/>
          <w:color w:val="000000"/>
          <w:sz w:val="18"/>
          <w:szCs w:val="18"/>
        </w:rPr>
      </w:pPr>
      <w:r w:rsidRPr="002C0AA2">
        <w:rPr>
          <w:rFonts w:ascii="Arial" w:hAnsi="Arial" w:cs="Arial"/>
          <w:sz w:val="18"/>
          <w:szCs w:val="18"/>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rPr>
        <w:tab/>
        <w:t xml:space="preserve">Hábitats naturales críticos son áreas designadas corno protegidas bajo legislación nacional o convenios internacionales, sitios de conocido interés científico, hábitats de especies raras o amenazadas, áreas de pesca económicamente importantes, bosques primarios de importancia ecológica. Además de las áreas designadas en el </w:t>
      </w:r>
      <w:proofErr w:type="spellStart"/>
      <w:r>
        <w:rPr>
          <w:rFonts w:ascii="Arial" w:eastAsia="Arial" w:hAnsi="Arial" w:cs="Arial"/>
          <w:color w:val="000000"/>
          <w:sz w:val="18"/>
          <w:szCs w:val="18"/>
        </w:rPr>
        <w:t>pais</w:t>
      </w:r>
      <w:proofErr w:type="spellEnd"/>
      <w:r>
        <w:rPr>
          <w:rFonts w:ascii="Arial" w:eastAsia="Arial" w:hAnsi="Arial" w:cs="Arial"/>
          <w:color w:val="000000"/>
          <w:sz w:val="18"/>
          <w:szCs w:val="18"/>
        </w:rPr>
        <w:t>, otras áreas incluyen sitios de patrimonio mundial natural (definidos por la Convención sobre la Protección del Patrimonio Mundial http://whc.unesco.org), Lista de Parques Nacionales y Áreas Protegidas, de las Naciones Unidas, humedales designados de importancia internacional (definidos por la Convención de RAMSAR. www.ramsar.org), o áreas seleccionadas (por ejemplo, reservas naturales estrictas o áreas naturales silvestres, parques naturales, monumentos naturales o áreas de manejo de hábitats o especies) definidas por la Unión Internacional para la Conservación de la Naturaleza.</w:t>
      </w:r>
    </w:p>
  </w:footnote>
  <w:footnote w:id="9">
    <w:p w14:paraId="215497B8" w14:textId="77777777" w:rsidR="00FA63C1" w:rsidRPr="002C0AA2" w:rsidRDefault="00FA63C1">
      <w:pPr>
        <w:keepNext/>
        <w:keepLines/>
        <w:pBdr>
          <w:top w:val="nil"/>
          <w:left w:val="nil"/>
          <w:bottom w:val="nil"/>
          <w:right w:val="nil"/>
          <w:between w:val="nil"/>
        </w:pBdr>
        <w:ind w:left="180" w:hanging="180"/>
        <w:jc w:val="both"/>
        <w:rPr>
          <w:rFonts w:ascii="Arial" w:eastAsia="Arial" w:hAnsi="Arial" w:cs="Arial"/>
          <w:color w:val="000000"/>
          <w:sz w:val="18"/>
          <w:szCs w:val="18"/>
        </w:rPr>
      </w:pPr>
      <w:r w:rsidRPr="002C0AA2">
        <w:rPr>
          <w:rFonts w:ascii="Arial" w:hAnsi="Arial" w:cs="Arial"/>
          <w:sz w:val="18"/>
          <w:szCs w:val="18"/>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rPr>
        <w:tab/>
        <w:t>Especies invasivas se definen como especies que: (i) no son nativas del ecosistema bajo consideración: (</w:t>
      </w:r>
      <w:proofErr w:type="spellStart"/>
      <w:r>
        <w:rPr>
          <w:rFonts w:ascii="Arial" w:eastAsia="Arial" w:hAnsi="Arial" w:cs="Arial"/>
          <w:color w:val="000000"/>
          <w:sz w:val="18"/>
          <w:szCs w:val="18"/>
        </w:rPr>
        <w:t>ii</w:t>
      </w:r>
      <w:proofErr w:type="spellEnd"/>
      <w:r>
        <w:rPr>
          <w:rFonts w:ascii="Arial" w:eastAsia="Arial" w:hAnsi="Arial" w:cs="Arial"/>
          <w:color w:val="000000"/>
          <w:sz w:val="18"/>
          <w:szCs w:val="18"/>
        </w:rPr>
        <w:t>) cuya introducción causa o tiene el potencial de causar daños económicos o ambientales, o daños a la salud humana.</w:t>
      </w:r>
    </w:p>
  </w:footnote>
  <w:footnote w:id="10">
    <w:p w14:paraId="454D4463" w14:textId="78A69EF1" w:rsidR="00FA63C1" w:rsidRDefault="00FA63C1">
      <w:pPr>
        <w:keepNext/>
        <w:keepLines/>
        <w:pBdr>
          <w:top w:val="nil"/>
          <w:left w:val="nil"/>
          <w:bottom w:val="nil"/>
          <w:right w:val="nil"/>
          <w:between w:val="nil"/>
        </w:pBdr>
        <w:ind w:left="180" w:hanging="180"/>
        <w:jc w:val="both"/>
        <w:rPr>
          <w:rFonts w:ascii="Arial" w:eastAsia="Arial" w:hAnsi="Arial" w:cs="Arial"/>
          <w:color w:val="000000"/>
          <w:sz w:val="18"/>
          <w:szCs w:val="18"/>
        </w:rPr>
      </w:pPr>
      <w:r w:rsidRPr="002C0AA2">
        <w:rPr>
          <w:rFonts w:ascii="Arial" w:hAnsi="Arial" w:cs="Arial"/>
          <w:sz w:val="18"/>
          <w:szCs w:val="18"/>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rPr>
        <w:tab/>
        <w:t xml:space="preserve">PCB son </w:t>
      </w:r>
      <w:proofErr w:type="spellStart"/>
      <w:r>
        <w:rPr>
          <w:rFonts w:ascii="Arial" w:eastAsia="Arial" w:hAnsi="Arial" w:cs="Arial"/>
          <w:color w:val="000000"/>
          <w:sz w:val="18"/>
          <w:szCs w:val="18"/>
        </w:rPr>
        <w:t>bifeniles</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polielorinados</w:t>
      </w:r>
      <w:proofErr w:type="spellEnd"/>
      <w:r>
        <w:rPr>
          <w:rFonts w:ascii="Arial" w:eastAsia="Arial" w:hAnsi="Arial" w:cs="Arial"/>
          <w:color w:val="000000"/>
          <w:sz w:val="18"/>
          <w:szCs w:val="18"/>
        </w:rPr>
        <w:t xml:space="preserve"> -un grupo de químicos altamente tóxicos. Los PCB son comúnmente hallados en los transformadores eléctricos que emplean aceite, </w:t>
      </w:r>
      <w:r w:rsidRPr="002C0AA2">
        <w:rPr>
          <w:rFonts w:ascii="Arial" w:eastAsia="Arial" w:hAnsi="Arial" w:cs="Arial"/>
          <w:color w:val="000000"/>
          <w:sz w:val="18"/>
          <w:szCs w:val="18"/>
        </w:rPr>
        <w:t>y</w:t>
      </w:r>
      <w:r>
        <w:rPr>
          <w:rFonts w:ascii="Arial" w:eastAsia="Arial" w:hAnsi="Arial" w:cs="Arial"/>
          <w:color w:val="000000"/>
          <w:sz w:val="18"/>
          <w:szCs w:val="18"/>
        </w:rPr>
        <w:t xml:space="preserve"> </w:t>
      </w:r>
      <w:r w:rsidRPr="002C0AA2">
        <w:rPr>
          <w:rFonts w:ascii="Arial" w:eastAsia="Arial" w:hAnsi="Arial" w:cs="Arial"/>
          <w:color w:val="000000"/>
          <w:sz w:val="18"/>
          <w:szCs w:val="18"/>
        </w:rPr>
        <w:t>en</w:t>
      </w:r>
      <w:r>
        <w:rPr>
          <w:rFonts w:ascii="Arial" w:eastAsia="Arial" w:hAnsi="Arial" w:cs="Arial"/>
          <w:color w:val="000000"/>
          <w:sz w:val="18"/>
          <w:szCs w:val="18"/>
        </w:rPr>
        <w:t xml:space="preserve"> los capacitadores y aditamentos eléctricos construidos entre 1950 y 1985.</w:t>
      </w:r>
    </w:p>
  </w:footnote>
  <w:footnote w:id="11">
    <w:p w14:paraId="40455BF0" w14:textId="3D4640AE" w:rsidR="00FA63C1" w:rsidRPr="009D525E" w:rsidRDefault="00FA63C1">
      <w:pPr>
        <w:keepNext/>
        <w:keepLines/>
        <w:pBdr>
          <w:top w:val="nil"/>
          <w:left w:val="nil"/>
          <w:bottom w:val="nil"/>
          <w:right w:val="nil"/>
          <w:between w:val="nil"/>
        </w:pBdr>
        <w:ind w:left="180" w:hanging="180"/>
        <w:jc w:val="both"/>
        <w:rPr>
          <w:rFonts w:ascii="Arial" w:eastAsia="Arial" w:hAnsi="Arial" w:cs="Arial"/>
          <w:color w:val="000000"/>
          <w:sz w:val="18"/>
          <w:szCs w:val="18"/>
          <w:lang w:val="en-US"/>
        </w:rPr>
      </w:pPr>
      <w:r w:rsidRPr="002C0AA2">
        <w:rPr>
          <w:rFonts w:ascii="Arial" w:hAnsi="Arial" w:cs="Arial"/>
          <w:sz w:val="18"/>
          <w:szCs w:val="18"/>
          <w:vertAlign w:val="superscript"/>
        </w:rPr>
        <w:footnoteRef/>
      </w:r>
      <w:r w:rsidRPr="009D525E">
        <w:rPr>
          <w:rFonts w:ascii="Arial" w:eastAsia="Arial" w:hAnsi="Arial" w:cs="Arial"/>
          <w:color w:val="000000"/>
          <w:sz w:val="18"/>
          <w:szCs w:val="18"/>
          <w:lang w:val="en-US"/>
        </w:rPr>
        <w:t xml:space="preserve"> </w:t>
      </w:r>
      <w:proofErr w:type="spellStart"/>
      <w:r w:rsidRPr="009D525E">
        <w:rPr>
          <w:rFonts w:ascii="Arial" w:eastAsia="Arial" w:hAnsi="Arial" w:cs="Arial"/>
          <w:color w:val="000000"/>
          <w:sz w:val="18"/>
          <w:szCs w:val="18"/>
          <w:lang w:val="en-US"/>
        </w:rPr>
        <w:t>Productos</w:t>
      </w:r>
      <w:proofErr w:type="spellEnd"/>
      <w:r w:rsidRPr="009D525E">
        <w:rPr>
          <w:rFonts w:ascii="Arial" w:eastAsia="Arial" w:hAnsi="Arial" w:cs="Arial"/>
          <w:color w:val="000000"/>
          <w:sz w:val="18"/>
          <w:szCs w:val="18"/>
          <w:lang w:val="en-US"/>
        </w:rPr>
        <w:t xml:space="preserve"> </w:t>
      </w:r>
      <w:proofErr w:type="spellStart"/>
      <w:r w:rsidRPr="009D525E">
        <w:rPr>
          <w:rFonts w:ascii="Arial" w:eastAsia="Arial" w:hAnsi="Arial" w:cs="Arial"/>
          <w:color w:val="000000"/>
          <w:sz w:val="18"/>
          <w:szCs w:val="18"/>
          <w:lang w:val="en-US"/>
        </w:rPr>
        <w:t>farmacéuticos</w:t>
      </w:r>
      <w:proofErr w:type="spellEnd"/>
      <w:r w:rsidRPr="009D525E">
        <w:rPr>
          <w:rFonts w:ascii="Arial" w:eastAsia="Arial" w:hAnsi="Arial" w:cs="Arial"/>
          <w:color w:val="000000"/>
          <w:sz w:val="18"/>
          <w:szCs w:val="18"/>
          <w:lang w:val="en-US"/>
        </w:rPr>
        <w:t xml:space="preserve"> </w:t>
      </w:r>
      <w:proofErr w:type="spellStart"/>
      <w:r w:rsidRPr="009D525E">
        <w:rPr>
          <w:rFonts w:ascii="Arial" w:eastAsia="Arial" w:hAnsi="Arial" w:cs="Arial"/>
          <w:color w:val="000000"/>
          <w:sz w:val="18"/>
          <w:szCs w:val="18"/>
          <w:lang w:val="en-US"/>
        </w:rPr>
        <w:t>incluidos</w:t>
      </w:r>
      <w:proofErr w:type="spellEnd"/>
      <w:r w:rsidRPr="009D525E">
        <w:rPr>
          <w:rFonts w:ascii="Arial" w:eastAsia="Arial" w:hAnsi="Arial" w:cs="Arial"/>
          <w:color w:val="000000"/>
          <w:sz w:val="18"/>
          <w:szCs w:val="18"/>
          <w:lang w:val="en-US"/>
        </w:rPr>
        <w:t xml:space="preserve"> </w:t>
      </w:r>
      <w:proofErr w:type="spellStart"/>
      <w:r w:rsidRPr="009D525E">
        <w:rPr>
          <w:rFonts w:ascii="Arial" w:eastAsia="Arial" w:hAnsi="Arial" w:cs="Arial"/>
          <w:color w:val="000000"/>
          <w:sz w:val="18"/>
          <w:szCs w:val="18"/>
          <w:lang w:val="en-US"/>
        </w:rPr>
        <w:t>en</w:t>
      </w:r>
      <w:proofErr w:type="spellEnd"/>
      <w:r w:rsidRPr="009D525E">
        <w:rPr>
          <w:rFonts w:ascii="Arial" w:eastAsia="Arial" w:hAnsi="Arial" w:cs="Arial"/>
          <w:color w:val="000000"/>
          <w:sz w:val="18"/>
          <w:szCs w:val="18"/>
          <w:lang w:val="en-US"/>
        </w:rPr>
        <w:t xml:space="preserve"> el </w:t>
      </w:r>
      <w:proofErr w:type="spellStart"/>
      <w:r w:rsidRPr="009D525E">
        <w:rPr>
          <w:rFonts w:ascii="Arial" w:eastAsia="Arial" w:hAnsi="Arial" w:cs="Arial"/>
          <w:color w:val="000000"/>
          <w:sz w:val="18"/>
          <w:szCs w:val="18"/>
          <w:lang w:val="en-US"/>
        </w:rPr>
        <w:t>libro</w:t>
      </w:r>
      <w:proofErr w:type="spellEnd"/>
      <w:r w:rsidRPr="009D525E">
        <w:rPr>
          <w:rFonts w:ascii="Arial" w:eastAsia="Arial" w:hAnsi="Arial" w:cs="Arial"/>
          <w:color w:val="000000"/>
          <w:sz w:val="18"/>
          <w:szCs w:val="18"/>
          <w:lang w:val="en-US"/>
        </w:rPr>
        <w:t xml:space="preserve"> </w:t>
      </w:r>
      <w:proofErr w:type="spellStart"/>
      <w:r w:rsidRPr="009D525E">
        <w:rPr>
          <w:rFonts w:ascii="Arial" w:eastAsia="Arial" w:hAnsi="Arial" w:cs="Arial"/>
          <w:color w:val="000000"/>
          <w:sz w:val="18"/>
          <w:szCs w:val="18"/>
          <w:lang w:val="en-US"/>
        </w:rPr>
        <w:t>titulado</w:t>
      </w:r>
      <w:proofErr w:type="spellEnd"/>
      <w:r w:rsidRPr="009D525E">
        <w:rPr>
          <w:rFonts w:ascii="Arial" w:eastAsia="Arial" w:hAnsi="Arial" w:cs="Arial"/>
          <w:color w:val="000000"/>
          <w:sz w:val="18"/>
          <w:szCs w:val="18"/>
          <w:lang w:val="en-US"/>
        </w:rPr>
        <w:t xml:space="preserve"> United Nations, Banned Products: Consolidated List of Products Whose Consumption and/or Sale Have Been Banned, Withdrawn, Severely Restricted or no, Approved by Governments) </w:t>
      </w:r>
      <w:proofErr w:type="spellStart"/>
      <w:r w:rsidRPr="009D525E">
        <w:rPr>
          <w:rFonts w:ascii="Arial" w:eastAsia="Arial" w:hAnsi="Arial" w:cs="Arial"/>
          <w:color w:val="000000"/>
          <w:sz w:val="18"/>
          <w:szCs w:val="18"/>
          <w:lang w:val="en-US"/>
        </w:rPr>
        <w:t>última</w:t>
      </w:r>
      <w:proofErr w:type="spellEnd"/>
      <w:r w:rsidRPr="009D525E">
        <w:rPr>
          <w:rFonts w:ascii="Arial" w:eastAsia="Arial" w:hAnsi="Arial" w:cs="Arial"/>
          <w:color w:val="000000"/>
          <w:sz w:val="18"/>
          <w:szCs w:val="18"/>
          <w:lang w:val="en-US"/>
        </w:rPr>
        <w:t xml:space="preserve"> </w:t>
      </w:r>
      <w:proofErr w:type="spellStart"/>
      <w:r w:rsidRPr="009D525E">
        <w:rPr>
          <w:rFonts w:ascii="Arial" w:eastAsia="Arial" w:hAnsi="Arial" w:cs="Arial"/>
          <w:color w:val="000000"/>
          <w:sz w:val="18"/>
          <w:szCs w:val="18"/>
          <w:lang w:val="en-US"/>
        </w:rPr>
        <w:t>versión</w:t>
      </w:r>
      <w:proofErr w:type="spellEnd"/>
      <w:r w:rsidRPr="009D525E">
        <w:rPr>
          <w:rFonts w:ascii="Arial" w:eastAsia="Arial" w:hAnsi="Arial" w:cs="Arial"/>
          <w:color w:val="000000"/>
          <w:sz w:val="18"/>
          <w:szCs w:val="18"/>
          <w:lang w:val="en-US"/>
        </w:rPr>
        <w:t xml:space="preserve"> 2003</w:t>
      </w:r>
    </w:p>
  </w:footnote>
  <w:footnote w:id="12">
    <w:p w14:paraId="3FE4D516" w14:textId="4B2C2C27" w:rsidR="00FA63C1" w:rsidRDefault="00FA63C1">
      <w:pPr>
        <w:keepNext/>
        <w:keepLines/>
        <w:pBdr>
          <w:top w:val="nil"/>
          <w:left w:val="nil"/>
          <w:bottom w:val="nil"/>
          <w:right w:val="nil"/>
          <w:between w:val="nil"/>
        </w:pBdr>
        <w:ind w:left="180" w:hanging="180"/>
        <w:jc w:val="both"/>
        <w:rPr>
          <w:rFonts w:ascii="Arial" w:eastAsia="Arial" w:hAnsi="Arial" w:cs="Arial"/>
          <w:color w:val="000000"/>
          <w:sz w:val="18"/>
          <w:szCs w:val="18"/>
        </w:rPr>
      </w:pPr>
      <w:r w:rsidRPr="002C0AA2">
        <w:rPr>
          <w:rFonts w:ascii="Arial" w:hAnsi="Arial" w:cs="Arial"/>
          <w:sz w:val="18"/>
          <w:szCs w:val="18"/>
          <w:vertAlign w:val="superscript"/>
        </w:rPr>
        <w:footnoteRef/>
      </w:r>
      <w:r>
        <w:rPr>
          <w:rFonts w:ascii="Arial" w:eastAsia="Arial" w:hAnsi="Arial" w:cs="Arial"/>
          <w:color w:val="000000"/>
          <w:sz w:val="18"/>
          <w:szCs w:val="18"/>
        </w:rPr>
        <w:t xml:space="preserve"> Pesticidas y Herbicidas incluidos en el Convenio de Rotterdam (www.wipo.int) y el Convenio de Estocolmo (www.wipo.int).</w:t>
      </w:r>
    </w:p>
  </w:footnote>
  <w:footnote w:id="13">
    <w:p w14:paraId="48CF9119" w14:textId="77777777" w:rsidR="00FA63C1" w:rsidRDefault="00FA63C1">
      <w:pPr>
        <w:keepNext/>
        <w:keepLines/>
        <w:pBdr>
          <w:top w:val="nil"/>
          <w:left w:val="nil"/>
          <w:bottom w:val="nil"/>
          <w:right w:val="nil"/>
          <w:between w:val="nil"/>
        </w:pBdr>
        <w:ind w:left="180" w:hanging="180"/>
        <w:jc w:val="both"/>
        <w:rPr>
          <w:rFonts w:ascii="Arial" w:eastAsia="Arial" w:hAnsi="Arial" w:cs="Arial"/>
          <w:color w:val="000000"/>
          <w:sz w:val="18"/>
          <w:szCs w:val="18"/>
        </w:rPr>
      </w:pPr>
      <w:r w:rsidRPr="002C0AA2">
        <w:rPr>
          <w:rFonts w:ascii="Arial" w:hAnsi="Arial" w:cs="Arial"/>
          <w:sz w:val="18"/>
          <w:szCs w:val="18"/>
          <w:vertAlign w:val="superscript"/>
        </w:rPr>
        <w:footnoteRef/>
      </w:r>
      <w:r>
        <w:rPr>
          <w:rFonts w:ascii="Arial" w:eastAsia="Arial" w:hAnsi="Arial" w:cs="Arial"/>
          <w:color w:val="000000"/>
          <w:sz w:val="18"/>
          <w:szCs w:val="18"/>
        </w:rPr>
        <w:t xml:space="preserve"> Definidos por el Convenio Internacional sobre la reducción o eliminación de los contaminantes orgánicos persistentes (POP) (septiembre de 1999) e incluyen actualmente los pesticidas </w:t>
      </w:r>
      <w:proofErr w:type="spellStart"/>
      <w:r>
        <w:rPr>
          <w:rFonts w:ascii="Arial" w:eastAsia="Arial" w:hAnsi="Arial" w:cs="Arial"/>
          <w:color w:val="000000"/>
          <w:sz w:val="18"/>
          <w:szCs w:val="18"/>
        </w:rPr>
        <w:t>aldrina</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clordano</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dieldrina</w:t>
      </w:r>
      <w:proofErr w:type="spellEnd"/>
      <w:r>
        <w:rPr>
          <w:rFonts w:ascii="Arial" w:eastAsia="Arial" w:hAnsi="Arial" w:cs="Arial"/>
          <w:color w:val="000000"/>
          <w:sz w:val="18"/>
          <w:szCs w:val="18"/>
        </w:rPr>
        <w:t xml:space="preserve">, endrina, </w:t>
      </w:r>
      <w:proofErr w:type="spellStart"/>
      <w:r>
        <w:rPr>
          <w:rFonts w:ascii="Arial" w:eastAsia="Arial" w:hAnsi="Arial" w:cs="Arial"/>
          <w:color w:val="000000"/>
          <w:sz w:val="18"/>
          <w:szCs w:val="18"/>
        </w:rPr>
        <w:t>heptacloro</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mirex</w:t>
      </w:r>
      <w:proofErr w:type="spellEnd"/>
      <w:r>
        <w:rPr>
          <w:rFonts w:ascii="Arial" w:eastAsia="Arial" w:hAnsi="Arial" w:cs="Arial"/>
          <w:color w:val="000000"/>
          <w:sz w:val="18"/>
          <w:szCs w:val="18"/>
        </w:rPr>
        <w:t xml:space="preserve"> y </w:t>
      </w:r>
      <w:proofErr w:type="spellStart"/>
      <w:r>
        <w:rPr>
          <w:rFonts w:ascii="Arial" w:eastAsia="Arial" w:hAnsi="Arial" w:cs="Arial"/>
          <w:color w:val="000000"/>
          <w:sz w:val="18"/>
          <w:szCs w:val="18"/>
        </w:rPr>
        <w:t>toxafeno</w:t>
      </w:r>
      <w:proofErr w:type="spellEnd"/>
      <w:r>
        <w:rPr>
          <w:rFonts w:ascii="Arial" w:eastAsia="Arial" w:hAnsi="Arial" w:cs="Arial"/>
          <w:color w:val="000000"/>
          <w:sz w:val="18"/>
          <w:szCs w:val="18"/>
        </w:rPr>
        <w:t xml:space="preserve">, así como el compuesto químico industrial </w:t>
      </w:r>
      <w:proofErr w:type="spellStart"/>
      <w:r>
        <w:rPr>
          <w:rFonts w:ascii="Arial" w:eastAsia="Arial" w:hAnsi="Arial" w:cs="Arial"/>
          <w:color w:val="000000"/>
          <w:sz w:val="18"/>
          <w:szCs w:val="18"/>
        </w:rPr>
        <w:t>clorobenceno</w:t>
      </w:r>
      <w:proofErr w:type="spellEnd"/>
      <w:r>
        <w:rPr>
          <w:rFonts w:ascii="Arial" w:eastAsia="Arial" w:hAnsi="Arial" w:cs="Arial"/>
          <w:color w:val="000000"/>
          <w:sz w:val="18"/>
          <w:szCs w:val="18"/>
        </w:rPr>
        <w:t xml:space="preserve"> (</w:t>
      </w:r>
      <w:hyperlink r:id="rId1">
        <w:r>
          <w:rPr>
            <w:rFonts w:ascii="Arial" w:eastAsia="Arial" w:hAnsi="Arial" w:cs="Arial"/>
            <w:color w:val="0000FF"/>
            <w:sz w:val="18"/>
            <w:szCs w:val="18"/>
            <w:u w:val="single"/>
          </w:rPr>
          <w:t>www.pops.int/</w:t>
        </w:r>
      </w:hyperlink>
      <w:r>
        <w:rPr>
          <w:rFonts w:ascii="Arial" w:eastAsia="Arial" w:hAnsi="Arial" w:cs="Arial"/>
          <w:color w:val="000000"/>
          <w:sz w:val="18"/>
          <w:szCs w:val="18"/>
        </w:rPr>
        <w:t>)</w:t>
      </w:r>
    </w:p>
  </w:footnote>
  <w:footnote w:id="14">
    <w:p w14:paraId="5DFE3955" w14:textId="77777777" w:rsidR="00FA63C1" w:rsidRDefault="00FA63C1">
      <w:pPr>
        <w:keepNext/>
        <w:keepLines/>
        <w:pBdr>
          <w:top w:val="nil"/>
          <w:left w:val="nil"/>
          <w:bottom w:val="nil"/>
          <w:right w:val="nil"/>
          <w:between w:val="nil"/>
        </w:pBdr>
        <w:ind w:left="180" w:hanging="180"/>
        <w:jc w:val="both"/>
        <w:rPr>
          <w:rFonts w:ascii="Arial" w:eastAsia="Arial" w:hAnsi="Arial" w:cs="Arial"/>
          <w:color w:val="000000"/>
          <w:sz w:val="18"/>
          <w:szCs w:val="18"/>
        </w:rPr>
      </w:pPr>
      <w:r w:rsidRPr="002C0AA2">
        <w:rPr>
          <w:rFonts w:ascii="Arial" w:hAnsi="Arial" w:cs="Arial"/>
          <w:sz w:val="18"/>
          <w:szCs w:val="18"/>
          <w:vertAlign w:val="superscript"/>
        </w:rPr>
        <w:footnoteRef/>
      </w:r>
      <w:r>
        <w:rPr>
          <w:rFonts w:ascii="Arial" w:eastAsia="Arial" w:hAnsi="Arial" w:cs="Arial"/>
          <w:color w:val="000000"/>
          <w:sz w:val="18"/>
          <w:szCs w:val="18"/>
        </w:rPr>
        <w:t xml:space="preserve"> DS son Substancias que Dañan la capa de Ozono: Compuestos químicos que reaccionan con y dañan la capa de ozono estratosférico, que causan los ampliamente publicitados 'huecos en la capa de ozono'. El Protocolo de Montreal menciona los ODS y su reducción meta y fechas límite para su reducción y eliminación gradual. Entre los ODS reglamentados por el Protocolo de Montreal figuran los aerosoles, refrigerantes, agentes espumantes, solventes y agentes que protegen contra incendios. (https://www.undp.org/content/undp/en/home/2030-agenda-for-sustainable-development/planet/environment-and-natural-capital/montreal-protocol.html).</w:t>
      </w:r>
    </w:p>
  </w:footnote>
  <w:footnote w:id="15">
    <w:p w14:paraId="7CEA5621" w14:textId="77777777" w:rsidR="00FA63C1" w:rsidRDefault="00FA63C1">
      <w:pPr>
        <w:keepNext/>
        <w:keepLines/>
        <w:pBdr>
          <w:top w:val="nil"/>
          <w:left w:val="nil"/>
          <w:bottom w:val="nil"/>
          <w:right w:val="nil"/>
          <w:between w:val="nil"/>
        </w:pBdr>
        <w:ind w:left="180" w:hanging="180"/>
        <w:jc w:val="both"/>
        <w:rPr>
          <w:rFonts w:ascii="Arial" w:eastAsia="Arial" w:hAnsi="Arial" w:cs="Arial"/>
          <w:color w:val="000000"/>
          <w:sz w:val="18"/>
          <w:szCs w:val="18"/>
        </w:rPr>
      </w:pPr>
      <w:r w:rsidRPr="002C0AA2">
        <w:rPr>
          <w:rFonts w:ascii="Arial" w:hAnsi="Arial" w:cs="Arial"/>
          <w:sz w:val="18"/>
          <w:szCs w:val="18"/>
          <w:vertAlign w:val="superscript"/>
        </w:rPr>
        <w:footnoteRef/>
      </w:r>
      <w:r>
        <w:rPr>
          <w:rFonts w:ascii="Arial" w:eastAsia="Arial" w:hAnsi="Arial" w:cs="Arial"/>
          <w:color w:val="000000"/>
          <w:sz w:val="18"/>
          <w:szCs w:val="18"/>
        </w:rPr>
        <w:t xml:space="preserve"> Definido en el Convenio de Basilea (www.basel.int)</w:t>
      </w:r>
    </w:p>
  </w:footnote>
  <w:footnote w:id="16">
    <w:p w14:paraId="44F7318A" w14:textId="77777777" w:rsidR="00FA63C1" w:rsidRDefault="00FA63C1">
      <w:pPr>
        <w:keepNext/>
        <w:keepLines/>
        <w:pBdr>
          <w:top w:val="nil"/>
          <w:left w:val="nil"/>
          <w:bottom w:val="nil"/>
          <w:right w:val="nil"/>
          <w:between w:val="nil"/>
        </w:pBdr>
        <w:ind w:left="180" w:hanging="180"/>
        <w:jc w:val="both"/>
        <w:rPr>
          <w:rFonts w:ascii="Arial" w:eastAsia="Arial" w:hAnsi="Arial" w:cs="Arial"/>
          <w:color w:val="000000"/>
          <w:sz w:val="18"/>
          <w:szCs w:val="18"/>
        </w:rPr>
      </w:pPr>
      <w:r w:rsidRPr="002C0AA2">
        <w:rPr>
          <w:rFonts w:ascii="Arial" w:hAnsi="Arial" w:cs="Arial"/>
          <w:sz w:val="18"/>
          <w:szCs w:val="18"/>
          <w:vertAlign w:val="superscript"/>
        </w:rPr>
        <w:footnoteRef/>
      </w:r>
      <w:r>
        <w:rPr>
          <w:rFonts w:ascii="Arial" w:eastAsia="Arial" w:hAnsi="Arial" w:cs="Arial"/>
          <w:color w:val="000000"/>
          <w:sz w:val="18"/>
          <w:szCs w:val="18"/>
        </w:rPr>
        <w:t xml:space="preserve"> Por principios fundamentales de los trabajadores y de los derechos en el trabajo se entiende (i) libertad de asociación y el reconocimiento efectivo del derecho a la negociación colectiva; (</w:t>
      </w:r>
      <w:proofErr w:type="spellStart"/>
      <w:r>
        <w:rPr>
          <w:rFonts w:ascii="Arial" w:eastAsia="Arial" w:hAnsi="Arial" w:cs="Arial"/>
          <w:color w:val="000000"/>
          <w:sz w:val="18"/>
          <w:szCs w:val="18"/>
        </w:rPr>
        <w:t>ii</w:t>
      </w:r>
      <w:proofErr w:type="spellEnd"/>
      <w:r>
        <w:rPr>
          <w:rFonts w:ascii="Arial" w:eastAsia="Arial" w:hAnsi="Arial" w:cs="Arial"/>
          <w:color w:val="000000"/>
          <w:sz w:val="18"/>
          <w:szCs w:val="18"/>
        </w:rPr>
        <w:t>) prohibición de todas las formas de trabajo forzoso u obligatorio; (</w:t>
      </w:r>
      <w:proofErr w:type="spellStart"/>
      <w:r>
        <w:rPr>
          <w:rFonts w:ascii="Arial" w:eastAsia="Arial" w:hAnsi="Arial" w:cs="Arial"/>
          <w:color w:val="000000"/>
          <w:sz w:val="18"/>
          <w:szCs w:val="18"/>
        </w:rPr>
        <w:t>iii</w:t>
      </w:r>
      <w:proofErr w:type="spellEnd"/>
      <w:r>
        <w:rPr>
          <w:rFonts w:ascii="Arial" w:eastAsia="Arial" w:hAnsi="Arial" w:cs="Arial"/>
          <w:color w:val="000000"/>
          <w:sz w:val="18"/>
          <w:szCs w:val="18"/>
        </w:rPr>
        <w:t>) prohibición del trabajo infantil, incluida, sin limitaciones, la prohibición de que los menores de 18 años trabajen en condiciones peligrosas (lo cual contempla las actividades de construcción), la prohibición de trabajar por la noche para los menores de 18 años y que las personas menores de 18 años sean encontradas aptas para trabajar luego de haberse realizado exámenes médicos; (</w:t>
      </w:r>
      <w:proofErr w:type="spellStart"/>
      <w:r>
        <w:rPr>
          <w:rFonts w:ascii="Arial" w:eastAsia="Arial" w:hAnsi="Arial" w:cs="Arial"/>
          <w:color w:val="000000"/>
          <w:sz w:val="18"/>
          <w:szCs w:val="18"/>
        </w:rPr>
        <w:t>iv</w:t>
      </w:r>
      <w:proofErr w:type="spellEnd"/>
      <w:r>
        <w:rPr>
          <w:rFonts w:ascii="Arial" w:eastAsia="Arial" w:hAnsi="Arial" w:cs="Arial"/>
          <w:color w:val="000000"/>
          <w:sz w:val="18"/>
          <w:szCs w:val="18"/>
        </w:rPr>
        <w:t xml:space="preserve">) eliminación de la discriminación con respecto al empleo y la ocupación, definiéndose discriminación toda distinción, exclusión o preferencia basada en motivos de raza, color, sexo, religión, opinión política, ascendencia nacional u origen social. (Organización Internacional del Trabajo: www.ilo.org. </w:t>
      </w:r>
    </w:p>
    <w:p w14:paraId="5A345738" w14:textId="77777777" w:rsidR="00FA63C1" w:rsidRPr="002C0AA2" w:rsidRDefault="00FA63C1">
      <w:pPr>
        <w:keepNext/>
        <w:keepLines/>
        <w:pBdr>
          <w:top w:val="nil"/>
          <w:left w:val="nil"/>
          <w:bottom w:val="nil"/>
          <w:right w:val="nil"/>
          <w:between w:val="nil"/>
        </w:pBdr>
        <w:ind w:left="180" w:hanging="180"/>
        <w:jc w:val="both"/>
        <w:rPr>
          <w:rFonts w:ascii="Arial" w:hAnsi="Arial" w:cs="Arial"/>
          <w:color w:val="000000"/>
          <w:sz w:val="18"/>
          <w:szCs w:val="18"/>
        </w:rPr>
      </w:pPr>
      <w:r>
        <w:rPr>
          <w:rFonts w:ascii="Arial" w:eastAsia="Arial" w:hAnsi="Arial" w:cs="Arial"/>
          <w:color w:val="000000"/>
          <w:sz w:val="18"/>
          <w:szCs w:val="18"/>
          <w:vertAlign w:val="superscript"/>
        </w:rPr>
        <w:t>14</w:t>
      </w:r>
      <w:r>
        <w:rPr>
          <w:rFonts w:ascii="Arial" w:eastAsia="Arial" w:hAnsi="Arial" w:cs="Arial"/>
          <w:color w:val="000000"/>
          <w:sz w:val="18"/>
          <w:szCs w:val="18"/>
        </w:rPr>
        <w:t xml:space="preserve"> </w:t>
      </w:r>
      <w:proofErr w:type="gramStart"/>
      <w:r>
        <w:rPr>
          <w:rFonts w:ascii="Arial" w:eastAsia="Arial" w:hAnsi="Arial" w:cs="Arial"/>
          <w:color w:val="000000"/>
          <w:sz w:val="18"/>
          <w:szCs w:val="18"/>
        </w:rPr>
        <w:t>Sitios</w:t>
      </w:r>
      <w:proofErr w:type="gramEnd"/>
      <w:r>
        <w:rPr>
          <w:rFonts w:ascii="Arial" w:eastAsia="Arial" w:hAnsi="Arial" w:cs="Arial"/>
          <w:color w:val="000000"/>
          <w:sz w:val="18"/>
          <w:szCs w:val="18"/>
        </w:rPr>
        <w:t xml:space="preserve"> culturales críticos incluyen sin limitarse a ello las áreas protegidas (o propuestas oficialmente por el Gobierno para protección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50820" w14:textId="77777777" w:rsidR="00FA63C1" w:rsidRDefault="00FA63C1">
    <w:pPr>
      <w:pBdr>
        <w:top w:val="nil"/>
        <w:left w:val="nil"/>
        <w:bottom w:val="nil"/>
        <w:right w:val="nil"/>
        <w:between w:val="nil"/>
      </w:pBdr>
      <w:tabs>
        <w:tab w:val="center" w:pos="4320"/>
        <w:tab w:val="right" w:pos="8640"/>
      </w:tabs>
      <w:jc w:val="center"/>
      <w:rPr>
        <w:color w:val="000000"/>
      </w:rPr>
    </w:pPr>
    <w:r>
      <w:rPr>
        <w:color w:val="00000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E9138" w14:textId="77777777" w:rsidR="00FA63C1" w:rsidRDefault="00FA63C1">
    <w:pPr>
      <w:widowControl w:val="0"/>
      <w:pBdr>
        <w:top w:val="nil"/>
        <w:left w:val="nil"/>
        <w:bottom w:val="nil"/>
        <w:right w:val="nil"/>
        <w:between w:val="nil"/>
      </w:pBdr>
      <w:spacing w:line="276" w:lineRule="auto"/>
      <w:rPr>
        <w:color w:val="000000"/>
      </w:rPr>
    </w:pPr>
  </w:p>
  <w:tbl>
    <w:tblPr>
      <w:tblW w:w="8640" w:type="dxa"/>
      <w:tblLayout w:type="fixed"/>
      <w:tblCellMar>
        <w:left w:w="115" w:type="dxa"/>
        <w:right w:w="115" w:type="dxa"/>
      </w:tblCellMar>
      <w:tblLook w:val="0600" w:firstRow="0" w:lastRow="0" w:firstColumn="0" w:lastColumn="0" w:noHBand="1" w:noVBand="1"/>
    </w:tblPr>
    <w:tblGrid>
      <w:gridCol w:w="2880"/>
      <w:gridCol w:w="2880"/>
      <w:gridCol w:w="2880"/>
    </w:tblGrid>
    <w:tr w:rsidR="00FA63C1" w14:paraId="408C21B2" w14:textId="77777777">
      <w:tc>
        <w:tcPr>
          <w:tcW w:w="2880" w:type="dxa"/>
        </w:tcPr>
        <w:p w14:paraId="63D5CCD6" w14:textId="77777777" w:rsidR="00FA63C1" w:rsidRDefault="00FA63C1">
          <w:pPr>
            <w:pBdr>
              <w:top w:val="nil"/>
              <w:left w:val="nil"/>
              <w:bottom w:val="nil"/>
              <w:right w:val="nil"/>
              <w:between w:val="nil"/>
            </w:pBdr>
            <w:tabs>
              <w:tab w:val="center" w:pos="4320"/>
              <w:tab w:val="right" w:pos="8640"/>
            </w:tabs>
            <w:ind w:left="-115"/>
            <w:rPr>
              <w:color w:val="000000"/>
            </w:rPr>
          </w:pPr>
        </w:p>
      </w:tc>
      <w:tc>
        <w:tcPr>
          <w:tcW w:w="2880" w:type="dxa"/>
        </w:tcPr>
        <w:p w14:paraId="1C201021" w14:textId="77777777" w:rsidR="00FA63C1" w:rsidRDefault="00FA63C1">
          <w:pPr>
            <w:pBdr>
              <w:top w:val="nil"/>
              <w:left w:val="nil"/>
              <w:bottom w:val="nil"/>
              <w:right w:val="nil"/>
              <w:between w:val="nil"/>
            </w:pBdr>
            <w:tabs>
              <w:tab w:val="center" w:pos="4320"/>
              <w:tab w:val="right" w:pos="8640"/>
            </w:tabs>
            <w:jc w:val="center"/>
            <w:rPr>
              <w:color w:val="000000"/>
            </w:rPr>
          </w:pPr>
        </w:p>
      </w:tc>
      <w:tc>
        <w:tcPr>
          <w:tcW w:w="2880" w:type="dxa"/>
        </w:tcPr>
        <w:p w14:paraId="15177910" w14:textId="77777777" w:rsidR="00FA63C1" w:rsidRDefault="00FA63C1">
          <w:pPr>
            <w:pBdr>
              <w:top w:val="nil"/>
              <w:left w:val="nil"/>
              <w:bottom w:val="nil"/>
              <w:right w:val="nil"/>
              <w:between w:val="nil"/>
            </w:pBdr>
            <w:tabs>
              <w:tab w:val="center" w:pos="4320"/>
              <w:tab w:val="right" w:pos="8640"/>
            </w:tabs>
            <w:ind w:right="-115"/>
            <w:jc w:val="right"/>
            <w:rPr>
              <w:color w:val="000000"/>
            </w:rPr>
          </w:pPr>
        </w:p>
      </w:tc>
    </w:tr>
  </w:tbl>
  <w:p w14:paraId="5AF57D0F" w14:textId="77777777" w:rsidR="00FA63C1" w:rsidRDefault="00FA63C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B1DF0" w14:textId="77777777" w:rsidR="00FA63C1" w:rsidRDefault="00FA63C1">
    <w:pPr>
      <w:widowControl w:val="0"/>
      <w:pBdr>
        <w:top w:val="nil"/>
        <w:left w:val="nil"/>
        <w:bottom w:val="nil"/>
        <w:right w:val="nil"/>
        <w:between w:val="nil"/>
      </w:pBdr>
      <w:spacing w:line="276" w:lineRule="auto"/>
      <w:rPr>
        <w:color w:val="000000"/>
      </w:rPr>
    </w:pPr>
  </w:p>
  <w:tbl>
    <w:tblPr>
      <w:tblW w:w="8640" w:type="dxa"/>
      <w:tblLayout w:type="fixed"/>
      <w:tblCellMar>
        <w:left w:w="115" w:type="dxa"/>
        <w:right w:w="115" w:type="dxa"/>
      </w:tblCellMar>
      <w:tblLook w:val="0600" w:firstRow="0" w:lastRow="0" w:firstColumn="0" w:lastColumn="0" w:noHBand="1" w:noVBand="1"/>
    </w:tblPr>
    <w:tblGrid>
      <w:gridCol w:w="2880"/>
      <w:gridCol w:w="2880"/>
      <w:gridCol w:w="2880"/>
    </w:tblGrid>
    <w:tr w:rsidR="00FA63C1" w14:paraId="1670C604" w14:textId="77777777">
      <w:tc>
        <w:tcPr>
          <w:tcW w:w="2880" w:type="dxa"/>
        </w:tcPr>
        <w:p w14:paraId="528871C7" w14:textId="77777777" w:rsidR="00FA63C1" w:rsidRDefault="00FA63C1">
          <w:pPr>
            <w:pBdr>
              <w:top w:val="nil"/>
              <w:left w:val="nil"/>
              <w:bottom w:val="nil"/>
              <w:right w:val="nil"/>
              <w:between w:val="nil"/>
            </w:pBdr>
            <w:tabs>
              <w:tab w:val="center" w:pos="4320"/>
              <w:tab w:val="right" w:pos="8640"/>
            </w:tabs>
            <w:ind w:left="-115"/>
            <w:rPr>
              <w:color w:val="000000"/>
            </w:rPr>
          </w:pPr>
        </w:p>
      </w:tc>
      <w:tc>
        <w:tcPr>
          <w:tcW w:w="2880" w:type="dxa"/>
        </w:tcPr>
        <w:p w14:paraId="5781C738" w14:textId="77777777" w:rsidR="00FA63C1" w:rsidRDefault="00FA63C1">
          <w:pPr>
            <w:pBdr>
              <w:top w:val="nil"/>
              <w:left w:val="nil"/>
              <w:bottom w:val="nil"/>
              <w:right w:val="nil"/>
              <w:between w:val="nil"/>
            </w:pBdr>
            <w:tabs>
              <w:tab w:val="center" w:pos="4320"/>
              <w:tab w:val="right" w:pos="8640"/>
            </w:tabs>
            <w:jc w:val="center"/>
            <w:rPr>
              <w:color w:val="000000"/>
            </w:rPr>
          </w:pPr>
        </w:p>
      </w:tc>
      <w:tc>
        <w:tcPr>
          <w:tcW w:w="2880" w:type="dxa"/>
        </w:tcPr>
        <w:p w14:paraId="28C486B6" w14:textId="77777777" w:rsidR="00FA63C1" w:rsidRDefault="00FA63C1">
          <w:pPr>
            <w:pBdr>
              <w:top w:val="nil"/>
              <w:left w:val="nil"/>
              <w:bottom w:val="nil"/>
              <w:right w:val="nil"/>
              <w:between w:val="nil"/>
            </w:pBdr>
            <w:tabs>
              <w:tab w:val="center" w:pos="4320"/>
              <w:tab w:val="right" w:pos="8640"/>
            </w:tabs>
            <w:ind w:right="-115"/>
            <w:jc w:val="right"/>
            <w:rPr>
              <w:color w:val="000000"/>
            </w:rPr>
          </w:pPr>
        </w:p>
      </w:tc>
    </w:tr>
  </w:tbl>
  <w:p w14:paraId="7F694F61" w14:textId="77777777" w:rsidR="00FA63C1" w:rsidRDefault="00FA63C1">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2599" w14:textId="77777777" w:rsidR="00FA63C1" w:rsidRDefault="00FA63C1">
    <w:pPr>
      <w:widowControl w:val="0"/>
      <w:pBdr>
        <w:top w:val="nil"/>
        <w:left w:val="nil"/>
        <w:bottom w:val="nil"/>
        <w:right w:val="nil"/>
        <w:between w:val="nil"/>
      </w:pBdr>
      <w:spacing w:line="276" w:lineRule="auto"/>
      <w:rPr>
        <w:color w:val="000000"/>
      </w:rPr>
    </w:pPr>
  </w:p>
  <w:tbl>
    <w:tblPr>
      <w:tblW w:w="8640" w:type="dxa"/>
      <w:tblLayout w:type="fixed"/>
      <w:tblCellMar>
        <w:left w:w="115" w:type="dxa"/>
        <w:right w:w="115" w:type="dxa"/>
      </w:tblCellMar>
      <w:tblLook w:val="0600" w:firstRow="0" w:lastRow="0" w:firstColumn="0" w:lastColumn="0" w:noHBand="1" w:noVBand="1"/>
    </w:tblPr>
    <w:tblGrid>
      <w:gridCol w:w="2880"/>
      <w:gridCol w:w="2880"/>
      <w:gridCol w:w="2880"/>
    </w:tblGrid>
    <w:tr w:rsidR="00FA63C1" w14:paraId="054E6170" w14:textId="77777777">
      <w:tc>
        <w:tcPr>
          <w:tcW w:w="2880" w:type="dxa"/>
        </w:tcPr>
        <w:p w14:paraId="072B30EF" w14:textId="77777777" w:rsidR="00FA63C1" w:rsidRDefault="00FA63C1">
          <w:pPr>
            <w:pBdr>
              <w:top w:val="nil"/>
              <w:left w:val="nil"/>
              <w:bottom w:val="nil"/>
              <w:right w:val="nil"/>
              <w:between w:val="nil"/>
            </w:pBdr>
            <w:tabs>
              <w:tab w:val="center" w:pos="4320"/>
              <w:tab w:val="right" w:pos="8640"/>
            </w:tabs>
            <w:ind w:left="-115"/>
            <w:rPr>
              <w:color w:val="000000"/>
            </w:rPr>
          </w:pPr>
        </w:p>
      </w:tc>
      <w:tc>
        <w:tcPr>
          <w:tcW w:w="2880" w:type="dxa"/>
        </w:tcPr>
        <w:p w14:paraId="1F00E5D7" w14:textId="77777777" w:rsidR="00FA63C1" w:rsidRDefault="00FA63C1">
          <w:pPr>
            <w:pBdr>
              <w:top w:val="nil"/>
              <w:left w:val="nil"/>
              <w:bottom w:val="nil"/>
              <w:right w:val="nil"/>
              <w:between w:val="nil"/>
            </w:pBdr>
            <w:tabs>
              <w:tab w:val="center" w:pos="4320"/>
              <w:tab w:val="right" w:pos="8640"/>
            </w:tabs>
            <w:jc w:val="center"/>
            <w:rPr>
              <w:color w:val="000000"/>
            </w:rPr>
          </w:pPr>
        </w:p>
      </w:tc>
      <w:tc>
        <w:tcPr>
          <w:tcW w:w="2880" w:type="dxa"/>
        </w:tcPr>
        <w:p w14:paraId="007E389C" w14:textId="77777777" w:rsidR="00FA63C1" w:rsidRDefault="00FA63C1">
          <w:pPr>
            <w:pBdr>
              <w:top w:val="nil"/>
              <w:left w:val="nil"/>
              <w:bottom w:val="nil"/>
              <w:right w:val="nil"/>
              <w:between w:val="nil"/>
            </w:pBdr>
            <w:tabs>
              <w:tab w:val="center" w:pos="4320"/>
              <w:tab w:val="right" w:pos="8640"/>
            </w:tabs>
            <w:ind w:right="-115"/>
            <w:jc w:val="right"/>
            <w:rPr>
              <w:color w:val="000000"/>
            </w:rPr>
          </w:pPr>
        </w:p>
      </w:tc>
    </w:tr>
  </w:tbl>
  <w:p w14:paraId="2AFCB1F9" w14:textId="77777777" w:rsidR="00FA63C1" w:rsidRDefault="00FA63C1">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497D" w14:textId="77777777" w:rsidR="00FA63C1" w:rsidRDefault="00FA63C1">
    <w:pPr>
      <w:widowControl w:val="0"/>
      <w:pBdr>
        <w:top w:val="nil"/>
        <w:left w:val="nil"/>
        <w:bottom w:val="nil"/>
        <w:right w:val="nil"/>
        <w:between w:val="nil"/>
      </w:pBdr>
      <w:spacing w:line="276" w:lineRule="auto"/>
      <w:rPr>
        <w:color w:val="000000"/>
      </w:rPr>
    </w:pPr>
  </w:p>
  <w:tbl>
    <w:tblPr>
      <w:tblW w:w="8640" w:type="dxa"/>
      <w:tblLayout w:type="fixed"/>
      <w:tblCellMar>
        <w:left w:w="115" w:type="dxa"/>
        <w:right w:w="115" w:type="dxa"/>
      </w:tblCellMar>
      <w:tblLook w:val="0600" w:firstRow="0" w:lastRow="0" w:firstColumn="0" w:lastColumn="0" w:noHBand="1" w:noVBand="1"/>
    </w:tblPr>
    <w:tblGrid>
      <w:gridCol w:w="2880"/>
      <w:gridCol w:w="2880"/>
      <w:gridCol w:w="2880"/>
    </w:tblGrid>
    <w:tr w:rsidR="00FA63C1" w14:paraId="7D2FE831" w14:textId="77777777">
      <w:tc>
        <w:tcPr>
          <w:tcW w:w="2880" w:type="dxa"/>
        </w:tcPr>
        <w:p w14:paraId="0F19239E" w14:textId="77777777" w:rsidR="00FA63C1" w:rsidRDefault="00FA63C1">
          <w:pPr>
            <w:pBdr>
              <w:top w:val="nil"/>
              <w:left w:val="nil"/>
              <w:bottom w:val="nil"/>
              <w:right w:val="nil"/>
              <w:between w:val="nil"/>
            </w:pBdr>
            <w:tabs>
              <w:tab w:val="center" w:pos="4320"/>
              <w:tab w:val="right" w:pos="8640"/>
            </w:tabs>
            <w:ind w:left="-115"/>
            <w:rPr>
              <w:color w:val="000000"/>
            </w:rPr>
          </w:pPr>
        </w:p>
      </w:tc>
      <w:tc>
        <w:tcPr>
          <w:tcW w:w="2880" w:type="dxa"/>
        </w:tcPr>
        <w:p w14:paraId="52782AC1" w14:textId="77777777" w:rsidR="00FA63C1" w:rsidRDefault="00FA63C1">
          <w:pPr>
            <w:pBdr>
              <w:top w:val="nil"/>
              <w:left w:val="nil"/>
              <w:bottom w:val="nil"/>
              <w:right w:val="nil"/>
              <w:between w:val="nil"/>
            </w:pBdr>
            <w:tabs>
              <w:tab w:val="center" w:pos="4320"/>
              <w:tab w:val="right" w:pos="8640"/>
            </w:tabs>
            <w:jc w:val="center"/>
            <w:rPr>
              <w:color w:val="000000"/>
            </w:rPr>
          </w:pPr>
        </w:p>
      </w:tc>
      <w:tc>
        <w:tcPr>
          <w:tcW w:w="2880" w:type="dxa"/>
        </w:tcPr>
        <w:p w14:paraId="670D1D74" w14:textId="77777777" w:rsidR="00FA63C1" w:rsidRDefault="00FA63C1">
          <w:pPr>
            <w:pBdr>
              <w:top w:val="nil"/>
              <w:left w:val="nil"/>
              <w:bottom w:val="nil"/>
              <w:right w:val="nil"/>
              <w:between w:val="nil"/>
            </w:pBdr>
            <w:tabs>
              <w:tab w:val="center" w:pos="4320"/>
              <w:tab w:val="right" w:pos="8640"/>
            </w:tabs>
            <w:ind w:right="-115"/>
            <w:jc w:val="right"/>
            <w:rPr>
              <w:color w:val="000000"/>
            </w:rPr>
          </w:pPr>
        </w:p>
      </w:tc>
    </w:tr>
  </w:tbl>
  <w:p w14:paraId="31EBA613" w14:textId="77777777" w:rsidR="00FA63C1" w:rsidRDefault="00FA63C1">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2BFAC" w14:textId="77777777" w:rsidR="00FA63C1" w:rsidRDefault="00FA63C1">
    <w:pPr>
      <w:widowControl w:val="0"/>
      <w:pBdr>
        <w:top w:val="nil"/>
        <w:left w:val="nil"/>
        <w:bottom w:val="nil"/>
        <w:right w:val="nil"/>
        <w:between w:val="nil"/>
      </w:pBdr>
      <w:spacing w:line="276" w:lineRule="auto"/>
      <w:rPr>
        <w:color w:val="000000"/>
      </w:rPr>
    </w:pPr>
  </w:p>
  <w:tbl>
    <w:tblPr>
      <w:tblW w:w="12960" w:type="dxa"/>
      <w:tblLayout w:type="fixed"/>
      <w:tblCellMar>
        <w:left w:w="115" w:type="dxa"/>
        <w:right w:w="115" w:type="dxa"/>
      </w:tblCellMar>
      <w:tblLook w:val="0600" w:firstRow="0" w:lastRow="0" w:firstColumn="0" w:lastColumn="0" w:noHBand="1" w:noVBand="1"/>
    </w:tblPr>
    <w:tblGrid>
      <w:gridCol w:w="4320"/>
      <w:gridCol w:w="4320"/>
      <w:gridCol w:w="4320"/>
    </w:tblGrid>
    <w:tr w:rsidR="00FA63C1" w14:paraId="52C5A030" w14:textId="77777777">
      <w:tc>
        <w:tcPr>
          <w:tcW w:w="4320" w:type="dxa"/>
        </w:tcPr>
        <w:p w14:paraId="1E0007BF" w14:textId="77777777" w:rsidR="00FA63C1" w:rsidRDefault="00FA63C1">
          <w:pPr>
            <w:pBdr>
              <w:top w:val="nil"/>
              <w:left w:val="nil"/>
              <w:bottom w:val="nil"/>
              <w:right w:val="nil"/>
              <w:between w:val="nil"/>
            </w:pBdr>
            <w:tabs>
              <w:tab w:val="center" w:pos="4320"/>
              <w:tab w:val="right" w:pos="8640"/>
            </w:tabs>
            <w:ind w:left="-115"/>
            <w:rPr>
              <w:color w:val="000000"/>
            </w:rPr>
          </w:pPr>
        </w:p>
      </w:tc>
      <w:tc>
        <w:tcPr>
          <w:tcW w:w="4320" w:type="dxa"/>
        </w:tcPr>
        <w:p w14:paraId="0235F133" w14:textId="77777777" w:rsidR="00FA63C1" w:rsidRDefault="00FA63C1">
          <w:pPr>
            <w:pBdr>
              <w:top w:val="nil"/>
              <w:left w:val="nil"/>
              <w:bottom w:val="nil"/>
              <w:right w:val="nil"/>
              <w:between w:val="nil"/>
            </w:pBdr>
            <w:tabs>
              <w:tab w:val="center" w:pos="4320"/>
              <w:tab w:val="right" w:pos="8640"/>
            </w:tabs>
            <w:jc w:val="center"/>
            <w:rPr>
              <w:color w:val="000000"/>
            </w:rPr>
          </w:pPr>
        </w:p>
      </w:tc>
      <w:tc>
        <w:tcPr>
          <w:tcW w:w="4320" w:type="dxa"/>
        </w:tcPr>
        <w:p w14:paraId="6A72D797" w14:textId="77777777" w:rsidR="00FA63C1" w:rsidRDefault="00FA63C1">
          <w:pPr>
            <w:pBdr>
              <w:top w:val="nil"/>
              <w:left w:val="nil"/>
              <w:bottom w:val="nil"/>
              <w:right w:val="nil"/>
              <w:between w:val="nil"/>
            </w:pBdr>
            <w:tabs>
              <w:tab w:val="center" w:pos="4320"/>
              <w:tab w:val="right" w:pos="8640"/>
            </w:tabs>
            <w:ind w:right="-115"/>
            <w:jc w:val="right"/>
            <w:rPr>
              <w:color w:val="000000"/>
            </w:rPr>
          </w:pPr>
        </w:p>
      </w:tc>
    </w:tr>
  </w:tbl>
  <w:p w14:paraId="029F243D" w14:textId="77777777" w:rsidR="00FA63C1" w:rsidRDefault="00FA63C1">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F10E7" w14:textId="77777777" w:rsidR="00FA63C1" w:rsidRDefault="00FA63C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84494"/>
    <w:multiLevelType w:val="multilevel"/>
    <w:tmpl w:val="5D14480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2A1B51"/>
    <w:multiLevelType w:val="multilevel"/>
    <w:tmpl w:val="6D64173C"/>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 w15:restartNumberingAfterBreak="0">
    <w:nsid w:val="1F315165"/>
    <w:multiLevelType w:val="multilevel"/>
    <w:tmpl w:val="B42A61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C84A38"/>
    <w:multiLevelType w:val="multilevel"/>
    <w:tmpl w:val="02E67B9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80571F"/>
    <w:multiLevelType w:val="multilevel"/>
    <w:tmpl w:val="FF54E6EA"/>
    <w:lvl w:ilvl="0">
      <w:start w:val="1"/>
      <w:numFmt w:val="decimal"/>
      <w:lvlText w:val="%1."/>
      <w:lvlJc w:val="left"/>
      <w:pPr>
        <w:ind w:left="360" w:hanging="360"/>
      </w:pPr>
    </w:lvl>
    <w:lvl w:ilvl="1">
      <w:start w:val="1"/>
      <w:numFmt w:val="decimal"/>
      <w:lvlText w:val="%1.%2."/>
      <w:lvlJc w:val="left"/>
      <w:pPr>
        <w:ind w:left="907" w:hanging="547"/>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8221D5"/>
    <w:multiLevelType w:val="multilevel"/>
    <w:tmpl w:val="1EF290EA"/>
    <w:lvl w:ilvl="0">
      <w:start w:val="1"/>
      <w:numFmt w:val="lowerLetter"/>
      <w:lvlText w:val="%1."/>
      <w:lvlJc w:val="left"/>
      <w:pPr>
        <w:ind w:left="1152" w:hanging="360"/>
      </w:pPr>
      <w:rPr>
        <w:b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6" w15:restartNumberingAfterBreak="0">
    <w:nsid w:val="251127DF"/>
    <w:multiLevelType w:val="multilevel"/>
    <w:tmpl w:val="B330E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AB3A03"/>
    <w:multiLevelType w:val="multilevel"/>
    <w:tmpl w:val="B3DECA70"/>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8" w15:restartNumberingAfterBreak="0">
    <w:nsid w:val="26FE22C2"/>
    <w:multiLevelType w:val="multilevel"/>
    <w:tmpl w:val="613E0CEE"/>
    <w:lvl w:ilvl="0">
      <w:start w:val="1"/>
      <w:numFmt w:val="lowerLetter"/>
      <w:lvlText w:val="%1."/>
      <w:lvlJc w:val="left"/>
      <w:pPr>
        <w:ind w:left="1152" w:hanging="360"/>
      </w:pPr>
      <w:rPr>
        <w:rFonts w:ascii="Arial" w:hAnsi="Arial" w:cs="Arial" w:hint="default"/>
        <w:b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9" w15:restartNumberingAfterBreak="0">
    <w:nsid w:val="2C365168"/>
    <w:multiLevelType w:val="multilevel"/>
    <w:tmpl w:val="91DC4FD2"/>
    <w:lvl w:ilvl="0">
      <w:start w:val="1"/>
      <w:numFmt w:val="lowerRoman"/>
      <w:lvlText w:val="%1."/>
      <w:lvlJc w:val="right"/>
      <w:pPr>
        <w:ind w:left="1512"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866062"/>
    <w:multiLevelType w:val="multilevel"/>
    <w:tmpl w:val="B3DECA70"/>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1" w15:restartNumberingAfterBreak="0">
    <w:nsid w:val="37C71570"/>
    <w:multiLevelType w:val="multilevel"/>
    <w:tmpl w:val="61D8138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E91D2D"/>
    <w:multiLevelType w:val="multilevel"/>
    <w:tmpl w:val="CC32200C"/>
    <w:lvl w:ilvl="0">
      <w:start w:val="1"/>
      <w:numFmt w:val="decimal"/>
      <w:lvlText w:val="%1."/>
      <w:lvlJc w:val="left"/>
      <w:pPr>
        <w:ind w:left="360" w:hanging="360"/>
      </w:pPr>
      <w:rPr>
        <w:rFonts w:hint="default"/>
      </w:rPr>
    </w:lvl>
    <w:lvl w:ilvl="1">
      <w:start w:val="1"/>
      <w:numFmt w:val="decimal"/>
      <w:lvlText w:val="%1.%2."/>
      <w:lvlJc w:val="left"/>
      <w:pPr>
        <w:ind w:left="907" w:hanging="547"/>
      </w:pPr>
      <w:rPr>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FD11FC"/>
    <w:multiLevelType w:val="multilevel"/>
    <w:tmpl w:val="23108134"/>
    <w:lvl w:ilvl="0">
      <w:start w:val="1"/>
      <w:numFmt w:val="lowerLetter"/>
      <w:lvlText w:val="%1."/>
      <w:lvlJc w:val="left"/>
      <w:pPr>
        <w:ind w:left="115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15075B"/>
    <w:multiLevelType w:val="multilevel"/>
    <w:tmpl w:val="BD8E741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18F5"/>
    <w:multiLevelType w:val="multilevel"/>
    <w:tmpl w:val="C690FDA8"/>
    <w:lvl w:ilvl="0">
      <w:start w:val="1"/>
      <w:numFmt w:val="decimal"/>
      <w:lvlText w:val="%1."/>
      <w:lvlJc w:val="left"/>
      <w:pPr>
        <w:ind w:left="360" w:hanging="360"/>
      </w:pPr>
      <w:rPr>
        <w:sz w:val="22"/>
        <w:szCs w:val="22"/>
      </w:rPr>
    </w:lvl>
    <w:lvl w:ilvl="1">
      <w:start w:val="1"/>
      <w:numFmt w:val="decimal"/>
      <w:lvlText w:val="%1.%2."/>
      <w:lvlJc w:val="left"/>
      <w:pPr>
        <w:ind w:left="907" w:hanging="547"/>
      </w:pPr>
      <w:rPr>
        <w:rFonts w:ascii="Arial" w:hAnsi="Arial" w:cs="Aria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9B6040"/>
    <w:multiLevelType w:val="multilevel"/>
    <w:tmpl w:val="72D6D754"/>
    <w:lvl w:ilvl="0">
      <w:start w:val="1"/>
      <w:numFmt w:val="lowerLetter"/>
      <w:lvlText w:val="%1."/>
      <w:lvlJc w:val="left"/>
      <w:pPr>
        <w:ind w:left="1152" w:hanging="360"/>
      </w:pPr>
      <w:rPr>
        <w:b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7" w15:restartNumberingAfterBreak="0">
    <w:nsid w:val="3FFC6A3D"/>
    <w:multiLevelType w:val="multilevel"/>
    <w:tmpl w:val="F522D7C6"/>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8" w15:restartNumberingAfterBreak="0">
    <w:nsid w:val="460F793E"/>
    <w:multiLevelType w:val="multilevel"/>
    <w:tmpl w:val="38C0A50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8058B8"/>
    <w:multiLevelType w:val="multilevel"/>
    <w:tmpl w:val="B8FC2F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4CB873FD"/>
    <w:multiLevelType w:val="multilevel"/>
    <w:tmpl w:val="B3DECA70"/>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1" w15:restartNumberingAfterBreak="0">
    <w:nsid w:val="4F830980"/>
    <w:multiLevelType w:val="multilevel"/>
    <w:tmpl w:val="B3DECA70"/>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2" w15:restartNumberingAfterBreak="0">
    <w:nsid w:val="527A58C4"/>
    <w:multiLevelType w:val="hybridMultilevel"/>
    <w:tmpl w:val="1C2AB928"/>
    <w:lvl w:ilvl="0" w:tplc="580A0001">
      <w:start w:val="1"/>
      <w:numFmt w:val="bullet"/>
      <w:lvlText w:val=""/>
      <w:lvlJc w:val="left"/>
      <w:pPr>
        <w:ind w:left="720" w:hanging="360"/>
      </w:pPr>
      <w:rPr>
        <w:rFonts w:ascii="Symbol" w:hAnsi="Symbol" w:cs="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cs="Wingdings" w:hint="default"/>
      </w:rPr>
    </w:lvl>
    <w:lvl w:ilvl="3" w:tplc="580A0001" w:tentative="1">
      <w:start w:val="1"/>
      <w:numFmt w:val="bullet"/>
      <w:lvlText w:val=""/>
      <w:lvlJc w:val="left"/>
      <w:pPr>
        <w:ind w:left="2880" w:hanging="360"/>
      </w:pPr>
      <w:rPr>
        <w:rFonts w:ascii="Symbol" w:hAnsi="Symbol" w:cs="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cs="Wingdings" w:hint="default"/>
      </w:rPr>
    </w:lvl>
    <w:lvl w:ilvl="6" w:tplc="580A0001" w:tentative="1">
      <w:start w:val="1"/>
      <w:numFmt w:val="bullet"/>
      <w:lvlText w:val=""/>
      <w:lvlJc w:val="left"/>
      <w:pPr>
        <w:ind w:left="5040" w:hanging="360"/>
      </w:pPr>
      <w:rPr>
        <w:rFonts w:ascii="Symbol" w:hAnsi="Symbol" w:cs="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1F0974"/>
    <w:multiLevelType w:val="multilevel"/>
    <w:tmpl w:val="8C50811C"/>
    <w:lvl w:ilvl="0">
      <w:start w:val="1"/>
      <w:numFmt w:val="lowerLetter"/>
      <w:lvlText w:val="%1."/>
      <w:lvlJc w:val="left"/>
      <w:pPr>
        <w:ind w:left="1152" w:hanging="360"/>
      </w:pPr>
      <w:rPr>
        <w:b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4" w15:restartNumberingAfterBreak="0">
    <w:nsid w:val="58AF07C1"/>
    <w:multiLevelType w:val="hybridMultilevel"/>
    <w:tmpl w:val="64C41B0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EF05AD3"/>
    <w:multiLevelType w:val="hybridMultilevel"/>
    <w:tmpl w:val="4DDA1A14"/>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627D1E0F"/>
    <w:multiLevelType w:val="multilevel"/>
    <w:tmpl w:val="A530AF4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91E0312"/>
    <w:multiLevelType w:val="multilevel"/>
    <w:tmpl w:val="FCB0A4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9F404A3"/>
    <w:multiLevelType w:val="multilevel"/>
    <w:tmpl w:val="29FCF8B2"/>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9" w15:restartNumberingAfterBreak="0">
    <w:nsid w:val="6C5C4F20"/>
    <w:multiLevelType w:val="multilevel"/>
    <w:tmpl w:val="9CE2241C"/>
    <w:lvl w:ilvl="0">
      <w:start w:val="1"/>
      <w:numFmt w:val="lowerLetter"/>
      <w:lvlText w:val="%1."/>
      <w:lvlJc w:val="left"/>
      <w:pPr>
        <w:ind w:left="1152" w:hanging="360"/>
      </w:pPr>
      <w:rPr>
        <w:b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0" w15:restartNumberingAfterBreak="0">
    <w:nsid w:val="72A61451"/>
    <w:multiLevelType w:val="multilevel"/>
    <w:tmpl w:val="17487ABE"/>
    <w:lvl w:ilvl="0">
      <w:start w:val="1"/>
      <w:numFmt w:val="lowerRoman"/>
      <w:lvlText w:val="%1."/>
      <w:lvlJc w:val="right"/>
      <w:pPr>
        <w:ind w:left="1512" w:hanging="288"/>
      </w:pPr>
    </w:lvl>
    <w:lvl w:ilvl="1">
      <w:start w:val="1"/>
      <w:numFmt w:val="decimal"/>
      <w:lvlText w:val=""/>
      <w:lvlJc w:val="left"/>
      <w:pPr>
        <w:ind w:left="1440" w:hanging="720"/>
      </w:pPr>
      <w:rPr>
        <w:rFonts w:ascii="Times New Roman" w:eastAsia="Times New Roman" w:hAnsi="Times New Roman" w:cs="Times New Roman"/>
        <w:b w:val="0"/>
        <w:i w:val="0"/>
        <w:color w:val="000000"/>
        <w:sz w:val="24"/>
        <w:szCs w:val="24"/>
        <w:u w:val="none"/>
      </w:rPr>
    </w:lvl>
    <w:lvl w:ilvl="2">
      <w:start w:val="1"/>
      <w:numFmt w:val="decimal"/>
      <w:lvlText w:val="%3."/>
      <w:lvlJc w:val="left"/>
      <w:pPr>
        <w:ind w:left="1008" w:hanging="720"/>
      </w:pPr>
      <w:rPr>
        <w:rFonts w:ascii="Times New Roman" w:eastAsia="Times New Roman" w:hAnsi="Times New Roman" w:cs="Times New Roman"/>
        <w:b w:val="0"/>
        <w:i w:val="0"/>
        <w:sz w:val="24"/>
        <w:szCs w:val="24"/>
      </w:rPr>
    </w:lvl>
    <w:lvl w:ilvl="3">
      <w:start w:val="1"/>
      <w:numFmt w:val="decimal"/>
      <w:lvlText w:val=""/>
      <w:lvlJc w:val="left"/>
      <w:pPr>
        <w:ind w:left="2016" w:hanging="648"/>
      </w:pPr>
    </w:lvl>
    <w:lvl w:ilvl="4">
      <w:start w:val="1"/>
      <w:numFmt w:val="decimal"/>
      <w:lvlText w:val=""/>
      <w:lvlJc w:val="left"/>
      <w:pPr>
        <w:ind w:left="2520" w:hanging="792"/>
      </w:pPr>
    </w:lvl>
    <w:lvl w:ilvl="5">
      <w:start w:val="1"/>
      <w:numFmt w:val="decimal"/>
      <w:lvlText w:val="%1.%2.%3.%4.%5.%6."/>
      <w:lvlJc w:val="left"/>
      <w:pPr>
        <w:ind w:left="3024" w:hanging="936"/>
      </w:pPr>
    </w:lvl>
    <w:lvl w:ilvl="6">
      <w:start w:val="1"/>
      <w:numFmt w:val="decimal"/>
      <w:lvlText w:val="%1.%2.%3.%4.%5.%6.%7."/>
      <w:lvlJc w:val="left"/>
      <w:pPr>
        <w:ind w:left="3528" w:hanging="1080"/>
      </w:pPr>
    </w:lvl>
    <w:lvl w:ilvl="7">
      <w:start w:val="1"/>
      <w:numFmt w:val="decimal"/>
      <w:lvlText w:val="%1.%2.%3.%4.%5.%6.%7.%8."/>
      <w:lvlJc w:val="left"/>
      <w:pPr>
        <w:ind w:left="4032" w:hanging="1224"/>
      </w:pPr>
    </w:lvl>
    <w:lvl w:ilvl="8">
      <w:start w:val="1"/>
      <w:numFmt w:val="decimal"/>
      <w:lvlText w:val="%1.%2.%3.%4.%5.%6.%7.%8.%9."/>
      <w:lvlJc w:val="left"/>
      <w:pPr>
        <w:ind w:left="4608" w:hanging="1440"/>
      </w:pPr>
    </w:lvl>
  </w:abstractNum>
  <w:abstractNum w:abstractNumId="31" w15:restartNumberingAfterBreak="0">
    <w:nsid w:val="74FB0C33"/>
    <w:multiLevelType w:val="multilevel"/>
    <w:tmpl w:val="B3DECA70"/>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2" w15:restartNumberingAfterBreak="0">
    <w:nsid w:val="77357619"/>
    <w:multiLevelType w:val="multilevel"/>
    <w:tmpl w:val="F72E3616"/>
    <w:lvl w:ilvl="0">
      <w:start w:val="1"/>
      <w:numFmt w:val="lowerLetter"/>
      <w:lvlText w:val="%1."/>
      <w:lvlJc w:val="left"/>
      <w:pPr>
        <w:ind w:left="1152" w:hanging="360"/>
      </w:pPr>
      <w:rPr>
        <w:b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3" w15:restartNumberingAfterBreak="0">
    <w:nsid w:val="782026DB"/>
    <w:multiLevelType w:val="multilevel"/>
    <w:tmpl w:val="B3DECA70"/>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4" w15:restartNumberingAfterBreak="0">
    <w:nsid w:val="786E66C2"/>
    <w:multiLevelType w:val="multilevel"/>
    <w:tmpl w:val="E098C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9922CB7"/>
    <w:multiLevelType w:val="multilevel"/>
    <w:tmpl w:val="B3DECA70"/>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6" w15:restartNumberingAfterBreak="0">
    <w:nsid w:val="7B205E1A"/>
    <w:multiLevelType w:val="multilevel"/>
    <w:tmpl w:val="FCB0A4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7"/>
  </w:num>
  <w:num w:numId="3">
    <w:abstractNumId w:val="34"/>
  </w:num>
  <w:num w:numId="4">
    <w:abstractNumId w:val="2"/>
  </w:num>
  <w:num w:numId="5">
    <w:abstractNumId w:val="5"/>
  </w:num>
  <w:num w:numId="6">
    <w:abstractNumId w:val="30"/>
  </w:num>
  <w:num w:numId="7">
    <w:abstractNumId w:val="1"/>
  </w:num>
  <w:num w:numId="8">
    <w:abstractNumId w:val="26"/>
  </w:num>
  <w:num w:numId="9">
    <w:abstractNumId w:val="32"/>
  </w:num>
  <w:num w:numId="10">
    <w:abstractNumId w:val="9"/>
  </w:num>
  <w:num w:numId="11">
    <w:abstractNumId w:val="15"/>
  </w:num>
  <w:num w:numId="12">
    <w:abstractNumId w:val="28"/>
  </w:num>
  <w:num w:numId="13">
    <w:abstractNumId w:val="16"/>
  </w:num>
  <w:num w:numId="14">
    <w:abstractNumId w:val="13"/>
  </w:num>
  <w:num w:numId="15">
    <w:abstractNumId w:val="6"/>
  </w:num>
  <w:num w:numId="16">
    <w:abstractNumId w:val="17"/>
  </w:num>
  <w:num w:numId="17">
    <w:abstractNumId w:val="10"/>
  </w:num>
  <w:num w:numId="18">
    <w:abstractNumId w:val="23"/>
  </w:num>
  <w:num w:numId="19">
    <w:abstractNumId w:val="19"/>
  </w:num>
  <w:num w:numId="20">
    <w:abstractNumId w:val="4"/>
  </w:num>
  <w:num w:numId="21">
    <w:abstractNumId w:val="8"/>
  </w:num>
  <w:num w:numId="22">
    <w:abstractNumId w:val="35"/>
  </w:num>
  <w:num w:numId="23">
    <w:abstractNumId w:val="20"/>
  </w:num>
  <w:num w:numId="24">
    <w:abstractNumId w:val="7"/>
  </w:num>
  <w:num w:numId="25">
    <w:abstractNumId w:val="21"/>
  </w:num>
  <w:num w:numId="26">
    <w:abstractNumId w:val="31"/>
  </w:num>
  <w:num w:numId="27">
    <w:abstractNumId w:val="33"/>
  </w:num>
  <w:num w:numId="28">
    <w:abstractNumId w:val="22"/>
  </w:num>
  <w:num w:numId="29">
    <w:abstractNumId w:val="12"/>
  </w:num>
  <w:num w:numId="30">
    <w:abstractNumId w:val="25"/>
  </w:num>
  <w:num w:numId="31">
    <w:abstractNumId w:val="3"/>
  </w:num>
  <w:num w:numId="32">
    <w:abstractNumId w:val="11"/>
  </w:num>
  <w:num w:numId="33">
    <w:abstractNumId w:val="18"/>
  </w:num>
  <w:num w:numId="34">
    <w:abstractNumId w:val="14"/>
  </w:num>
  <w:num w:numId="35">
    <w:abstractNumId w:val="0"/>
  </w:num>
  <w:num w:numId="36">
    <w:abstractNumId w:val="3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C0B"/>
    <w:rsid w:val="00004C51"/>
    <w:rsid w:val="000053D0"/>
    <w:rsid w:val="00010776"/>
    <w:rsid w:val="00010A0A"/>
    <w:rsid w:val="00015671"/>
    <w:rsid w:val="0001570C"/>
    <w:rsid w:val="0002086D"/>
    <w:rsid w:val="00023BE4"/>
    <w:rsid w:val="000247F8"/>
    <w:rsid w:val="00025F45"/>
    <w:rsid w:val="000320A9"/>
    <w:rsid w:val="00033CE1"/>
    <w:rsid w:val="00037490"/>
    <w:rsid w:val="000421E3"/>
    <w:rsid w:val="0004394D"/>
    <w:rsid w:val="000446D1"/>
    <w:rsid w:val="0004496C"/>
    <w:rsid w:val="00044CDF"/>
    <w:rsid w:val="00046533"/>
    <w:rsid w:val="000516C7"/>
    <w:rsid w:val="00053730"/>
    <w:rsid w:val="00053A0D"/>
    <w:rsid w:val="000543E6"/>
    <w:rsid w:val="000648B5"/>
    <w:rsid w:val="000658E9"/>
    <w:rsid w:val="00067083"/>
    <w:rsid w:val="00072547"/>
    <w:rsid w:val="00084F3D"/>
    <w:rsid w:val="00090653"/>
    <w:rsid w:val="000912BE"/>
    <w:rsid w:val="0009235E"/>
    <w:rsid w:val="000926FB"/>
    <w:rsid w:val="00095ABF"/>
    <w:rsid w:val="000A0544"/>
    <w:rsid w:val="000A4AC8"/>
    <w:rsid w:val="000A7154"/>
    <w:rsid w:val="000B0598"/>
    <w:rsid w:val="000B4772"/>
    <w:rsid w:val="000B5ED9"/>
    <w:rsid w:val="000B7396"/>
    <w:rsid w:val="000C1446"/>
    <w:rsid w:val="000C32B9"/>
    <w:rsid w:val="000C5E68"/>
    <w:rsid w:val="000D10C9"/>
    <w:rsid w:val="000D3E9D"/>
    <w:rsid w:val="000E18BC"/>
    <w:rsid w:val="000E1A36"/>
    <w:rsid w:val="000F2A29"/>
    <w:rsid w:val="000F6BF2"/>
    <w:rsid w:val="000F7947"/>
    <w:rsid w:val="001011A1"/>
    <w:rsid w:val="00101DEE"/>
    <w:rsid w:val="001069D8"/>
    <w:rsid w:val="00110BD0"/>
    <w:rsid w:val="001138DB"/>
    <w:rsid w:val="00116553"/>
    <w:rsid w:val="00116CE7"/>
    <w:rsid w:val="00123C95"/>
    <w:rsid w:val="0012548A"/>
    <w:rsid w:val="00130F9B"/>
    <w:rsid w:val="00137C81"/>
    <w:rsid w:val="00142DDB"/>
    <w:rsid w:val="00147862"/>
    <w:rsid w:val="00147FB1"/>
    <w:rsid w:val="00152209"/>
    <w:rsid w:val="001663F3"/>
    <w:rsid w:val="00167812"/>
    <w:rsid w:val="00171988"/>
    <w:rsid w:val="00172841"/>
    <w:rsid w:val="00176637"/>
    <w:rsid w:val="00183151"/>
    <w:rsid w:val="00187D12"/>
    <w:rsid w:val="00190C31"/>
    <w:rsid w:val="00191A3D"/>
    <w:rsid w:val="0019274C"/>
    <w:rsid w:val="0019472F"/>
    <w:rsid w:val="001A0772"/>
    <w:rsid w:val="001A1B3E"/>
    <w:rsid w:val="001B0655"/>
    <w:rsid w:val="001C1B45"/>
    <w:rsid w:val="001C1D78"/>
    <w:rsid w:val="001C26F6"/>
    <w:rsid w:val="001C451C"/>
    <w:rsid w:val="001C6284"/>
    <w:rsid w:val="001C6A4C"/>
    <w:rsid w:val="001D0D5C"/>
    <w:rsid w:val="001D1040"/>
    <w:rsid w:val="001D1B6D"/>
    <w:rsid w:val="001D3CAF"/>
    <w:rsid w:val="001F457B"/>
    <w:rsid w:val="00202540"/>
    <w:rsid w:val="002075FB"/>
    <w:rsid w:val="00212B15"/>
    <w:rsid w:val="00223988"/>
    <w:rsid w:val="00225EF5"/>
    <w:rsid w:val="00232F2C"/>
    <w:rsid w:val="00234A9B"/>
    <w:rsid w:val="002552F9"/>
    <w:rsid w:val="00261A86"/>
    <w:rsid w:val="00263971"/>
    <w:rsid w:val="002656A4"/>
    <w:rsid w:val="00271298"/>
    <w:rsid w:val="00277DB0"/>
    <w:rsid w:val="00280BF6"/>
    <w:rsid w:val="00283FA6"/>
    <w:rsid w:val="0028739F"/>
    <w:rsid w:val="00290A0A"/>
    <w:rsid w:val="00292759"/>
    <w:rsid w:val="00295E42"/>
    <w:rsid w:val="002A1F0D"/>
    <w:rsid w:val="002A5B3E"/>
    <w:rsid w:val="002B74ED"/>
    <w:rsid w:val="002C08F9"/>
    <w:rsid w:val="002C0AA2"/>
    <w:rsid w:val="002C0F08"/>
    <w:rsid w:val="002C19D8"/>
    <w:rsid w:val="002C3CD4"/>
    <w:rsid w:val="002D57EE"/>
    <w:rsid w:val="002D7E2E"/>
    <w:rsid w:val="002E02E0"/>
    <w:rsid w:val="002E0610"/>
    <w:rsid w:val="002E1A99"/>
    <w:rsid w:val="002E5169"/>
    <w:rsid w:val="002F0772"/>
    <w:rsid w:val="002F5767"/>
    <w:rsid w:val="002F5D4E"/>
    <w:rsid w:val="00301895"/>
    <w:rsid w:val="00306523"/>
    <w:rsid w:val="00315379"/>
    <w:rsid w:val="00315E44"/>
    <w:rsid w:val="00320A25"/>
    <w:rsid w:val="00320AA4"/>
    <w:rsid w:val="003245EC"/>
    <w:rsid w:val="00337797"/>
    <w:rsid w:val="003441CE"/>
    <w:rsid w:val="00344A18"/>
    <w:rsid w:val="00345B81"/>
    <w:rsid w:val="00357202"/>
    <w:rsid w:val="00364E0E"/>
    <w:rsid w:val="00387950"/>
    <w:rsid w:val="00394767"/>
    <w:rsid w:val="00397E6F"/>
    <w:rsid w:val="003A0028"/>
    <w:rsid w:val="003A2EFA"/>
    <w:rsid w:val="003A455D"/>
    <w:rsid w:val="003A7045"/>
    <w:rsid w:val="003C308E"/>
    <w:rsid w:val="003C6BA6"/>
    <w:rsid w:val="003D0991"/>
    <w:rsid w:val="003D0EDA"/>
    <w:rsid w:val="003F2AA1"/>
    <w:rsid w:val="003F3FE7"/>
    <w:rsid w:val="00401C09"/>
    <w:rsid w:val="00402CFC"/>
    <w:rsid w:val="00404570"/>
    <w:rsid w:val="004068BD"/>
    <w:rsid w:val="00410A82"/>
    <w:rsid w:val="00413D9A"/>
    <w:rsid w:val="00417AA9"/>
    <w:rsid w:val="00423299"/>
    <w:rsid w:val="00423CF0"/>
    <w:rsid w:val="00424800"/>
    <w:rsid w:val="00425192"/>
    <w:rsid w:val="00426EB0"/>
    <w:rsid w:val="004350A4"/>
    <w:rsid w:val="004358EC"/>
    <w:rsid w:val="00436646"/>
    <w:rsid w:val="00436FC1"/>
    <w:rsid w:val="004453ED"/>
    <w:rsid w:val="00446AD7"/>
    <w:rsid w:val="00451AA9"/>
    <w:rsid w:val="00462035"/>
    <w:rsid w:val="0046307B"/>
    <w:rsid w:val="00475055"/>
    <w:rsid w:val="00490A0E"/>
    <w:rsid w:val="004936FC"/>
    <w:rsid w:val="00493A4D"/>
    <w:rsid w:val="0049722F"/>
    <w:rsid w:val="004A26D9"/>
    <w:rsid w:val="004A48D8"/>
    <w:rsid w:val="004B4315"/>
    <w:rsid w:val="004B4322"/>
    <w:rsid w:val="004B730E"/>
    <w:rsid w:val="004B7ACD"/>
    <w:rsid w:val="004C0B7A"/>
    <w:rsid w:val="004C2EC2"/>
    <w:rsid w:val="004D1065"/>
    <w:rsid w:val="004E4E0E"/>
    <w:rsid w:val="004E5023"/>
    <w:rsid w:val="004F20B0"/>
    <w:rsid w:val="004F2BAF"/>
    <w:rsid w:val="004F698E"/>
    <w:rsid w:val="00504DC9"/>
    <w:rsid w:val="00510CCF"/>
    <w:rsid w:val="005115F5"/>
    <w:rsid w:val="0051354A"/>
    <w:rsid w:val="00514CE6"/>
    <w:rsid w:val="00515573"/>
    <w:rsid w:val="00520617"/>
    <w:rsid w:val="00522C97"/>
    <w:rsid w:val="00542EA6"/>
    <w:rsid w:val="00545C67"/>
    <w:rsid w:val="0055317A"/>
    <w:rsid w:val="00555934"/>
    <w:rsid w:val="0056394E"/>
    <w:rsid w:val="00573A16"/>
    <w:rsid w:val="005754C5"/>
    <w:rsid w:val="0057781E"/>
    <w:rsid w:val="0058317A"/>
    <w:rsid w:val="005831BC"/>
    <w:rsid w:val="00590564"/>
    <w:rsid w:val="0059134C"/>
    <w:rsid w:val="005942C0"/>
    <w:rsid w:val="00594AAB"/>
    <w:rsid w:val="005A1403"/>
    <w:rsid w:val="005A3FD8"/>
    <w:rsid w:val="005A5303"/>
    <w:rsid w:val="005A535E"/>
    <w:rsid w:val="005A5E9C"/>
    <w:rsid w:val="005B2A17"/>
    <w:rsid w:val="005B6112"/>
    <w:rsid w:val="005B6552"/>
    <w:rsid w:val="005C257A"/>
    <w:rsid w:val="005D04E0"/>
    <w:rsid w:val="005D540E"/>
    <w:rsid w:val="005D6DA7"/>
    <w:rsid w:val="005D7000"/>
    <w:rsid w:val="005D70EB"/>
    <w:rsid w:val="005E4163"/>
    <w:rsid w:val="005E4A22"/>
    <w:rsid w:val="005E647E"/>
    <w:rsid w:val="005E72B6"/>
    <w:rsid w:val="005F3354"/>
    <w:rsid w:val="00605E8E"/>
    <w:rsid w:val="0061027D"/>
    <w:rsid w:val="00612DF9"/>
    <w:rsid w:val="00613D0F"/>
    <w:rsid w:val="00620173"/>
    <w:rsid w:val="0062028B"/>
    <w:rsid w:val="0062114A"/>
    <w:rsid w:val="00627E7B"/>
    <w:rsid w:val="006336D8"/>
    <w:rsid w:val="0063459B"/>
    <w:rsid w:val="006451C7"/>
    <w:rsid w:val="00645C1D"/>
    <w:rsid w:val="0065169C"/>
    <w:rsid w:val="00660DDD"/>
    <w:rsid w:val="00661FD1"/>
    <w:rsid w:val="0066217C"/>
    <w:rsid w:val="00663554"/>
    <w:rsid w:val="00666C3D"/>
    <w:rsid w:val="00673593"/>
    <w:rsid w:val="006751E0"/>
    <w:rsid w:val="00675835"/>
    <w:rsid w:val="00675A09"/>
    <w:rsid w:val="006811FF"/>
    <w:rsid w:val="006873DB"/>
    <w:rsid w:val="00687DFE"/>
    <w:rsid w:val="00691999"/>
    <w:rsid w:val="0069410B"/>
    <w:rsid w:val="006969A7"/>
    <w:rsid w:val="006A481B"/>
    <w:rsid w:val="006B03B5"/>
    <w:rsid w:val="006B212D"/>
    <w:rsid w:val="006B3CC3"/>
    <w:rsid w:val="006B4155"/>
    <w:rsid w:val="006B4388"/>
    <w:rsid w:val="006B4638"/>
    <w:rsid w:val="006B4758"/>
    <w:rsid w:val="006C7C82"/>
    <w:rsid w:val="006E2400"/>
    <w:rsid w:val="006E506F"/>
    <w:rsid w:val="006F0C79"/>
    <w:rsid w:val="006F22AD"/>
    <w:rsid w:val="006F7FC6"/>
    <w:rsid w:val="00706E12"/>
    <w:rsid w:val="00710EE8"/>
    <w:rsid w:val="00712127"/>
    <w:rsid w:val="00713865"/>
    <w:rsid w:val="00715597"/>
    <w:rsid w:val="007160F8"/>
    <w:rsid w:val="00716CDD"/>
    <w:rsid w:val="00726C0B"/>
    <w:rsid w:val="00727F03"/>
    <w:rsid w:val="00734B68"/>
    <w:rsid w:val="007510C2"/>
    <w:rsid w:val="00753000"/>
    <w:rsid w:val="007535BE"/>
    <w:rsid w:val="007569FA"/>
    <w:rsid w:val="00761741"/>
    <w:rsid w:val="00775948"/>
    <w:rsid w:val="007800F7"/>
    <w:rsid w:val="007837A1"/>
    <w:rsid w:val="00783DD3"/>
    <w:rsid w:val="007932DC"/>
    <w:rsid w:val="007957A0"/>
    <w:rsid w:val="00796A99"/>
    <w:rsid w:val="007A1757"/>
    <w:rsid w:val="007A226F"/>
    <w:rsid w:val="007A6438"/>
    <w:rsid w:val="007A7A98"/>
    <w:rsid w:val="007B2823"/>
    <w:rsid w:val="007B68A3"/>
    <w:rsid w:val="007B7DDC"/>
    <w:rsid w:val="007C05D6"/>
    <w:rsid w:val="007C1B9F"/>
    <w:rsid w:val="007C59D2"/>
    <w:rsid w:val="007C7598"/>
    <w:rsid w:val="007D2542"/>
    <w:rsid w:val="007D3E7C"/>
    <w:rsid w:val="007D6120"/>
    <w:rsid w:val="007E5AE7"/>
    <w:rsid w:val="007F2BFB"/>
    <w:rsid w:val="007F623B"/>
    <w:rsid w:val="007F79C1"/>
    <w:rsid w:val="00803EE8"/>
    <w:rsid w:val="00804623"/>
    <w:rsid w:val="008064CE"/>
    <w:rsid w:val="00811F8B"/>
    <w:rsid w:val="00815B0E"/>
    <w:rsid w:val="00822786"/>
    <w:rsid w:val="00823EC4"/>
    <w:rsid w:val="0082436E"/>
    <w:rsid w:val="0083060C"/>
    <w:rsid w:val="0084090E"/>
    <w:rsid w:val="00843095"/>
    <w:rsid w:val="00844159"/>
    <w:rsid w:val="008448E3"/>
    <w:rsid w:val="00851801"/>
    <w:rsid w:val="0085210A"/>
    <w:rsid w:val="00854DE4"/>
    <w:rsid w:val="00861520"/>
    <w:rsid w:val="00861A5F"/>
    <w:rsid w:val="00861BFE"/>
    <w:rsid w:val="008634D4"/>
    <w:rsid w:val="008638C5"/>
    <w:rsid w:val="0087165D"/>
    <w:rsid w:val="008738ED"/>
    <w:rsid w:val="00877971"/>
    <w:rsid w:val="008801FD"/>
    <w:rsid w:val="008822D0"/>
    <w:rsid w:val="00882972"/>
    <w:rsid w:val="008834A3"/>
    <w:rsid w:val="008857EA"/>
    <w:rsid w:val="008A36D6"/>
    <w:rsid w:val="008A42CF"/>
    <w:rsid w:val="008A4FBD"/>
    <w:rsid w:val="008B1C63"/>
    <w:rsid w:val="008B36F7"/>
    <w:rsid w:val="008B5E11"/>
    <w:rsid w:val="008B66E5"/>
    <w:rsid w:val="008B723E"/>
    <w:rsid w:val="008C06A7"/>
    <w:rsid w:val="008C0A7F"/>
    <w:rsid w:val="008C187C"/>
    <w:rsid w:val="008C1B2A"/>
    <w:rsid w:val="008C31DA"/>
    <w:rsid w:val="008C430C"/>
    <w:rsid w:val="008C7B45"/>
    <w:rsid w:val="008D1B1E"/>
    <w:rsid w:val="008D4356"/>
    <w:rsid w:val="008D51C2"/>
    <w:rsid w:val="008E3FE5"/>
    <w:rsid w:val="008F766D"/>
    <w:rsid w:val="0091574F"/>
    <w:rsid w:val="0092280E"/>
    <w:rsid w:val="009318ED"/>
    <w:rsid w:val="00932568"/>
    <w:rsid w:val="00933416"/>
    <w:rsid w:val="00941448"/>
    <w:rsid w:val="0094214B"/>
    <w:rsid w:val="009457F8"/>
    <w:rsid w:val="0094638A"/>
    <w:rsid w:val="00965A77"/>
    <w:rsid w:val="009660F3"/>
    <w:rsid w:val="0097079C"/>
    <w:rsid w:val="00971D84"/>
    <w:rsid w:val="0097359E"/>
    <w:rsid w:val="00976CB9"/>
    <w:rsid w:val="00995771"/>
    <w:rsid w:val="009B02AB"/>
    <w:rsid w:val="009B3357"/>
    <w:rsid w:val="009B3B54"/>
    <w:rsid w:val="009C0919"/>
    <w:rsid w:val="009C72CC"/>
    <w:rsid w:val="009D0D01"/>
    <w:rsid w:val="009D525E"/>
    <w:rsid w:val="009E3FB4"/>
    <w:rsid w:val="009E5294"/>
    <w:rsid w:val="009E68FA"/>
    <w:rsid w:val="009F3DE3"/>
    <w:rsid w:val="009F66FD"/>
    <w:rsid w:val="00A0246A"/>
    <w:rsid w:val="00A11E48"/>
    <w:rsid w:val="00A129D4"/>
    <w:rsid w:val="00A14089"/>
    <w:rsid w:val="00A1700E"/>
    <w:rsid w:val="00A178FA"/>
    <w:rsid w:val="00A22231"/>
    <w:rsid w:val="00A3360B"/>
    <w:rsid w:val="00A37449"/>
    <w:rsid w:val="00A4171A"/>
    <w:rsid w:val="00A420D8"/>
    <w:rsid w:val="00A4354D"/>
    <w:rsid w:val="00A522FA"/>
    <w:rsid w:val="00A61096"/>
    <w:rsid w:val="00A74989"/>
    <w:rsid w:val="00A86B10"/>
    <w:rsid w:val="00A87DC9"/>
    <w:rsid w:val="00A938BB"/>
    <w:rsid w:val="00A948FA"/>
    <w:rsid w:val="00A96CD8"/>
    <w:rsid w:val="00A97854"/>
    <w:rsid w:val="00AA1D5A"/>
    <w:rsid w:val="00AA26E0"/>
    <w:rsid w:val="00AA32A6"/>
    <w:rsid w:val="00AA4438"/>
    <w:rsid w:val="00AA6228"/>
    <w:rsid w:val="00AB0899"/>
    <w:rsid w:val="00AB3905"/>
    <w:rsid w:val="00AB6BC8"/>
    <w:rsid w:val="00AC02DE"/>
    <w:rsid w:val="00AC092C"/>
    <w:rsid w:val="00AC5543"/>
    <w:rsid w:val="00AC64E4"/>
    <w:rsid w:val="00AD4375"/>
    <w:rsid w:val="00AE2EBA"/>
    <w:rsid w:val="00AE563D"/>
    <w:rsid w:val="00AE63E1"/>
    <w:rsid w:val="00AE755F"/>
    <w:rsid w:val="00AF2380"/>
    <w:rsid w:val="00B05AD9"/>
    <w:rsid w:val="00B1624E"/>
    <w:rsid w:val="00B20CCB"/>
    <w:rsid w:val="00B257D5"/>
    <w:rsid w:val="00B259CC"/>
    <w:rsid w:val="00B2772D"/>
    <w:rsid w:val="00B30E39"/>
    <w:rsid w:val="00B337CE"/>
    <w:rsid w:val="00B36B9D"/>
    <w:rsid w:val="00B46C50"/>
    <w:rsid w:val="00B52C90"/>
    <w:rsid w:val="00B53778"/>
    <w:rsid w:val="00B638E4"/>
    <w:rsid w:val="00B66790"/>
    <w:rsid w:val="00B73E43"/>
    <w:rsid w:val="00B82D7D"/>
    <w:rsid w:val="00B9166A"/>
    <w:rsid w:val="00B96D44"/>
    <w:rsid w:val="00BA0CCD"/>
    <w:rsid w:val="00BA44AD"/>
    <w:rsid w:val="00BA5D96"/>
    <w:rsid w:val="00BB2C82"/>
    <w:rsid w:val="00BB4E15"/>
    <w:rsid w:val="00BC44A2"/>
    <w:rsid w:val="00BC4A18"/>
    <w:rsid w:val="00BC5327"/>
    <w:rsid w:val="00BC761E"/>
    <w:rsid w:val="00BD024F"/>
    <w:rsid w:val="00BD14BE"/>
    <w:rsid w:val="00BD3BD4"/>
    <w:rsid w:val="00BE2973"/>
    <w:rsid w:val="00BF1511"/>
    <w:rsid w:val="00BF4639"/>
    <w:rsid w:val="00C0310E"/>
    <w:rsid w:val="00C047E9"/>
    <w:rsid w:val="00C06D42"/>
    <w:rsid w:val="00C079F6"/>
    <w:rsid w:val="00C10C54"/>
    <w:rsid w:val="00C125D0"/>
    <w:rsid w:val="00C13831"/>
    <w:rsid w:val="00C16658"/>
    <w:rsid w:val="00C2358A"/>
    <w:rsid w:val="00C235F7"/>
    <w:rsid w:val="00C236A4"/>
    <w:rsid w:val="00C43360"/>
    <w:rsid w:val="00C461EB"/>
    <w:rsid w:val="00C55B12"/>
    <w:rsid w:val="00C56145"/>
    <w:rsid w:val="00C563EC"/>
    <w:rsid w:val="00C565AE"/>
    <w:rsid w:val="00C62716"/>
    <w:rsid w:val="00C65FFB"/>
    <w:rsid w:val="00C7117C"/>
    <w:rsid w:val="00C718CD"/>
    <w:rsid w:val="00C71CC9"/>
    <w:rsid w:val="00C7619F"/>
    <w:rsid w:val="00C76231"/>
    <w:rsid w:val="00C7713B"/>
    <w:rsid w:val="00C83FE2"/>
    <w:rsid w:val="00C83FEF"/>
    <w:rsid w:val="00C86772"/>
    <w:rsid w:val="00C87274"/>
    <w:rsid w:val="00C87F13"/>
    <w:rsid w:val="00CA639E"/>
    <w:rsid w:val="00CA73D5"/>
    <w:rsid w:val="00CB1E7D"/>
    <w:rsid w:val="00CB308D"/>
    <w:rsid w:val="00CB343D"/>
    <w:rsid w:val="00CB7A8E"/>
    <w:rsid w:val="00CC6A7C"/>
    <w:rsid w:val="00CD6399"/>
    <w:rsid w:val="00CD6AD3"/>
    <w:rsid w:val="00CE3CCA"/>
    <w:rsid w:val="00CE7B5F"/>
    <w:rsid w:val="00CF1E99"/>
    <w:rsid w:val="00CF6FF4"/>
    <w:rsid w:val="00D04F9D"/>
    <w:rsid w:val="00D10B7F"/>
    <w:rsid w:val="00D16B27"/>
    <w:rsid w:val="00D20F68"/>
    <w:rsid w:val="00D23EA8"/>
    <w:rsid w:val="00D262F1"/>
    <w:rsid w:val="00D275D4"/>
    <w:rsid w:val="00D32CED"/>
    <w:rsid w:val="00D3432E"/>
    <w:rsid w:val="00D42F91"/>
    <w:rsid w:val="00D433C6"/>
    <w:rsid w:val="00D43448"/>
    <w:rsid w:val="00D47239"/>
    <w:rsid w:val="00D5091E"/>
    <w:rsid w:val="00D57799"/>
    <w:rsid w:val="00D57A98"/>
    <w:rsid w:val="00D57B49"/>
    <w:rsid w:val="00D57DF7"/>
    <w:rsid w:val="00D613EB"/>
    <w:rsid w:val="00D65D32"/>
    <w:rsid w:val="00D71BEC"/>
    <w:rsid w:val="00D73AB6"/>
    <w:rsid w:val="00D82B32"/>
    <w:rsid w:val="00D83EA4"/>
    <w:rsid w:val="00D900B4"/>
    <w:rsid w:val="00D97329"/>
    <w:rsid w:val="00DA6D00"/>
    <w:rsid w:val="00DA7258"/>
    <w:rsid w:val="00DB0039"/>
    <w:rsid w:val="00DB0468"/>
    <w:rsid w:val="00DB0687"/>
    <w:rsid w:val="00DB17F8"/>
    <w:rsid w:val="00DB4F35"/>
    <w:rsid w:val="00DB6A94"/>
    <w:rsid w:val="00DC420C"/>
    <w:rsid w:val="00DC7DD3"/>
    <w:rsid w:val="00DD337E"/>
    <w:rsid w:val="00DD40DC"/>
    <w:rsid w:val="00DD5FB6"/>
    <w:rsid w:val="00DE0DEA"/>
    <w:rsid w:val="00DE159C"/>
    <w:rsid w:val="00DE2432"/>
    <w:rsid w:val="00DE6E9E"/>
    <w:rsid w:val="00DE7235"/>
    <w:rsid w:val="00DF0143"/>
    <w:rsid w:val="00DF40DB"/>
    <w:rsid w:val="00DF6C7A"/>
    <w:rsid w:val="00E0174C"/>
    <w:rsid w:val="00E05CFD"/>
    <w:rsid w:val="00E1002A"/>
    <w:rsid w:val="00E105BC"/>
    <w:rsid w:val="00E1185C"/>
    <w:rsid w:val="00E1251E"/>
    <w:rsid w:val="00E14E36"/>
    <w:rsid w:val="00E14F26"/>
    <w:rsid w:val="00E16CFB"/>
    <w:rsid w:val="00E22C0B"/>
    <w:rsid w:val="00E309B8"/>
    <w:rsid w:val="00E41218"/>
    <w:rsid w:val="00E4566F"/>
    <w:rsid w:val="00E45D22"/>
    <w:rsid w:val="00E475E8"/>
    <w:rsid w:val="00E4772C"/>
    <w:rsid w:val="00E50334"/>
    <w:rsid w:val="00E52BD2"/>
    <w:rsid w:val="00E57460"/>
    <w:rsid w:val="00E57E5F"/>
    <w:rsid w:val="00E60669"/>
    <w:rsid w:val="00E61C23"/>
    <w:rsid w:val="00E63918"/>
    <w:rsid w:val="00E653E9"/>
    <w:rsid w:val="00E7768A"/>
    <w:rsid w:val="00E85928"/>
    <w:rsid w:val="00E9409F"/>
    <w:rsid w:val="00EB492F"/>
    <w:rsid w:val="00EC4369"/>
    <w:rsid w:val="00ED3490"/>
    <w:rsid w:val="00ED70F9"/>
    <w:rsid w:val="00EE3012"/>
    <w:rsid w:val="00EE3042"/>
    <w:rsid w:val="00F003B1"/>
    <w:rsid w:val="00F014DE"/>
    <w:rsid w:val="00F0334A"/>
    <w:rsid w:val="00F03603"/>
    <w:rsid w:val="00F073C2"/>
    <w:rsid w:val="00F10F8B"/>
    <w:rsid w:val="00F118B4"/>
    <w:rsid w:val="00F22012"/>
    <w:rsid w:val="00F27C36"/>
    <w:rsid w:val="00F4582A"/>
    <w:rsid w:val="00F46BCF"/>
    <w:rsid w:val="00F530E7"/>
    <w:rsid w:val="00F62743"/>
    <w:rsid w:val="00F62FC1"/>
    <w:rsid w:val="00F63714"/>
    <w:rsid w:val="00F64944"/>
    <w:rsid w:val="00F760D3"/>
    <w:rsid w:val="00F81FE3"/>
    <w:rsid w:val="00F8577A"/>
    <w:rsid w:val="00F87EF6"/>
    <w:rsid w:val="00F90C49"/>
    <w:rsid w:val="00F91EBB"/>
    <w:rsid w:val="00F9361C"/>
    <w:rsid w:val="00F9372D"/>
    <w:rsid w:val="00F97869"/>
    <w:rsid w:val="00FA1FA1"/>
    <w:rsid w:val="00FA228D"/>
    <w:rsid w:val="00FA40F2"/>
    <w:rsid w:val="00FA5745"/>
    <w:rsid w:val="00FA63C1"/>
    <w:rsid w:val="00FE2595"/>
    <w:rsid w:val="00FE5A9D"/>
    <w:rsid w:val="00FF0D95"/>
    <w:rsid w:val="00FF43E2"/>
    <w:rsid w:val="00FF49DC"/>
    <w:rsid w:val="047116DE"/>
    <w:rsid w:val="1024079A"/>
    <w:rsid w:val="173C79E9"/>
    <w:rsid w:val="1C810A56"/>
    <w:rsid w:val="223B7C5B"/>
    <w:rsid w:val="25D6936C"/>
    <w:rsid w:val="2F18B879"/>
    <w:rsid w:val="31700DC2"/>
    <w:rsid w:val="33B9012B"/>
    <w:rsid w:val="3C15853E"/>
    <w:rsid w:val="487A7BA2"/>
    <w:rsid w:val="50645892"/>
    <w:rsid w:val="5BD8E2C4"/>
    <w:rsid w:val="5E3D6C8B"/>
    <w:rsid w:val="630E8CF0"/>
    <w:rsid w:val="6A860AE6"/>
    <w:rsid w:val="73CEFDD0"/>
    <w:rsid w:val="7537E554"/>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D28D"/>
  <w15:docId w15:val="{EDC2EBCB-CCE8-4DAD-9084-5FA4FBA3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28"/>
      <w:szCs w:val="28"/>
    </w:rPr>
  </w:style>
  <w:style w:type="paragraph" w:styleId="Heading2">
    <w:name w:val="heading 2"/>
    <w:basedOn w:val="Normal"/>
    <w:next w:val="Normal"/>
    <w:uiPriority w:val="9"/>
    <w:unhideWhenUsed/>
    <w:qFormat/>
    <w:pPr>
      <w:keepNext/>
      <w:spacing w:before="240" w:after="60"/>
      <w:ind w:left="720"/>
      <w:outlineLvl w:val="1"/>
    </w:pPr>
    <w:rPr>
      <w:rFonts w:ascii="Arial" w:eastAsia="Arial" w:hAnsi="Arial" w:cs="Arial"/>
      <w:b/>
      <w:i/>
      <w:sz w:val="24"/>
      <w:szCs w:val="24"/>
    </w:rPr>
  </w:style>
  <w:style w:type="paragraph" w:styleId="Heading3">
    <w:name w:val="heading 3"/>
    <w:basedOn w:val="Normal"/>
    <w:next w:val="Normal"/>
    <w:uiPriority w:val="9"/>
    <w:semiHidden/>
    <w:unhideWhenUsed/>
    <w:qFormat/>
    <w:pPr>
      <w:keepNext/>
      <w:spacing w:before="240" w:after="60"/>
      <w:ind w:left="1440"/>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spacing w:before="240" w:after="60"/>
      <w:ind w:left="2160"/>
      <w:outlineLvl w:val="3"/>
    </w:pPr>
    <w:rPr>
      <w:rFonts w:ascii="Arial" w:eastAsia="Arial" w:hAnsi="Arial" w:cs="Arial"/>
      <w:b/>
      <w:sz w:val="24"/>
      <w:szCs w:val="24"/>
    </w:rPr>
  </w:style>
  <w:style w:type="paragraph" w:styleId="Heading5">
    <w:name w:val="heading 5"/>
    <w:basedOn w:val="Normal"/>
    <w:next w:val="Normal"/>
    <w:uiPriority w:val="9"/>
    <w:semiHidden/>
    <w:unhideWhenUsed/>
    <w:qFormat/>
    <w:pPr>
      <w:keepNext/>
      <w:keepLines/>
      <w:spacing w:before="200"/>
      <w:ind w:left="5112" w:hanging="431"/>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ind w:left="5256" w:hanging="431"/>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60"/>
      <w:jc w:val="center"/>
    </w:pPr>
    <w:rPr>
      <w:rFonts w:ascii="Cambria" w:eastAsia="Cambria" w:hAnsi="Cambria" w:cs="Cambria"/>
      <w:sz w:val="24"/>
      <w:szCs w:val="24"/>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7B7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D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4E15"/>
    <w:rPr>
      <w:b/>
      <w:bCs/>
    </w:rPr>
  </w:style>
  <w:style w:type="character" w:customStyle="1" w:styleId="CommentSubjectChar">
    <w:name w:val="Comment Subject Char"/>
    <w:basedOn w:val="CommentTextChar"/>
    <w:link w:val="CommentSubject"/>
    <w:uiPriority w:val="99"/>
    <w:semiHidden/>
    <w:rsid w:val="00BB4E15"/>
    <w:rPr>
      <w:b/>
      <w:bCs/>
    </w:rPr>
  </w:style>
  <w:style w:type="paragraph" w:styleId="ListParagraph">
    <w:name w:val="List Paragraph"/>
    <w:aliases w:val="Bullets,References,Texto,List Paragraph1,Capítulo,titulo 5,Titulo parrafo,cS List Paragraph,TIT 2 IND,tEXTO,Lista vistosa - Énfasis 11"/>
    <w:basedOn w:val="Normal"/>
    <w:link w:val="ListParagraphChar"/>
    <w:uiPriority w:val="34"/>
    <w:qFormat/>
    <w:rsid w:val="00675A09"/>
    <w:pPr>
      <w:ind w:left="720"/>
      <w:contextualSpacing/>
    </w:pPr>
  </w:style>
  <w:style w:type="paragraph" w:styleId="FootnoteText">
    <w:name w:val="footnote text"/>
    <w:aliases w:val="fn,FOOTNOTES,single space,footnote text,Footnote Text Char Char,footnote,Texto nota pie IIRSA,Texto de rodapé,nota_rodapé,nota de rodapé,texto de nota al pie,Texto nota pie Car Car Car Car Car Car Car Car,foottextfra,F,f,fn Car,ADB,ft,Char"/>
    <w:basedOn w:val="Normal"/>
    <w:link w:val="FootnoteTextChar"/>
    <w:uiPriority w:val="99"/>
    <w:unhideWhenUsed/>
    <w:qFormat/>
    <w:rsid w:val="00315379"/>
  </w:style>
  <w:style w:type="character" w:customStyle="1" w:styleId="FootnoteTextChar">
    <w:name w:val="Footnote Text Char"/>
    <w:aliases w:val="fn Char,FOOTNOTES Char,single space Char,footnote text Char,Footnote Text Char Char Char,footnote Char,Texto nota pie IIRSA Char,Texto de rodapé Char,nota_rodapé Char,nota de rodapé Char,texto de nota al pie Char,foottextfra Char"/>
    <w:basedOn w:val="DefaultParagraphFont"/>
    <w:link w:val="FootnoteText"/>
    <w:uiPriority w:val="99"/>
    <w:rsid w:val="00315379"/>
  </w:style>
  <w:style w:type="character" w:styleId="FootnoteReference">
    <w:name w:val="footnote reference"/>
    <w:aliases w:val="Style 24,titulo 2,pie pddes,Ref. de nota al pie.,FC,ftref,Знак сноски-FN,Ref,de nota al pie,16 Point,Superscript 6 Point,Fußnotenzeichen DISS,BVI fnr,Знак сноски 1,referencia nota al pie,Footnote Referencefra, BVI fnr,BVI fnr Car Car"/>
    <w:basedOn w:val="DefaultParagraphFont"/>
    <w:link w:val="Char2"/>
    <w:uiPriority w:val="99"/>
    <w:unhideWhenUsed/>
    <w:qFormat/>
    <w:rsid w:val="00315379"/>
    <w:rPr>
      <w:vertAlign w:val="superscript"/>
    </w:rPr>
  </w:style>
  <w:style w:type="character" w:customStyle="1" w:styleId="ListParagraphChar">
    <w:name w:val="List Paragraph Char"/>
    <w:aliases w:val="Bullets Char,References Char,Texto Char,List Paragraph1 Char,Capítulo Char,titulo 5 Char,Titulo parrafo Char,cS List Paragraph Char,TIT 2 IND Char,tEXTO Char,Lista vistosa - Énfasis 11 Char"/>
    <w:link w:val="ListParagraph"/>
    <w:uiPriority w:val="34"/>
    <w:locked/>
    <w:rsid w:val="00E16CFB"/>
  </w:style>
  <w:style w:type="paragraph" w:styleId="Header">
    <w:name w:val="header"/>
    <w:basedOn w:val="Normal"/>
    <w:link w:val="HeaderChar"/>
    <w:uiPriority w:val="99"/>
    <w:semiHidden/>
    <w:unhideWhenUsed/>
    <w:rsid w:val="002F5D4E"/>
    <w:pPr>
      <w:tabs>
        <w:tab w:val="center" w:pos="4513"/>
        <w:tab w:val="right" w:pos="9026"/>
      </w:tabs>
    </w:pPr>
  </w:style>
  <w:style w:type="character" w:customStyle="1" w:styleId="HeaderChar">
    <w:name w:val="Header Char"/>
    <w:basedOn w:val="DefaultParagraphFont"/>
    <w:link w:val="Header"/>
    <w:uiPriority w:val="99"/>
    <w:semiHidden/>
    <w:rsid w:val="002F5D4E"/>
  </w:style>
  <w:style w:type="paragraph" w:styleId="Footer">
    <w:name w:val="footer"/>
    <w:basedOn w:val="Normal"/>
    <w:link w:val="FooterChar"/>
    <w:uiPriority w:val="99"/>
    <w:semiHidden/>
    <w:unhideWhenUsed/>
    <w:rsid w:val="002F5D4E"/>
    <w:pPr>
      <w:tabs>
        <w:tab w:val="center" w:pos="4513"/>
        <w:tab w:val="right" w:pos="9026"/>
      </w:tabs>
    </w:pPr>
  </w:style>
  <w:style w:type="character" w:customStyle="1" w:styleId="FooterChar">
    <w:name w:val="Footer Char"/>
    <w:basedOn w:val="DefaultParagraphFont"/>
    <w:link w:val="Footer"/>
    <w:uiPriority w:val="99"/>
    <w:semiHidden/>
    <w:rsid w:val="002F5D4E"/>
  </w:style>
  <w:style w:type="paragraph" w:styleId="TOC1">
    <w:name w:val="toc 1"/>
    <w:basedOn w:val="Normal"/>
    <w:next w:val="Normal"/>
    <w:autoRedefine/>
    <w:uiPriority w:val="39"/>
    <w:unhideWhenUsed/>
    <w:rsid w:val="000E1A36"/>
    <w:pPr>
      <w:spacing w:after="100"/>
    </w:pPr>
  </w:style>
  <w:style w:type="paragraph" w:styleId="TOC2">
    <w:name w:val="toc 2"/>
    <w:basedOn w:val="Normal"/>
    <w:next w:val="Normal"/>
    <w:autoRedefine/>
    <w:uiPriority w:val="39"/>
    <w:unhideWhenUsed/>
    <w:rsid w:val="008B66E5"/>
    <w:pPr>
      <w:tabs>
        <w:tab w:val="right" w:pos="8828"/>
      </w:tabs>
      <w:spacing w:after="100"/>
      <w:ind w:left="200" w:firstLine="250"/>
    </w:pPr>
  </w:style>
  <w:style w:type="character" w:styleId="Hyperlink">
    <w:name w:val="Hyperlink"/>
    <w:basedOn w:val="DefaultParagraphFont"/>
    <w:uiPriority w:val="99"/>
    <w:unhideWhenUsed/>
    <w:rsid w:val="000E1A36"/>
    <w:rPr>
      <w:color w:val="0000FF" w:themeColor="hyperlink"/>
      <w:u w:val="single"/>
    </w:rPr>
  </w:style>
  <w:style w:type="paragraph" w:customStyle="1" w:styleId="paragraph">
    <w:name w:val="paragraph"/>
    <w:basedOn w:val="Normal"/>
    <w:rsid w:val="00CB7A8E"/>
    <w:pPr>
      <w:spacing w:before="100" w:beforeAutospacing="1" w:after="100" w:afterAutospacing="1"/>
    </w:pPr>
    <w:rPr>
      <w:sz w:val="24"/>
      <w:szCs w:val="24"/>
      <w:lang w:val="es-419" w:eastAsia="es-419"/>
    </w:rPr>
  </w:style>
  <w:style w:type="character" w:customStyle="1" w:styleId="textrun">
    <w:name w:val="textrun"/>
    <w:basedOn w:val="DefaultParagraphFont"/>
    <w:rsid w:val="00CB7A8E"/>
  </w:style>
  <w:style w:type="character" w:customStyle="1" w:styleId="normaltextrun">
    <w:name w:val="normaltextrun"/>
    <w:basedOn w:val="DefaultParagraphFont"/>
    <w:rsid w:val="00CB7A8E"/>
  </w:style>
  <w:style w:type="character" w:customStyle="1" w:styleId="eop">
    <w:name w:val="eop"/>
    <w:basedOn w:val="DefaultParagraphFont"/>
    <w:rsid w:val="00CB7A8E"/>
  </w:style>
  <w:style w:type="paragraph" w:styleId="Revision">
    <w:name w:val="Revision"/>
    <w:hidden/>
    <w:uiPriority w:val="99"/>
    <w:semiHidden/>
    <w:rsid w:val="003A7045"/>
  </w:style>
  <w:style w:type="character" w:styleId="UnresolvedMention">
    <w:name w:val="Unresolved Mention"/>
    <w:basedOn w:val="DefaultParagraphFont"/>
    <w:uiPriority w:val="99"/>
    <w:semiHidden/>
    <w:unhideWhenUsed/>
    <w:rsid w:val="00687DFE"/>
    <w:rPr>
      <w:color w:val="605E5C"/>
      <w:shd w:val="clear" w:color="auto" w:fill="E1DFDD"/>
    </w:rPr>
  </w:style>
  <w:style w:type="character" w:styleId="FollowedHyperlink">
    <w:name w:val="FollowedHyperlink"/>
    <w:basedOn w:val="DefaultParagraphFont"/>
    <w:uiPriority w:val="99"/>
    <w:semiHidden/>
    <w:unhideWhenUsed/>
    <w:rsid w:val="00861BFE"/>
    <w:rPr>
      <w:color w:val="800080" w:themeColor="followedHyperlink"/>
      <w:u w:val="single"/>
    </w:rPr>
  </w:style>
  <w:style w:type="paragraph" w:customStyle="1" w:styleId="Char2">
    <w:name w:val="Char2"/>
    <w:basedOn w:val="Normal"/>
    <w:link w:val="FootnoteReference"/>
    <w:uiPriority w:val="99"/>
    <w:rsid w:val="00E57460"/>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931104">
      <w:bodyDiv w:val="1"/>
      <w:marLeft w:val="0"/>
      <w:marRight w:val="0"/>
      <w:marTop w:val="0"/>
      <w:marBottom w:val="0"/>
      <w:divBdr>
        <w:top w:val="none" w:sz="0" w:space="0" w:color="auto"/>
        <w:left w:val="none" w:sz="0" w:space="0" w:color="auto"/>
        <w:bottom w:val="none" w:sz="0" w:space="0" w:color="auto"/>
        <w:right w:val="none" w:sz="0" w:space="0" w:color="auto"/>
      </w:divBdr>
      <w:divsChild>
        <w:div w:id="333382728">
          <w:marLeft w:val="0"/>
          <w:marRight w:val="0"/>
          <w:marTop w:val="0"/>
          <w:marBottom w:val="0"/>
          <w:divBdr>
            <w:top w:val="none" w:sz="0" w:space="0" w:color="auto"/>
            <w:left w:val="none" w:sz="0" w:space="0" w:color="auto"/>
            <w:bottom w:val="none" w:sz="0" w:space="0" w:color="auto"/>
            <w:right w:val="none" w:sz="0" w:space="0" w:color="auto"/>
          </w:divBdr>
        </w:div>
        <w:div w:id="499808207">
          <w:marLeft w:val="0"/>
          <w:marRight w:val="0"/>
          <w:marTop w:val="0"/>
          <w:marBottom w:val="0"/>
          <w:divBdr>
            <w:top w:val="none" w:sz="0" w:space="0" w:color="auto"/>
            <w:left w:val="none" w:sz="0" w:space="0" w:color="auto"/>
            <w:bottom w:val="none" w:sz="0" w:space="0" w:color="auto"/>
            <w:right w:val="none" w:sz="0" w:space="0" w:color="auto"/>
          </w:divBdr>
        </w:div>
        <w:div w:id="616520602">
          <w:marLeft w:val="0"/>
          <w:marRight w:val="0"/>
          <w:marTop w:val="0"/>
          <w:marBottom w:val="0"/>
          <w:divBdr>
            <w:top w:val="none" w:sz="0" w:space="0" w:color="auto"/>
            <w:left w:val="none" w:sz="0" w:space="0" w:color="auto"/>
            <w:bottom w:val="none" w:sz="0" w:space="0" w:color="auto"/>
            <w:right w:val="none" w:sz="0" w:space="0" w:color="auto"/>
          </w:divBdr>
        </w:div>
        <w:div w:id="904953713">
          <w:marLeft w:val="0"/>
          <w:marRight w:val="0"/>
          <w:marTop w:val="0"/>
          <w:marBottom w:val="0"/>
          <w:divBdr>
            <w:top w:val="none" w:sz="0" w:space="0" w:color="auto"/>
            <w:left w:val="none" w:sz="0" w:space="0" w:color="auto"/>
            <w:bottom w:val="none" w:sz="0" w:space="0" w:color="auto"/>
            <w:right w:val="none" w:sz="0" w:space="0" w:color="auto"/>
          </w:divBdr>
        </w:div>
        <w:div w:id="11124397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iadb.org/es/temas/transparencia/integridad-en-el-grupo-bid/empresas-y-personas-sancionadas%2C1293.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pops.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F125A14E68A27241B19559FFBEBC8CBF" ma:contentTypeVersion="0" ma:contentTypeDescription="A content type to manage public (operations) IDB documents" ma:contentTypeScope="" ma:versionID="fca2a52b3f7f116d6482699b5e516119">
  <xsd:schema xmlns:xsd="http://www.w3.org/2001/XMLSchema" xmlns:xs="http://www.w3.org/2001/XMLSchema" xmlns:p="http://schemas.microsoft.com/office/2006/metadata/properties" xmlns:ns2="cdc7663a-08f0-4737-9e8c-148ce897a09c" targetNamespace="http://schemas.microsoft.com/office/2006/metadata/properties" ma:root="true" ma:fieldsID="c3987797e87b5cf11d97b6230f067a7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AR-L1328"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eb1b705c-195f-4c3b-9661-b201f2fee3c5</TermId>
        </TermInfo>
      </Terms>
    </ic46d7e087fd4a108fb86518ca413cc6>
    <IDBDocs_x0020_Number xmlns="cdc7663a-08f0-4737-9e8c-148ce897a09c" xsi:nil="true"/>
    <Division_x0020_or_x0020_Unit xmlns="cdc7663a-08f0-4737-9e8c-148ce897a09c">IFD/CMF</Division_x0020_or_x0020_Unit>
    <Fiscal_x0020_Year_x0020_IDB xmlns="cdc7663a-08f0-4737-9e8c-148ce897a09c">2020</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Lozano Miranda Ana Lucia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BANKING MARKET DEVELOPMENT</TermName>
          <TermId xmlns="http://schemas.microsoft.com/office/infopath/2007/PartnerControls">5f08329b-f2bb-4342-ba75-eb4216b403d4</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Related_x0020_SisCor_x0020_Number xmlns="cdc7663a-08f0-4737-9e8c-148ce897a09c" xsi:nil="true"/>
    <TaxCatchAll xmlns="cdc7663a-08f0-4737-9e8c-148ce897a09c">
      <Value>84</Value>
      <Value>440</Value>
      <Value>5</Value>
      <Value>4</Value>
      <Value>1</Value>
      <Value>85</Value>
    </TaxCatchAll>
    <Operation_x0020_Type xmlns="cdc7663a-08f0-4737-9e8c-148ce897a09c" xsi:nil="true"/>
    <Package_x0020_Code xmlns="cdc7663a-08f0-4737-9e8c-148ce897a09c" xsi:nil="true"/>
    <Identifier xmlns="cdc7663a-08f0-4737-9e8c-148ce897a09c">EEO</Identifier>
    <Project_x0020_Number xmlns="cdc7663a-08f0-4737-9e8c-148ce897a09c">AR-L1328;</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FINANCIAL MARKETS</TermName>
          <TermId xmlns="http://schemas.microsoft.com/office/infopath/2007/PartnerControls">75500f29-2419-473a-bcd8-84901ddc2aa7</TermId>
        </TermInfo>
      </Terms>
    </nddeef1749674d76abdbe4b239a70bc6>
    <Record_x0020_Number xmlns="cdc7663a-08f0-4737-9e8c-148ce897a09c" xsi:nil="true"/>
    <_dlc_DocId xmlns="cdc7663a-08f0-4737-9e8c-148ce897a09c">EZSHARE-1677352023-7</_dlc_DocId>
    <_dlc_DocIdUrl xmlns="cdc7663a-08f0-4737-9e8c-148ce897a09c">
      <Url>https://idbg.sharepoint.com/teams/EZ-AR-LON/AR-L1328/_layouts/15/DocIdRedir.aspx?ID=EZSHARE-1677352023-7</Url>
      <Description>EZSHARE-1677352023-7</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ae61f9b1-e23d-4f49-b3d7-56b991556c4b" ContentTypeId="0x010100ACF722E9F6B0B149B0CD8BE2560A667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D934A8D5-A4A5-4553-84D3-1A2351C9D6D1}">
  <ds:schemaRefs>
    <ds:schemaRef ds:uri="http://schemas.microsoft.com/sharepoint/v3/contenttype/forms"/>
  </ds:schemaRefs>
</ds:datastoreItem>
</file>

<file path=customXml/itemProps2.xml><?xml version="1.0" encoding="utf-8"?>
<ds:datastoreItem xmlns:ds="http://schemas.openxmlformats.org/officeDocument/2006/customXml" ds:itemID="{F15EF57C-C22F-4F52-8E7D-077446EE10CE}"/>
</file>

<file path=customXml/itemProps3.xml><?xml version="1.0" encoding="utf-8"?>
<ds:datastoreItem xmlns:ds="http://schemas.openxmlformats.org/officeDocument/2006/customXml" ds:itemID="{888F8BC6-40C7-4AF1-BA0D-0C159364B6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A96FC6-B8E1-4D3A-ACBB-CE2E5D9DBF61}">
  <ds:schemaRefs>
    <ds:schemaRef ds:uri="http://schemas.openxmlformats.org/officeDocument/2006/bibliography"/>
  </ds:schemaRefs>
</ds:datastoreItem>
</file>

<file path=customXml/itemProps5.xml><?xml version="1.0" encoding="utf-8"?>
<ds:datastoreItem xmlns:ds="http://schemas.openxmlformats.org/officeDocument/2006/customXml" ds:itemID="{B20C63FE-0963-4E70-B470-242AC68A28BC}"/>
</file>

<file path=customXml/itemProps6.xml><?xml version="1.0" encoding="utf-8"?>
<ds:datastoreItem xmlns:ds="http://schemas.openxmlformats.org/officeDocument/2006/customXml" ds:itemID="{2F67BFD3-A929-45B7-A416-47D17365B8DE}"/>
</file>

<file path=customXml/itemProps7.xml><?xml version="1.0" encoding="utf-8"?>
<ds:datastoreItem xmlns:ds="http://schemas.openxmlformats.org/officeDocument/2006/customXml" ds:itemID="{98F74A90-ECAB-42A8-8F06-92ADAFA06667}"/>
</file>

<file path=docProps/app.xml><?xml version="1.0" encoding="utf-8"?>
<Properties xmlns="http://schemas.openxmlformats.org/officeDocument/2006/extended-properties" xmlns:vt="http://schemas.openxmlformats.org/officeDocument/2006/docPropsVTypes">
  <Template>Normal</Template>
  <TotalTime>19</TotalTime>
  <Pages>25</Pages>
  <Words>8596</Words>
  <Characters>49001</Characters>
  <Application>Microsoft Office Word</Application>
  <DocSecurity>0</DocSecurity>
  <Lines>408</Lines>
  <Paragraphs>114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57483</CharactersWithSpaces>
  <SharedDoc>false</SharedDoc>
  <HLinks>
    <vt:vector size="174" baseType="variant">
      <vt:variant>
        <vt:i4>2687039</vt:i4>
      </vt:variant>
      <vt:variant>
        <vt:i4>159</vt:i4>
      </vt:variant>
      <vt:variant>
        <vt:i4>0</vt:i4>
      </vt:variant>
      <vt:variant>
        <vt:i4>5</vt:i4>
      </vt:variant>
      <vt:variant>
        <vt:lpwstr>https://www.iadb.org/es/temas/transparencia/integridad-en-el-grupo-bid/empresas-y-personas-sancionadas%2C1293.html</vt:lpwstr>
      </vt:variant>
      <vt:variant>
        <vt:lpwstr/>
      </vt:variant>
      <vt:variant>
        <vt:i4>1900602</vt:i4>
      </vt:variant>
      <vt:variant>
        <vt:i4>152</vt:i4>
      </vt:variant>
      <vt:variant>
        <vt:i4>0</vt:i4>
      </vt:variant>
      <vt:variant>
        <vt:i4>5</vt:i4>
      </vt:variant>
      <vt:variant>
        <vt:lpwstr/>
      </vt:variant>
      <vt:variant>
        <vt:lpwstr>_Toc40956718</vt:lpwstr>
      </vt:variant>
      <vt:variant>
        <vt:i4>1179706</vt:i4>
      </vt:variant>
      <vt:variant>
        <vt:i4>146</vt:i4>
      </vt:variant>
      <vt:variant>
        <vt:i4>0</vt:i4>
      </vt:variant>
      <vt:variant>
        <vt:i4>5</vt:i4>
      </vt:variant>
      <vt:variant>
        <vt:lpwstr/>
      </vt:variant>
      <vt:variant>
        <vt:lpwstr>_Toc40956717</vt:lpwstr>
      </vt:variant>
      <vt:variant>
        <vt:i4>1245242</vt:i4>
      </vt:variant>
      <vt:variant>
        <vt:i4>140</vt:i4>
      </vt:variant>
      <vt:variant>
        <vt:i4>0</vt:i4>
      </vt:variant>
      <vt:variant>
        <vt:i4>5</vt:i4>
      </vt:variant>
      <vt:variant>
        <vt:lpwstr/>
      </vt:variant>
      <vt:variant>
        <vt:lpwstr>_Toc40956716</vt:lpwstr>
      </vt:variant>
      <vt:variant>
        <vt:i4>1048634</vt:i4>
      </vt:variant>
      <vt:variant>
        <vt:i4>134</vt:i4>
      </vt:variant>
      <vt:variant>
        <vt:i4>0</vt:i4>
      </vt:variant>
      <vt:variant>
        <vt:i4>5</vt:i4>
      </vt:variant>
      <vt:variant>
        <vt:lpwstr/>
      </vt:variant>
      <vt:variant>
        <vt:lpwstr>_Toc40956715</vt:lpwstr>
      </vt:variant>
      <vt:variant>
        <vt:i4>1114170</vt:i4>
      </vt:variant>
      <vt:variant>
        <vt:i4>128</vt:i4>
      </vt:variant>
      <vt:variant>
        <vt:i4>0</vt:i4>
      </vt:variant>
      <vt:variant>
        <vt:i4>5</vt:i4>
      </vt:variant>
      <vt:variant>
        <vt:lpwstr/>
      </vt:variant>
      <vt:variant>
        <vt:lpwstr>_Toc40956714</vt:lpwstr>
      </vt:variant>
      <vt:variant>
        <vt:i4>1441850</vt:i4>
      </vt:variant>
      <vt:variant>
        <vt:i4>122</vt:i4>
      </vt:variant>
      <vt:variant>
        <vt:i4>0</vt:i4>
      </vt:variant>
      <vt:variant>
        <vt:i4>5</vt:i4>
      </vt:variant>
      <vt:variant>
        <vt:lpwstr/>
      </vt:variant>
      <vt:variant>
        <vt:lpwstr>_Toc40956713</vt:lpwstr>
      </vt:variant>
      <vt:variant>
        <vt:i4>1507386</vt:i4>
      </vt:variant>
      <vt:variant>
        <vt:i4>116</vt:i4>
      </vt:variant>
      <vt:variant>
        <vt:i4>0</vt:i4>
      </vt:variant>
      <vt:variant>
        <vt:i4>5</vt:i4>
      </vt:variant>
      <vt:variant>
        <vt:lpwstr/>
      </vt:variant>
      <vt:variant>
        <vt:lpwstr>_Toc40956712</vt:lpwstr>
      </vt:variant>
      <vt:variant>
        <vt:i4>1310778</vt:i4>
      </vt:variant>
      <vt:variant>
        <vt:i4>110</vt:i4>
      </vt:variant>
      <vt:variant>
        <vt:i4>0</vt:i4>
      </vt:variant>
      <vt:variant>
        <vt:i4>5</vt:i4>
      </vt:variant>
      <vt:variant>
        <vt:lpwstr/>
      </vt:variant>
      <vt:variant>
        <vt:lpwstr>_Toc40956711</vt:lpwstr>
      </vt:variant>
      <vt:variant>
        <vt:i4>1376314</vt:i4>
      </vt:variant>
      <vt:variant>
        <vt:i4>104</vt:i4>
      </vt:variant>
      <vt:variant>
        <vt:i4>0</vt:i4>
      </vt:variant>
      <vt:variant>
        <vt:i4>5</vt:i4>
      </vt:variant>
      <vt:variant>
        <vt:lpwstr/>
      </vt:variant>
      <vt:variant>
        <vt:lpwstr>_Toc40956710</vt:lpwstr>
      </vt:variant>
      <vt:variant>
        <vt:i4>1835067</vt:i4>
      </vt:variant>
      <vt:variant>
        <vt:i4>98</vt:i4>
      </vt:variant>
      <vt:variant>
        <vt:i4>0</vt:i4>
      </vt:variant>
      <vt:variant>
        <vt:i4>5</vt:i4>
      </vt:variant>
      <vt:variant>
        <vt:lpwstr/>
      </vt:variant>
      <vt:variant>
        <vt:lpwstr>_Toc40956709</vt:lpwstr>
      </vt:variant>
      <vt:variant>
        <vt:i4>1900603</vt:i4>
      </vt:variant>
      <vt:variant>
        <vt:i4>92</vt:i4>
      </vt:variant>
      <vt:variant>
        <vt:i4>0</vt:i4>
      </vt:variant>
      <vt:variant>
        <vt:i4>5</vt:i4>
      </vt:variant>
      <vt:variant>
        <vt:lpwstr/>
      </vt:variant>
      <vt:variant>
        <vt:lpwstr>_Toc40956708</vt:lpwstr>
      </vt:variant>
      <vt:variant>
        <vt:i4>1179707</vt:i4>
      </vt:variant>
      <vt:variant>
        <vt:i4>86</vt:i4>
      </vt:variant>
      <vt:variant>
        <vt:i4>0</vt:i4>
      </vt:variant>
      <vt:variant>
        <vt:i4>5</vt:i4>
      </vt:variant>
      <vt:variant>
        <vt:lpwstr/>
      </vt:variant>
      <vt:variant>
        <vt:lpwstr>_Toc40956707</vt:lpwstr>
      </vt:variant>
      <vt:variant>
        <vt:i4>1245243</vt:i4>
      </vt:variant>
      <vt:variant>
        <vt:i4>80</vt:i4>
      </vt:variant>
      <vt:variant>
        <vt:i4>0</vt:i4>
      </vt:variant>
      <vt:variant>
        <vt:i4>5</vt:i4>
      </vt:variant>
      <vt:variant>
        <vt:lpwstr/>
      </vt:variant>
      <vt:variant>
        <vt:lpwstr>_Toc40956706</vt:lpwstr>
      </vt:variant>
      <vt:variant>
        <vt:i4>1048635</vt:i4>
      </vt:variant>
      <vt:variant>
        <vt:i4>74</vt:i4>
      </vt:variant>
      <vt:variant>
        <vt:i4>0</vt:i4>
      </vt:variant>
      <vt:variant>
        <vt:i4>5</vt:i4>
      </vt:variant>
      <vt:variant>
        <vt:lpwstr/>
      </vt:variant>
      <vt:variant>
        <vt:lpwstr>_Toc40956705</vt:lpwstr>
      </vt:variant>
      <vt:variant>
        <vt:i4>1114171</vt:i4>
      </vt:variant>
      <vt:variant>
        <vt:i4>68</vt:i4>
      </vt:variant>
      <vt:variant>
        <vt:i4>0</vt:i4>
      </vt:variant>
      <vt:variant>
        <vt:i4>5</vt:i4>
      </vt:variant>
      <vt:variant>
        <vt:lpwstr/>
      </vt:variant>
      <vt:variant>
        <vt:lpwstr>_Toc40956704</vt:lpwstr>
      </vt:variant>
      <vt:variant>
        <vt:i4>1441851</vt:i4>
      </vt:variant>
      <vt:variant>
        <vt:i4>62</vt:i4>
      </vt:variant>
      <vt:variant>
        <vt:i4>0</vt:i4>
      </vt:variant>
      <vt:variant>
        <vt:i4>5</vt:i4>
      </vt:variant>
      <vt:variant>
        <vt:lpwstr/>
      </vt:variant>
      <vt:variant>
        <vt:lpwstr>_Toc40956703</vt:lpwstr>
      </vt:variant>
      <vt:variant>
        <vt:i4>1507387</vt:i4>
      </vt:variant>
      <vt:variant>
        <vt:i4>56</vt:i4>
      </vt:variant>
      <vt:variant>
        <vt:i4>0</vt:i4>
      </vt:variant>
      <vt:variant>
        <vt:i4>5</vt:i4>
      </vt:variant>
      <vt:variant>
        <vt:lpwstr/>
      </vt:variant>
      <vt:variant>
        <vt:lpwstr>_Toc40956702</vt:lpwstr>
      </vt:variant>
      <vt:variant>
        <vt:i4>1310779</vt:i4>
      </vt:variant>
      <vt:variant>
        <vt:i4>50</vt:i4>
      </vt:variant>
      <vt:variant>
        <vt:i4>0</vt:i4>
      </vt:variant>
      <vt:variant>
        <vt:i4>5</vt:i4>
      </vt:variant>
      <vt:variant>
        <vt:lpwstr/>
      </vt:variant>
      <vt:variant>
        <vt:lpwstr>_Toc40956701</vt:lpwstr>
      </vt:variant>
      <vt:variant>
        <vt:i4>1376315</vt:i4>
      </vt:variant>
      <vt:variant>
        <vt:i4>44</vt:i4>
      </vt:variant>
      <vt:variant>
        <vt:i4>0</vt:i4>
      </vt:variant>
      <vt:variant>
        <vt:i4>5</vt:i4>
      </vt:variant>
      <vt:variant>
        <vt:lpwstr/>
      </vt:variant>
      <vt:variant>
        <vt:lpwstr>_Toc40956700</vt:lpwstr>
      </vt:variant>
      <vt:variant>
        <vt:i4>1900594</vt:i4>
      </vt:variant>
      <vt:variant>
        <vt:i4>38</vt:i4>
      </vt:variant>
      <vt:variant>
        <vt:i4>0</vt:i4>
      </vt:variant>
      <vt:variant>
        <vt:i4>5</vt:i4>
      </vt:variant>
      <vt:variant>
        <vt:lpwstr/>
      </vt:variant>
      <vt:variant>
        <vt:lpwstr>_Toc40956699</vt:lpwstr>
      </vt:variant>
      <vt:variant>
        <vt:i4>1835058</vt:i4>
      </vt:variant>
      <vt:variant>
        <vt:i4>32</vt:i4>
      </vt:variant>
      <vt:variant>
        <vt:i4>0</vt:i4>
      </vt:variant>
      <vt:variant>
        <vt:i4>5</vt:i4>
      </vt:variant>
      <vt:variant>
        <vt:lpwstr/>
      </vt:variant>
      <vt:variant>
        <vt:lpwstr>_Toc40956698</vt:lpwstr>
      </vt:variant>
      <vt:variant>
        <vt:i4>1245234</vt:i4>
      </vt:variant>
      <vt:variant>
        <vt:i4>26</vt:i4>
      </vt:variant>
      <vt:variant>
        <vt:i4>0</vt:i4>
      </vt:variant>
      <vt:variant>
        <vt:i4>5</vt:i4>
      </vt:variant>
      <vt:variant>
        <vt:lpwstr/>
      </vt:variant>
      <vt:variant>
        <vt:lpwstr>_Toc40956697</vt:lpwstr>
      </vt:variant>
      <vt:variant>
        <vt:i4>1179698</vt:i4>
      </vt:variant>
      <vt:variant>
        <vt:i4>20</vt:i4>
      </vt:variant>
      <vt:variant>
        <vt:i4>0</vt:i4>
      </vt:variant>
      <vt:variant>
        <vt:i4>5</vt:i4>
      </vt:variant>
      <vt:variant>
        <vt:lpwstr/>
      </vt:variant>
      <vt:variant>
        <vt:lpwstr>_Toc40956696</vt:lpwstr>
      </vt:variant>
      <vt:variant>
        <vt:i4>1114162</vt:i4>
      </vt:variant>
      <vt:variant>
        <vt:i4>14</vt:i4>
      </vt:variant>
      <vt:variant>
        <vt:i4>0</vt:i4>
      </vt:variant>
      <vt:variant>
        <vt:i4>5</vt:i4>
      </vt:variant>
      <vt:variant>
        <vt:lpwstr/>
      </vt:variant>
      <vt:variant>
        <vt:lpwstr>_Toc40956695</vt:lpwstr>
      </vt:variant>
      <vt:variant>
        <vt:i4>1048626</vt:i4>
      </vt:variant>
      <vt:variant>
        <vt:i4>8</vt:i4>
      </vt:variant>
      <vt:variant>
        <vt:i4>0</vt:i4>
      </vt:variant>
      <vt:variant>
        <vt:i4>5</vt:i4>
      </vt:variant>
      <vt:variant>
        <vt:lpwstr/>
      </vt:variant>
      <vt:variant>
        <vt:lpwstr>_Toc40956694</vt:lpwstr>
      </vt:variant>
      <vt:variant>
        <vt:i4>1507378</vt:i4>
      </vt:variant>
      <vt:variant>
        <vt:i4>2</vt:i4>
      </vt:variant>
      <vt:variant>
        <vt:i4>0</vt:i4>
      </vt:variant>
      <vt:variant>
        <vt:i4>5</vt:i4>
      </vt:variant>
      <vt:variant>
        <vt:lpwstr/>
      </vt:variant>
      <vt:variant>
        <vt:lpwstr>_Toc40956693</vt:lpwstr>
      </vt:variant>
      <vt:variant>
        <vt:i4>4456529</vt:i4>
      </vt:variant>
      <vt:variant>
        <vt:i4>3</vt:i4>
      </vt:variant>
      <vt:variant>
        <vt:i4>0</vt:i4>
      </vt:variant>
      <vt:variant>
        <vt:i4>5</vt:i4>
      </vt:variant>
      <vt:variant>
        <vt:lpwstr>http://www.pops.int/</vt:lpwstr>
      </vt:variant>
      <vt:variant>
        <vt:lpwstr/>
      </vt:variant>
      <vt:variant>
        <vt:i4>8192097</vt:i4>
      </vt:variant>
      <vt:variant>
        <vt:i4>0</vt:i4>
      </vt:variant>
      <vt:variant>
        <vt:i4>0</vt:i4>
      </vt:variant>
      <vt:variant>
        <vt:i4>5</vt:i4>
      </vt:variant>
      <vt:variant>
        <vt:lpwstr>http://idbdocs.iadb.org/wsdocs/getDocument.aspx?DOCNUM=EZSHARE-1677352023-7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Castello</dc:creator>
  <cp:keywords>RC para DIR</cp:keywords>
  <cp:lastModifiedBy>Lozano Miranda, Ana Lucia</cp:lastModifiedBy>
  <cp:revision>11</cp:revision>
  <dcterms:created xsi:type="dcterms:W3CDTF">2020-06-09T15:47:00Z</dcterms:created>
  <dcterms:modified xsi:type="dcterms:W3CDTF">2020-06-11T14:18:00Z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440;#RC para DIR|b06efa2c-b5d2-4c67-a890-c921ff8f43dc</vt:lpwstr>
  </property>
  <property fmtid="{D5CDD505-2E9C-101B-9397-08002B2CF9AE}" pid="4" name="TaxKeywordTaxHTField">
    <vt:lpwstr>RC para DIR|b06efa2c-b5d2-4c67-a890-c921ff8f43dc</vt:lpwstr>
  </property>
  <property fmtid="{D5CDD505-2E9C-101B-9397-08002B2CF9AE}" pid="5" name="Series Operations IDB">
    <vt:lpwstr/>
  </property>
  <property fmtid="{D5CDD505-2E9C-101B-9397-08002B2CF9AE}" pid="6" name="Sub-Sector">
    <vt:lpwstr>85;#BANKING MARKET DEVELOPMENT|5f08329b-f2bb-4342-ba75-eb4216b403d4</vt:lpwstr>
  </property>
  <property fmtid="{D5CDD505-2E9C-101B-9397-08002B2CF9AE}" pid="7" name="Country">
    <vt:lpwstr>5;#Argentina|eb1b705c-195f-4c3b-9661-b201f2fee3c5</vt:lpwstr>
  </property>
  <property fmtid="{D5CDD505-2E9C-101B-9397-08002B2CF9AE}" pid="8" name="_dlc_DocIdItemGuid">
    <vt:lpwstr>7201b11e-5260-40fe-8b57-55fae5f8a9de</vt:lpwstr>
  </property>
  <property fmtid="{D5CDD505-2E9C-101B-9397-08002B2CF9AE}" pid="9" name="Fund IDB">
    <vt:lpwstr>4;#ORC|c028a4b2-ad8b-4cf4-9cac-a2ae6a778e23</vt:lpwstr>
  </property>
  <property fmtid="{D5CDD505-2E9C-101B-9397-08002B2CF9AE}" pid="10" name="Sector IDB">
    <vt:lpwstr>84;#FINANCIAL MARKETS|75500f29-2419-473a-bcd8-84901ddc2aa7</vt:lpwstr>
  </property>
  <property fmtid="{D5CDD505-2E9C-101B-9397-08002B2CF9AE}" pid="11" name="Function Operations IDB">
    <vt:lpwstr>1;#Project Preparation Planning and Design|29ca0c72-1fc4-435f-a09c-28585cb5eac9</vt:lpwstr>
  </property>
  <property fmtid="{D5CDD505-2E9C-101B-9397-08002B2CF9AE}" pid="12" name="ContentTypeId">
    <vt:lpwstr>0x0101001A458A224826124E8B45B1D613300CFC00F125A14E68A27241B19559FFBEBC8CBF</vt:lpwstr>
  </property>
</Properties>
</file>