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53" w:rsidRDefault="00F43C53">
      <w:pPr>
        <w:jc w:val="center"/>
        <w:rPr>
          <w:rFonts w:ascii="Arial" w:hAnsi="Arial" w:cs="Arial"/>
          <w:b/>
          <w:color w:val="000000"/>
          <w:sz w:val="22"/>
        </w:rPr>
      </w:pPr>
    </w:p>
    <w:p w:rsidR="00A06895" w:rsidRDefault="00A06895" w:rsidP="00A06895">
      <w:pPr>
        <w:pStyle w:val="Heading1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Regional</w:t>
      </w:r>
    </w:p>
    <w:p w:rsidR="00587C40" w:rsidRPr="00A06895" w:rsidRDefault="00587C40" w:rsidP="00A06895">
      <w:pPr>
        <w:pStyle w:val="Heading1"/>
        <w:spacing w:before="120"/>
        <w:rPr>
          <w:rFonts w:ascii="Times New Roman" w:hAnsi="Times New Roman"/>
          <w:szCs w:val="24"/>
        </w:rPr>
      </w:pPr>
      <w:r w:rsidRPr="00A06895">
        <w:rPr>
          <w:rFonts w:ascii="Times New Roman" w:hAnsi="Times New Roman"/>
          <w:szCs w:val="24"/>
        </w:rPr>
        <w:t xml:space="preserve">Financial </w:t>
      </w:r>
      <w:r w:rsidR="00A06895">
        <w:rPr>
          <w:rFonts w:ascii="Times New Roman" w:hAnsi="Times New Roman"/>
          <w:szCs w:val="24"/>
        </w:rPr>
        <w:t>Stability and Development Group</w:t>
      </w:r>
    </w:p>
    <w:p w:rsidR="00587C40" w:rsidRDefault="00A06895" w:rsidP="00A06895">
      <w:pPr>
        <w:pStyle w:val="Heading1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587C40" w:rsidRPr="00A06895">
        <w:rPr>
          <w:rFonts w:ascii="Times New Roman" w:hAnsi="Times New Roman"/>
          <w:szCs w:val="24"/>
        </w:rPr>
        <w:t>RG-T2426</w:t>
      </w:r>
      <w:r>
        <w:rPr>
          <w:rFonts w:ascii="Times New Roman" w:hAnsi="Times New Roman"/>
          <w:szCs w:val="24"/>
        </w:rPr>
        <w:t>)</w:t>
      </w:r>
    </w:p>
    <w:p w:rsidR="00A06895" w:rsidRPr="00A06895" w:rsidRDefault="00A06895" w:rsidP="00A06895">
      <w:pPr>
        <w:pStyle w:val="Heading1"/>
        <w:spacing w:before="120"/>
        <w:rPr>
          <w:rFonts w:ascii="Times New Roman" w:hAnsi="Times New Roman"/>
          <w:b w:val="0"/>
          <w:szCs w:val="24"/>
        </w:rPr>
      </w:pPr>
      <w:r w:rsidRPr="00A06895">
        <w:rPr>
          <w:rFonts w:ascii="Times New Roman" w:hAnsi="Times New Roman"/>
          <w:b w:val="0"/>
          <w:szCs w:val="24"/>
        </w:rPr>
        <w:t>Training</w:t>
      </w:r>
    </w:p>
    <w:p w:rsidR="00A06895" w:rsidRPr="00A06895" w:rsidRDefault="00A06895" w:rsidP="00A06895">
      <w:pPr>
        <w:pStyle w:val="Heading1"/>
        <w:spacing w:before="120"/>
        <w:rPr>
          <w:rFonts w:ascii="Times New Roman" w:hAnsi="Times New Roman"/>
          <w:szCs w:val="24"/>
        </w:rPr>
      </w:pPr>
      <w:r w:rsidRPr="00A06895">
        <w:rPr>
          <w:rFonts w:ascii="Times New Roman" w:hAnsi="Times New Roman"/>
          <w:szCs w:val="24"/>
        </w:rPr>
        <w:t>Terms of Reference</w:t>
      </w:r>
    </w:p>
    <w:p w:rsidR="00A06895" w:rsidRPr="00A06895" w:rsidRDefault="00A06895" w:rsidP="00A06895"/>
    <w:p w:rsidR="00587C40" w:rsidRPr="00A06895" w:rsidRDefault="00587C40" w:rsidP="00587C40">
      <w:pPr>
        <w:spacing w:before="120"/>
        <w:jc w:val="both"/>
        <w:rPr>
          <w:sz w:val="22"/>
          <w:szCs w:val="22"/>
        </w:rPr>
      </w:pPr>
    </w:p>
    <w:p w:rsidR="00F43C53" w:rsidRPr="00A06895" w:rsidRDefault="004C6C0E" w:rsidP="00587C40">
      <w:pPr>
        <w:numPr>
          <w:ilvl w:val="0"/>
          <w:numId w:val="3"/>
        </w:numPr>
        <w:spacing w:before="120"/>
        <w:ind w:left="720"/>
        <w:jc w:val="both"/>
        <w:rPr>
          <w:b/>
          <w:color w:val="000000"/>
          <w:sz w:val="22"/>
          <w:szCs w:val="22"/>
        </w:rPr>
      </w:pPr>
      <w:r w:rsidRPr="00A06895">
        <w:rPr>
          <w:b/>
          <w:color w:val="000000"/>
          <w:sz w:val="22"/>
          <w:szCs w:val="22"/>
        </w:rPr>
        <w:t>Background</w:t>
      </w:r>
    </w:p>
    <w:p w:rsidR="00F43C53" w:rsidRPr="00A06895" w:rsidRDefault="00105364" w:rsidP="00772BD5">
      <w:pPr>
        <w:pStyle w:val="ListParagraph"/>
        <w:numPr>
          <w:ilvl w:val="0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A06895">
        <w:rPr>
          <w:color w:val="000000"/>
          <w:sz w:val="22"/>
          <w:szCs w:val="22"/>
        </w:rPr>
        <w:t xml:space="preserve">In the context of the </w:t>
      </w:r>
      <w:r w:rsidR="00D54D69" w:rsidRPr="00A06895">
        <w:rPr>
          <w:color w:val="000000"/>
          <w:sz w:val="22"/>
          <w:szCs w:val="22"/>
        </w:rPr>
        <w:t xml:space="preserve">technical assistance objectives </w:t>
      </w:r>
      <w:r w:rsidR="00772BD5" w:rsidRPr="00A06895">
        <w:rPr>
          <w:color w:val="000000"/>
          <w:sz w:val="22"/>
          <w:szCs w:val="22"/>
        </w:rPr>
        <w:t xml:space="preserve">of the Financial Stability and Development Group, </w:t>
      </w:r>
      <w:r w:rsidRPr="00A06895">
        <w:rPr>
          <w:color w:val="000000"/>
          <w:sz w:val="22"/>
          <w:szCs w:val="22"/>
        </w:rPr>
        <w:t>technical course</w:t>
      </w:r>
      <w:r w:rsidR="00772BD5" w:rsidRPr="00A06895">
        <w:rPr>
          <w:color w:val="000000"/>
          <w:sz w:val="22"/>
          <w:szCs w:val="22"/>
        </w:rPr>
        <w:t>s will be offered to researchers of South American Central Banks in order to</w:t>
      </w:r>
      <w:r w:rsidRPr="00A06895">
        <w:rPr>
          <w:color w:val="000000"/>
          <w:sz w:val="22"/>
          <w:szCs w:val="22"/>
        </w:rPr>
        <w:t xml:space="preserve"> provide</w:t>
      </w:r>
      <w:r w:rsidR="00772BD5" w:rsidRPr="00A06895">
        <w:rPr>
          <w:color w:val="000000"/>
          <w:sz w:val="22"/>
          <w:szCs w:val="22"/>
        </w:rPr>
        <w:t xml:space="preserve"> them with</w:t>
      </w:r>
      <w:r w:rsidRPr="00A06895">
        <w:rPr>
          <w:color w:val="000000"/>
          <w:sz w:val="22"/>
          <w:szCs w:val="22"/>
        </w:rPr>
        <w:t xml:space="preserve"> the opportunity </w:t>
      </w:r>
      <w:r w:rsidR="00772BD5" w:rsidRPr="00A06895">
        <w:rPr>
          <w:color w:val="000000"/>
          <w:sz w:val="22"/>
          <w:szCs w:val="22"/>
        </w:rPr>
        <w:t xml:space="preserve">of </w:t>
      </w:r>
      <w:r w:rsidRPr="00A06895">
        <w:rPr>
          <w:color w:val="000000"/>
          <w:sz w:val="22"/>
          <w:szCs w:val="22"/>
        </w:rPr>
        <w:t>learn</w:t>
      </w:r>
      <w:r w:rsidR="00772BD5" w:rsidRPr="00A06895">
        <w:rPr>
          <w:color w:val="000000"/>
          <w:sz w:val="22"/>
          <w:szCs w:val="22"/>
        </w:rPr>
        <w:t>ing</w:t>
      </w:r>
      <w:r w:rsidRPr="00A06895">
        <w:rPr>
          <w:color w:val="000000"/>
          <w:sz w:val="22"/>
          <w:szCs w:val="22"/>
        </w:rPr>
        <w:t xml:space="preserve"> modern analytical tools and discuss</w:t>
      </w:r>
      <w:r w:rsidR="00772BD5" w:rsidRPr="00A06895">
        <w:rPr>
          <w:color w:val="000000"/>
          <w:sz w:val="22"/>
          <w:szCs w:val="22"/>
        </w:rPr>
        <w:t>ing</w:t>
      </w:r>
      <w:r w:rsidRPr="00A06895">
        <w:rPr>
          <w:color w:val="000000"/>
          <w:sz w:val="22"/>
          <w:szCs w:val="22"/>
        </w:rPr>
        <w:t xml:space="preserve"> their practical applicability in policy work.</w:t>
      </w:r>
      <w:r w:rsidR="00F43C53" w:rsidRPr="00A06895">
        <w:rPr>
          <w:color w:val="000000"/>
          <w:sz w:val="22"/>
          <w:szCs w:val="22"/>
        </w:rPr>
        <w:t xml:space="preserve">  </w:t>
      </w:r>
    </w:p>
    <w:p w:rsidR="00F43C53" w:rsidRPr="00A06895" w:rsidRDefault="00F43C53" w:rsidP="00587C40">
      <w:pPr>
        <w:pStyle w:val="BodyText"/>
        <w:spacing w:before="120"/>
        <w:rPr>
          <w:rFonts w:ascii="Times New Roman" w:hAnsi="Times New Roman"/>
          <w:color w:val="000000"/>
          <w:sz w:val="22"/>
          <w:szCs w:val="22"/>
        </w:rPr>
      </w:pPr>
    </w:p>
    <w:p w:rsidR="00F43C53" w:rsidRPr="00A06895" w:rsidRDefault="00F43C53" w:rsidP="00587C40">
      <w:pPr>
        <w:numPr>
          <w:ilvl w:val="0"/>
          <w:numId w:val="3"/>
        </w:numPr>
        <w:spacing w:before="120"/>
        <w:ind w:left="720"/>
        <w:jc w:val="both"/>
        <w:rPr>
          <w:b/>
          <w:color w:val="000000"/>
          <w:sz w:val="22"/>
          <w:szCs w:val="22"/>
        </w:rPr>
      </w:pPr>
      <w:r w:rsidRPr="00A06895">
        <w:rPr>
          <w:b/>
          <w:color w:val="000000"/>
          <w:sz w:val="22"/>
          <w:szCs w:val="22"/>
        </w:rPr>
        <w:t>Objectives</w:t>
      </w:r>
      <w:r w:rsidR="004C6C0E" w:rsidRPr="00A06895">
        <w:rPr>
          <w:b/>
          <w:color w:val="000000"/>
          <w:sz w:val="22"/>
          <w:szCs w:val="22"/>
        </w:rPr>
        <w:t xml:space="preserve"> </w:t>
      </w:r>
    </w:p>
    <w:p w:rsidR="00F43C53" w:rsidRPr="00A06895" w:rsidRDefault="00F43C53" w:rsidP="00587C40">
      <w:pPr>
        <w:pStyle w:val="BodyText"/>
        <w:numPr>
          <w:ilvl w:val="0"/>
          <w:numId w:val="5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A06895">
        <w:rPr>
          <w:rFonts w:ascii="Times New Roman" w:hAnsi="Times New Roman"/>
          <w:color w:val="000000"/>
          <w:sz w:val="22"/>
          <w:szCs w:val="22"/>
        </w:rPr>
        <w:t>The key objectives of this consultancy are</w:t>
      </w:r>
      <w:r w:rsidR="00772BD5" w:rsidRPr="00A06895">
        <w:rPr>
          <w:rFonts w:ascii="Times New Roman" w:hAnsi="Times New Roman"/>
          <w:color w:val="000000"/>
          <w:sz w:val="22"/>
          <w:szCs w:val="22"/>
        </w:rPr>
        <w:t xml:space="preserve"> to: a) T</w:t>
      </w:r>
      <w:r w:rsidR="00105364" w:rsidRPr="00A06895">
        <w:rPr>
          <w:rFonts w:ascii="Times New Roman" w:hAnsi="Times New Roman"/>
          <w:color w:val="000000"/>
          <w:sz w:val="22"/>
          <w:szCs w:val="22"/>
        </w:rPr>
        <w:t xml:space="preserve">each relevant analytical tools to policy researchers of </w:t>
      </w:r>
      <w:r w:rsidR="000933D0" w:rsidRPr="00A06895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D54D69" w:rsidRPr="00A06895">
        <w:rPr>
          <w:rFonts w:ascii="Times New Roman" w:hAnsi="Times New Roman"/>
          <w:color w:val="000000"/>
          <w:sz w:val="22"/>
          <w:szCs w:val="22"/>
        </w:rPr>
        <w:t>Group</w:t>
      </w:r>
      <w:r w:rsidR="00772BD5" w:rsidRPr="00A06895">
        <w:rPr>
          <w:rFonts w:ascii="Times New Roman" w:hAnsi="Times New Roman"/>
          <w:color w:val="000000"/>
          <w:sz w:val="22"/>
          <w:szCs w:val="22"/>
        </w:rPr>
        <w:t>; and b) P</w:t>
      </w:r>
      <w:r w:rsidR="00105364" w:rsidRPr="00A06895">
        <w:rPr>
          <w:rFonts w:ascii="Times New Roman" w:hAnsi="Times New Roman"/>
          <w:color w:val="000000"/>
          <w:sz w:val="22"/>
          <w:szCs w:val="22"/>
        </w:rPr>
        <w:t>romote dialogue between them and Bank researchers on the applicability of the analytical tools to actual policy problems and research projects.</w:t>
      </w:r>
      <w:r w:rsidRPr="00A0689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40DE3" w:rsidRPr="00A06895" w:rsidRDefault="00940DE3" w:rsidP="00587C40">
      <w:pPr>
        <w:pStyle w:val="BodyText"/>
        <w:spacing w:before="120"/>
        <w:rPr>
          <w:rFonts w:ascii="Times New Roman" w:hAnsi="Times New Roman"/>
          <w:color w:val="000000"/>
          <w:sz w:val="22"/>
          <w:szCs w:val="22"/>
        </w:rPr>
      </w:pPr>
    </w:p>
    <w:p w:rsidR="00940DE3" w:rsidRPr="00A06895" w:rsidRDefault="00A06895" w:rsidP="00587C40">
      <w:pPr>
        <w:numPr>
          <w:ilvl w:val="0"/>
          <w:numId w:val="3"/>
        </w:numPr>
        <w:spacing w:before="120"/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Main a</w:t>
      </w:r>
      <w:r w:rsidR="00940DE3" w:rsidRPr="00A06895">
        <w:rPr>
          <w:b/>
          <w:color w:val="000000"/>
          <w:sz w:val="22"/>
          <w:szCs w:val="22"/>
        </w:rPr>
        <w:t>ctivities</w:t>
      </w:r>
    </w:p>
    <w:p w:rsidR="00F43C53" w:rsidRPr="00A06895" w:rsidRDefault="000933D0" w:rsidP="00587C40">
      <w:pPr>
        <w:pStyle w:val="ListParagraph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A06895">
        <w:rPr>
          <w:color w:val="000000"/>
          <w:sz w:val="22"/>
          <w:szCs w:val="22"/>
        </w:rPr>
        <w:t>The</w:t>
      </w:r>
      <w:r w:rsidR="00F43C53" w:rsidRPr="00A06895">
        <w:rPr>
          <w:color w:val="000000"/>
          <w:sz w:val="22"/>
          <w:szCs w:val="22"/>
        </w:rPr>
        <w:t xml:space="preserve"> consultant will</w:t>
      </w:r>
      <w:r w:rsidR="00105364" w:rsidRPr="00A06895">
        <w:rPr>
          <w:color w:val="000000"/>
          <w:sz w:val="22"/>
          <w:szCs w:val="22"/>
        </w:rPr>
        <w:t xml:space="preserve"> prepare a course Macroeconomic Models for Monetary and Macroprudential Analysis with applications to recent developments. </w:t>
      </w:r>
      <w:r w:rsidR="00105364" w:rsidRPr="00A06895">
        <w:rPr>
          <w:sz w:val="22"/>
          <w:szCs w:val="22"/>
        </w:rPr>
        <w:t>This technical training course will focus on middle-income countries</w:t>
      </w:r>
      <w:r w:rsidR="00106945" w:rsidRPr="00A06895">
        <w:rPr>
          <w:sz w:val="22"/>
          <w:szCs w:val="22"/>
        </w:rPr>
        <w:t xml:space="preserve">. It will include the use of </w:t>
      </w:r>
      <w:r w:rsidR="00105364" w:rsidRPr="00A06895">
        <w:rPr>
          <w:sz w:val="22"/>
          <w:szCs w:val="22"/>
        </w:rPr>
        <w:t>a range of theoretical and applied models, beginning with simple, static, closed-economy models, to full-blown, open-economy DSGE models, with small dynamic models in between. A key point that will be emphasized is the flexibility of the various models, and how they can be adapted to different issues/country circumstances. Simple computer programs</w:t>
      </w:r>
      <w:r w:rsidR="00772BD5" w:rsidRPr="00A06895">
        <w:rPr>
          <w:sz w:val="22"/>
          <w:szCs w:val="22"/>
        </w:rPr>
        <w:t xml:space="preserve"> -rang</w:t>
      </w:r>
      <w:r w:rsidR="00105364" w:rsidRPr="00A06895">
        <w:rPr>
          <w:sz w:val="22"/>
          <w:szCs w:val="22"/>
        </w:rPr>
        <w:t xml:space="preserve">ing from </w:t>
      </w:r>
      <w:r w:rsidRPr="00A06895">
        <w:rPr>
          <w:sz w:val="22"/>
          <w:szCs w:val="22"/>
        </w:rPr>
        <w:t>Excel sheets to MATLAB</w:t>
      </w:r>
      <w:r w:rsidR="00772BD5" w:rsidRPr="00A06895">
        <w:rPr>
          <w:sz w:val="22"/>
          <w:szCs w:val="22"/>
        </w:rPr>
        <w:t>-</w:t>
      </w:r>
      <w:r w:rsidRPr="00A06895">
        <w:rPr>
          <w:sz w:val="22"/>
          <w:szCs w:val="22"/>
        </w:rPr>
        <w:t xml:space="preserve"> </w:t>
      </w:r>
      <w:r w:rsidR="00105364" w:rsidRPr="00A06895">
        <w:rPr>
          <w:sz w:val="22"/>
          <w:szCs w:val="22"/>
        </w:rPr>
        <w:t>will also be made available to participants</w:t>
      </w:r>
      <w:r w:rsidR="00D54D69" w:rsidRPr="00A06895">
        <w:rPr>
          <w:sz w:val="22"/>
          <w:szCs w:val="22"/>
        </w:rPr>
        <w:t xml:space="preserve"> as instructional material and </w:t>
      </w:r>
      <w:r w:rsidR="00772BD5" w:rsidRPr="00A06895">
        <w:rPr>
          <w:sz w:val="22"/>
          <w:szCs w:val="22"/>
        </w:rPr>
        <w:t xml:space="preserve">to </w:t>
      </w:r>
      <w:r w:rsidR="00D54D69" w:rsidRPr="00A06895">
        <w:rPr>
          <w:sz w:val="22"/>
          <w:szCs w:val="22"/>
        </w:rPr>
        <w:t>further use</w:t>
      </w:r>
      <w:r w:rsidR="00105364" w:rsidRPr="00A06895">
        <w:rPr>
          <w:sz w:val="22"/>
          <w:szCs w:val="22"/>
        </w:rPr>
        <w:t>, together with carefully selected references on each topic covered</w:t>
      </w:r>
      <w:r w:rsidR="00106945" w:rsidRPr="00A06895">
        <w:rPr>
          <w:sz w:val="22"/>
          <w:szCs w:val="22"/>
        </w:rPr>
        <w:t>.</w:t>
      </w:r>
    </w:p>
    <w:p w:rsidR="00F43C53" w:rsidRPr="00A06895" w:rsidRDefault="00105364" w:rsidP="00587C40">
      <w:pPr>
        <w:pStyle w:val="BodyText"/>
        <w:numPr>
          <w:ilvl w:val="0"/>
          <w:numId w:val="6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A06895">
        <w:rPr>
          <w:rFonts w:ascii="Times New Roman" w:hAnsi="Times New Roman"/>
          <w:color w:val="000000"/>
          <w:sz w:val="22"/>
          <w:szCs w:val="22"/>
        </w:rPr>
        <w:t xml:space="preserve">The course </w:t>
      </w:r>
      <w:r w:rsidR="00951BEE" w:rsidRPr="00A06895">
        <w:rPr>
          <w:rFonts w:ascii="Times New Roman" w:hAnsi="Times New Roman"/>
          <w:color w:val="000000"/>
          <w:sz w:val="22"/>
          <w:szCs w:val="22"/>
        </w:rPr>
        <w:t xml:space="preserve">will extend for </w:t>
      </w:r>
      <w:r w:rsidR="00EB12AA" w:rsidRPr="00A06895">
        <w:rPr>
          <w:rFonts w:ascii="Times New Roman" w:hAnsi="Times New Roman"/>
          <w:color w:val="000000"/>
          <w:sz w:val="22"/>
          <w:szCs w:val="22"/>
        </w:rPr>
        <w:t>4</w:t>
      </w:r>
      <w:r w:rsidR="00951BEE" w:rsidRPr="00A06895">
        <w:rPr>
          <w:rFonts w:ascii="Times New Roman" w:hAnsi="Times New Roman"/>
          <w:color w:val="000000"/>
          <w:sz w:val="22"/>
          <w:szCs w:val="22"/>
        </w:rPr>
        <w:t xml:space="preserve"> days. It </w:t>
      </w:r>
      <w:r w:rsidRPr="00A06895">
        <w:rPr>
          <w:rFonts w:ascii="Times New Roman" w:hAnsi="Times New Roman"/>
          <w:color w:val="000000"/>
          <w:sz w:val="22"/>
          <w:szCs w:val="22"/>
        </w:rPr>
        <w:t xml:space="preserve">will be offered </w:t>
      </w:r>
      <w:r w:rsidR="00D54D69" w:rsidRPr="00A06895">
        <w:rPr>
          <w:rFonts w:ascii="Times New Roman" w:hAnsi="Times New Roman"/>
          <w:color w:val="000000"/>
          <w:sz w:val="22"/>
          <w:szCs w:val="22"/>
        </w:rPr>
        <w:t xml:space="preserve">at </w:t>
      </w:r>
      <w:r w:rsidR="007D354A" w:rsidRPr="00A06895">
        <w:rPr>
          <w:rFonts w:ascii="Times New Roman" w:hAnsi="Times New Roman"/>
          <w:color w:val="000000"/>
          <w:sz w:val="22"/>
          <w:szCs w:val="22"/>
        </w:rPr>
        <w:t>Bogota, Colombia</w:t>
      </w:r>
      <w:r w:rsidR="00EB12AA" w:rsidRPr="00A06895">
        <w:rPr>
          <w:rFonts w:ascii="Times New Roman" w:hAnsi="Times New Roman"/>
          <w:color w:val="000000"/>
          <w:sz w:val="22"/>
          <w:szCs w:val="22"/>
        </w:rPr>
        <w:t>.</w:t>
      </w:r>
    </w:p>
    <w:p w:rsidR="00F43C53" w:rsidRPr="00A06895" w:rsidRDefault="00F43C53" w:rsidP="00587C40">
      <w:pPr>
        <w:pStyle w:val="BodyText"/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A0689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43C53" w:rsidRPr="00A06895" w:rsidRDefault="00A06895" w:rsidP="00587C40">
      <w:pPr>
        <w:numPr>
          <w:ilvl w:val="0"/>
          <w:numId w:val="3"/>
        </w:numPr>
        <w:spacing w:before="120"/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Schedule</w:t>
      </w:r>
      <w:r w:rsidR="00A20FE5" w:rsidRPr="00A06895">
        <w:rPr>
          <w:b/>
          <w:color w:val="000000"/>
          <w:sz w:val="22"/>
          <w:szCs w:val="22"/>
        </w:rPr>
        <w:t xml:space="preserve"> </w:t>
      </w:r>
      <w:r w:rsidR="000248D4">
        <w:rPr>
          <w:b/>
          <w:color w:val="000000"/>
          <w:sz w:val="22"/>
          <w:szCs w:val="22"/>
        </w:rPr>
        <w:t xml:space="preserve">of </w:t>
      </w:r>
      <w:r>
        <w:rPr>
          <w:b/>
          <w:color w:val="000000"/>
          <w:sz w:val="22"/>
          <w:szCs w:val="22"/>
        </w:rPr>
        <w:t>p</w:t>
      </w:r>
      <w:r w:rsidR="00A20FE5" w:rsidRPr="00A06895">
        <w:rPr>
          <w:b/>
          <w:color w:val="000000"/>
          <w:sz w:val="22"/>
          <w:szCs w:val="22"/>
        </w:rPr>
        <w:t>ayments</w:t>
      </w:r>
      <w:r w:rsidR="004C6C0E" w:rsidRPr="00A06895">
        <w:rPr>
          <w:b/>
          <w:color w:val="000000"/>
          <w:sz w:val="22"/>
          <w:szCs w:val="22"/>
        </w:rPr>
        <w:t xml:space="preserve">  </w:t>
      </w:r>
    </w:p>
    <w:p w:rsidR="00C513C8" w:rsidRPr="00A06895" w:rsidRDefault="00F43C53" w:rsidP="00587C40">
      <w:pPr>
        <w:pStyle w:val="BodyText"/>
        <w:numPr>
          <w:ilvl w:val="0"/>
          <w:numId w:val="7"/>
        </w:numPr>
        <w:spacing w:before="120"/>
        <w:rPr>
          <w:rFonts w:ascii="Times New Roman" w:eastAsia="MS Mincho" w:hAnsi="Times New Roman"/>
          <w:color w:val="000000"/>
          <w:sz w:val="22"/>
          <w:szCs w:val="22"/>
        </w:rPr>
      </w:pPr>
      <w:r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The consultancy will take place </w:t>
      </w:r>
      <w:r w:rsidR="00C513C8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immediately after contract signing in </w:t>
      </w:r>
      <w:r w:rsidR="007D354A" w:rsidRPr="00A06895">
        <w:rPr>
          <w:rFonts w:ascii="Times New Roman" w:eastAsia="MS Mincho" w:hAnsi="Times New Roman"/>
          <w:color w:val="000000"/>
          <w:sz w:val="22"/>
          <w:szCs w:val="22"/>
        </w:rPr>
        <w:t>January</w:t>
      </w:r>
      <w:r w:rsidR="00D54D69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 2</w:t>
      </w:r>
      <w:r w:rsidR="007D354A" w:rsidRPr="00A06895">
        <w:rPr>
          <w:rFonts w:ascii="Times New Roman" w:eastAsia="MS Mincho" w:hAnsi="Times New Roman"/>
          <w:color w:val="000000"/>
          <w:sz w:val="22"/>
          <w:szCs w:val="22"/>
        </w:rPr>
        <w:t>015</w:t>
      </w:r>
      <w:r w:rsidR="00C513C8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 with course preparation to </w:t>
      </w:r>
      <w:r w:rsidR="007D354A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May </w:t>
      </w:r>
      <w:r w:rsidR="00D54D69" w:rsidRPr="00A06895">
        <w:rPr>
          <w:rFonts w:ascii="Times New Roman" w:eastAsia="MS Mincho" w:hAnsi="Times New Roman"/>
          <w:color w:val="000000"/>
          <w:sz w:val="22"/>
          <w:szCs w:val="22"/>
        </w:rPr>
        <w:t>201</w:t>
      </w:r>
      <w:r w:rsidR="007D354A" w:rsidRPr="00A06895">
        <w:rPr>
          <w:rFonts w:ascii="Times New Roman" w:eastAsia="MS Mincho" w:hAnsi="Times New Roman"/>
          <w:color w:val="000000"/>
          <w:sz w:val="22"/>
          <w:szCs w:val="22"/>
        </w:rPr>
        <w:t>5</w:t>
      </w:r>
      <w:r w:rsidR="00C513C8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 </w:t>
      </w:r>
      <w:r w:rsidR="00AD3E32" w:rsidRPr="00A06895">
        <w:rPr>
          <w:rFonts w:ascii="Times New Roman" w:eastAsia="MS Mincho" w:hAnsi="Times New Roman"/>
          <w:color w:val="000000"/>
          <w:sz w:val="22"/>
          <w:szCs w:val="22"/>
        </w:rPr>
        <w:t>after</w:t>
      </w:r>
      <w:r w:rsidR="00106945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 the course </w:t>
      </w:r>
      <w:r w:rsidR="00C513C8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is finished for </w:t>
      </w:r>
      <w:r w:rsidR="00940DE3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a total </w:t>
      </w:r>
      <w:r w:rsidR="00C513C8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fee </w:t>
      </w:r>
      <w:r w:rsidR="00940DE3" w:rsidRPr="00A06895">
        <w:rPr>
          <w:rFonts w:ascii="Times New Roman" w:eastAsia="MS Mincho" w:hAnsi="Times New Roman"/>
          <w:color w:val="000000"/>
          <w:sz w:val="22"/>
          <w:szCs w:val="22"/>
        </w:rPr>
        <w:t>amount of US$</w:t>
      </w:r>
      <w:r w:rsidR="00EB12AA" w:rsidRPr="00A06895">
        <w:rPr>
          <w:rFonts w:ascii="Times New Roman" w:eastAsia="MS Mincho" w:hAnsi="Times New Roman"/>
          <w:color w:val="000000"/>
          <w:sz w:val="22"/>
          <w:szCs w:val="22"/>
        </w:rPr>
        <w:t>2</w:t>
      </w:r>
      <w:r w:rsidR="00C513C8" w:rsidRPr="00A06895">
        <w:rPr>
          <w:rFonts w:ascii="Times New Roman" w:eastAsia="MS Mincho" w:hAnsi="Times New Roman"/>
          <w:color w:val="000000"/>
          <w:sz w:val="22"/>
          <w:szCs w:val="22"/>
        </w:rPr>
        <w:t xml:space="preserve">0,000. </w:t>
      </w:r>
      <w:r w:rsidR="00D54D69" w:rsidRPr="00A06895">
        <w:rPr>
          <w:rFonts w:ascii="Times New Roman" w:eastAsia="MS Mincho" w:hAnsi="Times New Roman"/>
          <w:color w:val="000000"/>
          <w:sz w:val="22"/>
          <w:szCs w:val="22"/>
        </w:rPr>
        <w:t>Travel expenses will be additional.</w:t>
      </w:r>
    </w:p>
    <w:p w:rsidR="00F43C53" w:rsidRPr="00A06895" w:rsidRDefault="00587C40" w:rsidP="00587C40">
      <w:pPr>
        <w:pStyle w:val="BodyText"/>
        <w:numPr>
          <w:ilvl w:val="0"/>
          <w:numId w:val="7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A06895">
        <w:rPr>
          <w:rFonts w:ascii="Times New Roman" w:eastAsia="MS Mincho" w:hAnsi="Times New Roman"/>
          <w:sz w:val="22"/>
          <w:szCs w:val="22"/>
        </w:rPr>
        <w:t>The</w:t>
      </w:r>
      <w:r w:rsidR="00315EBB" w:rsidRPr="00A06895">
        <w:rPr>
          <w:rFonts w:ascii="Times New Roman" w:eastAsia="MS Mincho" w:hAnsi="Times New Roman"/>
          <w:sz w:val="22"/>
          <w:szCs w:val="22"/>
        </w:rPr>
        <w:t xml:space="preserve"> corresponding payment schedule</w:t>
      </w:r>
      <w:r w:rsidRPr="00A06895">
        <w:rPr>
          <w:rFonts w:ascii="Times New Roman" w:eastAsia="MS Mincho" w:hAnsi="Times New Roman"/>
          <w:sz w:val="22"/>
          <w:szCs w:val="22"/>
        </w:rPr>
        <w:t xml:space="preserve"> will be as follows</w:t>
      </w:r>
      <w:r w:rsidR="00315EBB" w:rsidRPr="00A06895">
        <w:rPr>
          <w:rFonts w:ascii="Times New Roman" w:eastAsia="MS Mincho" w:hAnsi="Times New Roman"/>
          <w:sz w:val="22"/>
          <w:szCs w:val="22"/>
        </w:rPr>
        <w:t xml:space="preserve">:  </w:t>
      </w:r>
    </w:p>
    <w:p w:rsidR="00F43C53" w:rsidRPr="00A06895" w:rsidRDefault="00F43C53" w:rsidP="00587C40">
      <w:pPr>
        <w:pStyle w:val="BodyText"/>
        <w:spacing w:before="120"/>
        <w:ind w:left="720"/>
        <w:rPr>
          <w:rFonts w:ascii="Times New Roman" w:hAnsi="Times New Roman"/>
          <w:i/>
          <w:color w:val="800000"/>
          <w:sz w:val="22"/>
          <w:szCs w:val="22"/>
        </w:rPr>
      </w:pPr>
      <w:r w:rsidRPr="00A06895">
        <w:rPr>
          <w:rFonts w:ascii="Times New Roman" w:hAnsi="Times New Roman"/>
          <w:color w:val="000000"/>
          <w:sz w:val="22"/>
          <w:szCs w:val="22"/>
        </w:rPr>
        <w:t>-</w:t>
      </w:r>
      <w:r w:rsidR="00587C40" w:rsidRPr="00A0689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D7020" w:rsidRPr="00A06895">
        <w:rPr>
          <w:rFonts w:ascii="Times New Roman" w:hAnsi="Times New Roman"/>
          <w:color w:val="000000"/>
          <w:sz w:val="22"/>
          <w:szCs w:val="22"/>
        </w:rPr>
        <w:t>30</w:t>
      </w:r>
      <w:r w:rsidRPr="00A06895">
        <w:rPr>
          <w:rFonts w:ascii="Times New Roman" w:hAnsi="Times New Roman"/>
          <w:color w:val="000000"/>
          <w:sz w:val="22"/>
          <w:szCs w:val="22"/>
        </w:rPr>
        <w:t>% within 30 days of receipt by the Bank of the signed agreement</w:t>
      </w:r>
    </w:p>
    <w:p w:rsidR="00F43C53" w:rsidRPr="00A06895" w:rsidRDefault="006D7020" w:rsidP="00587C40">
      <w:pPr>
        <w:pStyle w:val="BodyText"/>
        <w:spacing w:before="120"/>
        <w:ind w:left="720"/>
        <w:rPr>
          <w:rFonts w:ascii="Times New Roman" w:hAnsi="Times New Roman"/>
          <w:color w:val="000000"/>
          <w:sz w:val="22"/>
          <w:szCs w:val="22"/>
        </w:rPr>
      </w:pPr>
      <w:r w:rsidRPr="00A06895">
        <w:rPr>
          <w:rFonts w:ascii="Times New Roman" w:hAnsi="Times New Roman"/>
          <w:color w:val="000000"/>
          <w:sz w:val="22"/>
          <w:szCs w:val="22"/>
        </w:rPr>
        <w:t>-</w:t>
      </w:r>
      <w:r w:rsidR="00587C40" w:rsidRPr="00A0689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53791" w:rsidRPr="00A06895">
        <w:rPr>
          <w:rFonts w:ascii="Times New Roman" w:hAnsi="Times New Roman"/>
          <w:color w:val="000000"/>
          <w:sz w:val="22"/>
          <w:szCs w:val="22"/>
        </w:rPr>
        <w:t>7</w:t>
      </w:r>
      <w:r w:rsidRPr="00A06895">
        <w:rPr>
          <w:rFonts w:ascii="Times New Roman" w:hAnsi="Times New Roman"/>
          <w:color w:val="000000"/>
          <w:sz w:val="22"/>
          <w:szCs w:val="22"/>
        </w:rPr>
        <w:t>0</w:t>
      </w:r>
      <w:r w:rsidR="00F43C53" w:rsidRPr="00A06895">
        <w:rPr>
          <w:rFonts w:ascii="Times New Roman" w:hAnsi="Times New Roman"/>
          <w:color w:val="000000"/>
          <w:sz w:val="22"/>
          <w:szCs w:val="22"/>
        </w:rPr>
        <w:t xml:space="preserve">% within 30 days of </w:t>
      </w:r>
      <w:r w:rsidRPr="00A06895">
        <w:rPr>
          <w:rFonts w:ascii="Times New Roman" w:hAnsi="Times New Roman"/>
          <w:color w:val="000000"/>
          <w:sz w:val="22"/>
          <w:szCs w:val="22"/>
        </w:rPr>
        <w:t>delivering the course</w:t>
      </w:r>
    </w:p>
    <w:p w:rsidR="00F31F11" w:rsidRPr="00A06895" w:rsidRDefault="00F31F11" w:rsidP="00587C40">
      <w:pPr>
        <w:pStyle w:val="BodyText"/>
        <w:spacing w:before="120"/>
        <w:rPr>
          <w:rFonts w:ascii="Times New Roman" w:hAnsi="Times New Roman"/>
          <w:color w:val="000000"/>
          <w:sz w:val="22"/>
          <w:szCs w:val="22"/>
        </w:rPr>
        <w:sectPr w:rsidR="00F31F11" w:rsidRPr="00A068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:rsidR="00F43C53" w:rsidRPr="00A06895" w:rsidRDefault="00A06895" w:rsidP="00587C40">
      <w:pPr>
        <w:numPr>
          <w:ilvl w:val="0"/>
          <w:numId w:val="3"/>
        </w:numPr>
        <w:spacing w:before="120"/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Coordination</w:t>
      </w:r>
    </w:p>
    <w:p w:rsidR="00587C40" w:rsidRDefault="00587C40" w:rsidP="00A06895">
      <w:pPr>
        <w:pStyle w:val="ListParagraph"/>
        <w:numPr>
          <w:ilvl w:val="0"/>
          <w:numId w:val="13"/>
        </w:numPr>
        <w:spacing w:before="120"/>
        <w:ind w:hanging="720"/>
        <w:jc w:val="both"/>
        <w:rPr>
          <w:sz w:val="22"/>
          <w:szCs w:val="22"/>
        </w:rPr>
      </w:pPr>
      <w:r w:rsidRPr="00A06895">
        <w:rPr>
          <w:sz w:val="22"/>
          <w:szCs w:val="22"/>
        </w:rPr>
        <w:t>The Bank through the Research Department (RES/RES) will be responsible for the supervision of this TC, including disbursements. CAN/CAN and CSC/CSC will provide technical expertise and country specific knowledge. The work of the consultant will be directly supervised by a Research Economist in RES.</w:t>
      </w:r>
    </w:p>
    <w:p w:rsidR="00A06895" w:rsidRDefault="00A06895" w:rsidP="00A06895">
      <w:pPr>
        <w:spacing w:before="120"/>
        <w:jc w:val="both"/>
        <w:rPr>
          <w:sz w:val="22"/>
          <w:szCs w:val="22"/>
        </w:rPr>
      </w:pPr>
    </w:p>
    <w:p w:rsidR="00A06895" w:rsidRPr="00A06895" w:rsidRDefault="00A06895" w:rsidP="00A06895">
      <w:pPr>
        <w:numPr>
          <w:ilvl w:val="0"/>
          <w:numId w:val="3"/>
        </w:numPr>
        <w:spacing w:before="120"/>
        <w:ind w:left="720"/>
        <w:jc w:val="both"/>
        <w:rPr>
          <w:b/>
          <w:color w:val="000000"/>
          <w:sz w:val="22"/>
          <w:szCs w:val="22"/>
        </w:rPr>
      </w:pPr>
      <w:r w:rsidRPr="00A06895">
        <w:rPr>
          <w:b/>
          <w:color w:val="000000"/>
          <w:sz w:val="22"/>
          <w:szCs w:val="22"/>
        </w:rPr>
        <w:t>Characteristics of the consultant (PEC)</w:t>
      </w:r>
    </w:p>
    <w:p w:rsidR="00A06895" w:rsidRPr="00A06895" w:rsidRDefault="00A06895" w:rsidP="00A06895">
      <w:pPr>
        <w:numPr>
          <w:ilvl w:val="0"/>
          <w:numId w:val="12"/>
        </w:numPr>
        <w:spacing w:before="120"/>
        <w:ind w:hanging="634"/>
        <w:jc w:val="both"/>
        <w:rPr>
          <w:sz w:val="22"/>
          <w:szCs w:val="22"/>
        </w:rPr>
      </w:pPr>
      <w:r w:rsidRPr="00A06895">
        <w:rPr>
          <w:sz w:val="22"/>
          <w:szCs w:val="22"/>
        </w:rPr>
        <w:t>Type of consultancy: Individual International</w:t>
      </w:r>
    </w:p>
    <w:p w:rsidR="00A06895" w:rsidRPr="00A06895" w:rsidRDefault="00A06895" w:rsidP="00A06895">
      <w:pPr>
        <w:numPr>
          <w:ilvl w:val="0"/>
          <w:numId w:val="12"/>
        </w:numPr>
        <w:spacing w:before="120"/>
        <w:ind w:hanging="634"/>
        <w:jc w:val="both"/>
        <w:rPr>
          <w:sz w:val="22"/>
          <w:szCs w:val="22"/>
        </w:rPr>
      </w:pPr>
      <w:r w:rsidRPr="00A06895">
        <w:rPr>
          <w:sz w:val="22"/>
          <w:szCs w:val="22"/>
        </w:rPr>
        <w:t>Starting date and Duration: January 01, 2015 through May 31, 2015</w:t>
      </w:r>
    </w:p>
    <w:p w:rsidR="00A06895" w:rsidRPr="00A06895" w:rsidRDefault="00A06895" w:rsidP="00A06895">
      <w:pPr>
        <w:numPr>
          <w:ilvl w:val="0"/>
          <w:numId w:val="12"/>
        </w:numPr>
        <w:spacing w:before="120"/>
        <w:ind w:hanging="634"/>
        <w:jc w:val="both"/>
        <w:rPr>
          <w:sz w:val="22"/>
          <w:szCs w:val="22"/>
        </w:rPr>
      </w:pPr>
      <w:r w:rsidRPr="00A06895">
        <w:rPr>
          <w:sz w:val="22"/>
          <w:szCs w:val="22"/>
        </w:rPr>
        <w:t>Place of work: Place of residency of the consultant</w:t>
      </w:r>
      <w:r>
        <w:rPr>
          <w:sz w:val="22"/>
          <w:szCs w:val="22"/>
        </w:rPr>
        <w:t xml:space="preserve"> and Colombia</w:t>
      </w:r>
    </w:p>
    <w:p w:rsidR="00A06895" w:rsidRPr="00A06895" w:rsidRDefault="00A06895" w:rsidP="00A06895">
      <w:pPr>
        <w:numPr>
          <w:ilvl w:val="0"/>
          <w:numId w:val="12"/>
        </w:numPr>
        <w:spacing w:before="120"/>
        <w:ind w:hanging="634"/>
        <w:jc w:val="both"/>
        <w:rPr>
          <w:sz w:val="22"/>
          <w:szCs w:val="22"/>
        </w:rPr>
      </w:pPr>
      <w:r w:rsidRPr="00A06895">
        <w:rPr>
          <w:sz w:val="22"/>
          <w:szCs w:val="22"/>
        </w:rPr>
        <w:t xml:space="preserve">Travel: The consultant will travel to </w:t>
      </w:r>
      <w:r>
        <w:rPr>
          <w:sz w:val="22"/>
          <w:szCs w:val="22"/>
        </w:rPr>
        <w:t>Bogota, Colombia.</w:t>
      </w:r>
    </w:p>
    <w:p w:rsidR="00A06895" w:rsidRPr="00A06895" w:rsidRDefault="00A06895" w:rsidP="00A06895">
      <w:pPr>
        <w:spacing w:before="120"/>
        <w:jc w:val="both"/>
        <w:rPr>
          <w:sz w:val="22"/>
          <w:szCs w:val="22"/>
        </w:rPr>
      </w:pPr>
    </w:p>
    <w:p w:rsidR="00A06895" w:rsidRPr="00A06895" w:rsidRDefault="000248D4" w:rsidP="00A06895">
      <w:pPr>
        <w:numPr>
          <w:ilvl w:val="0"/>
          <w:numId w:val="3"/>
        </w:numPr>
        <w:spacing w:before="120"/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Qualifications</w:t>
      </w:r>
    </w:p>
    <w:p w:rsidR="00A06895" w:rsidRPr="00A06895" w:rsidRDefault="00A06895" w:rsidP="00A06895">
      <w:pPr>
        <w:pStyle w:val="ListParagraph"/>
        <w:numPr>
          <w:ilvl w:val="0"/>
          <w:numId w:val="16"/>
        </w:numPr>
        <w:spacing w:before="120"/>
        <w:ind w:hanging="630"/>
        <w:jc w:val="both"/>
        <w:rPr>
          <w:sz w:val="22"/>
          <w:szCs w:val="22"/>
        </w:rPr>
      </w:pPr>
      <w:r w:rsidRPr="00A06895">
        <w:rPr>
          <w:sz w:val="22"/>
          <w:szCs w:val="22"/>
        </w:rPr>
        <w:t xml:space="preserve">The consultant will have a Ph.D. in economics and at least 15 years of experience in either an international organization or academic institution. The consultant must have a distinguished publication record on issues related to the course to be delivered and outstanding record of graduate student teaching. </w:t>
      </w:r>
    </w:p>
    <w:p w:rsidR="00F43C53" w:rsidRPr="00587C40" w:rsidRDefault="00F43C53" w:rsidP="00587C40">
      <w:pPr>
        <w:pStyle w:val="Footer"/>
        <w:tabs>
          <w:tab w:val="clear" w:pos="4320"/>
          <w:tab w:val="clear" w:pos="8640"/>
        </w:tabs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sectPr w:rsidR="00F43C53" w:rsidRPr="00587C40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E2" w:rsidRDefault="00C63BE2">
      <w:r>
        <w:separator/>
      </w:r>
    </w:p>
  </w:endnote>
  <w:endnote w:type="continuationSeparator" w:id="0">
    <w:p w:rsidR="00C63BE2" w:rsidRDefault="00C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53" w:rsidRDefault="00F43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3C53" w:rsidRDefault="00F43C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53" w:rsidRDefault="00F43C5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4" w:rsidRDefault="0049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E2" w:rsidRDefault="00C63BE2">
      <w:r>
        <w:separator/>
      </w:r>
    </w:p>
  </w:footnote>
  <w:footnote w:type="continuationSeparator" w:id="0">
    <w:p w:rsidR="00C63BE2" w:rsidRDefault="00C6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4" w:rsidRDefault="00494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4" w:rsidRPr="00A06895" w:rsidRDefault="00587C40" w:rsidP="00494094">
    <w:pPr>
      <w:pStyle w:val="Header"/>
      <w:jc w:val="right"/>
      <w:rPr>
        <w:b/>
        <w:color w:val="808080"/>
        <w:sz w:val="22"/>
        <w:szCs w:val="22"/>
        <w:lang w:val="fr-FR"/>
      </w:rPr>
    </w:pPr>
    <w:r w:rsidRPr="00A06895">
      <w:rPr>
        <w:b/>
        <w:color w:val="808080"/>
        <w:sz w:val="22"/>
        <w:szCs w:val="22"/>
        <w:lang w:val="fr-FR"/>
      </w:rPr>
      <w:t xml:space="preserve">Annex II </w:t>
    </w:r>
    <w:r w:rsidR="00494094">
      <w:rPr>
        <w:b/>
        <w:color w:val="808080"/>
        <w:sz w:val="22"/>
        <w:szCs w:val="22"/>
        <w:lang w:val="fr-FR"/>
      </w:rPr>
      <w:t xml:space="preserve">- </w:t>
    </w:r>
    <w:r w:rsidR="00494094" w:rsidRPr="00A06895">
      <w:rPr>
        <w:b/>
        <w:color w:val="808080"/>
        <w:sz w:val="22"/>
        <w:szCs w:val="22"/>
        <w:lang w:val="fr-FR"/>
      </w:rPr>
      <w:t>RG-T2426</w:t>
    </w:r>
  </w:p>
  <w:p w:rsidR="00587C40" w:rsidRPr="00A06895" w:rsidRDefault="00587C40" w:rsidP="00587C40">
    <w:pPr>
      <w:pStyle w:val="Header"/>
      <w:jc w:val="right"/>
      <w:rPr>
        <w:b/>
        <w:color w:val="808080"/>
        <w:sz w:val="22"/>
        <w:szCs w:val="22"/>
        <w:lang w:val="fr-FR"/>
      </w:rPr>
    </w:pPr>
    <w:bookmarkStart w:id="0" w:name="_GoBack"/>
    <w:bookmarkEnd w:id="0"/>
    <w:r w:rsidRPr="00A06895">
      <w:rPr>
        <w:b/>
        <w:color w:val="808080"/>
        <w:sz w:val="22"/>
        <w:szCs w:val="22"/>
        <w:lang w:val="fr-FR"/>
      </w:rPr>
      <w:t xml:space="preserve">Page </w:t>
    </w:r>
    <w:r w:rsidR="00F31F11" w:rsidRPr="00A06895">
      <w:rPr>
        <w:b/>
        <w:color w:val="808080"/>
        <w:sz w:val="22"/>
        <w:szCs w:val="22"/>
        <w:lang w:val="fr-FR"/>
      </w:rPr>
      <w:t>7</w:t>
    </w:r>
    <w:r w:rsidRPr="00A06895">
      <w:rPr>
        <w:b/>
        <w:color w:val="808080"/>
        <w:sz w:val="22"/>
        <w:szCs w:val="22"/>
        <w:lang w:val="fr-FR"/>
      </w:rPr>
      <w:t xml:space="preserve"> of 8</w:t>
    </w:r>
  </w:p>
  <w:p w:rsidR="004C0320" w:rsidRPr="00587C40" w:rsidRDefault="004C0320">
    <w:pPr>
      <w:pStyle w:val="Header"/>
      <w:rPr>
        <w:rFonts w:ascii="Arial" w:hAnsi="Arial" w:cs="Arial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4" w:rsidRDefault="0049409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4" w:rsidRPr="000248D4" w:rsidRDefault="00F31F11" w:rsidP="00494094">
    <w:pPr>
      <w:pStyle w:val="Header"/>
      <w:jc w:val="right"/>
      <w:rPr>
        <w:b/>
        <w:color w:val="808080"/>
        <w:sz w:val="22"/>
        <w:szCs w:val="22"/>
        <w:lang w:val="fr-FR"/>
      </w:rPr>
    </w:pPr>
    <w:r w:rsidRPr="000248D4">
      <w:rPr>
        <w:b/>
        <w:color w:val="808080"/>
        <w:sz w:val="22"/>
        <w:szCs w:val="22"/>
        <w:lang w:val="fr-FR"/>
      </w:rPr>
      <w:t xml:space="preserve">Annex II </w:t>
    </w:r>
    <w:r w:rsidR="00494094">
      <w:rPr>
        <w:b/>
        <w:color w:val="808080"/>
        <w:sz w:val="22"/>
        <w:szCs w:val="22"/>
        <w:lang w:val="fr-FR"/>
      </w:rPr>
      <w:t xml:space="preserve">- </w:t>
    </w:r>
    <w:r w:rsidR="00494094" w:rsidRPr="000248D4">
      <w:rPr>
        <w:b/>
        <w:color w:val="808080"/>
        <w:sz w:val="22"/>
        <w:szCs w:val="22"/>
        <w:lang w:val="fr-FR"/>
      </w:rPr>
      <w:t>RG-T2426</w:t>
    </w:r>
  </w:p>
  <w:p w:rsidR="00F31F11" w:rsidRPr="000248D4" w:rsidRDefault="00F31F11" w:rsidP="00587C40">
    <w:pPr>
      <w:pStyle w:val="Header"/>
      <w:jc w:val="right"/>
      <w:rPr>
        <w:b/>
        <w:color w:val="808080"/>
        <w:sz w:val="22"/>
        <w:szCs w:val="22"/>
        <w:lang w:val="fr-FR"/>
      </w:rPr>
    </w:pPr>
    <w:r w:rsidRPr="000248D4">
      <w:rPr>
        <w:b/>
        <w:color w:val="808080"/>
        <w:sz w:val="22"/>
        <w:szCs w:val="22"/>
        <w:lang w:val="fr-FR"/>
      </w:rPr>
      <w:t>Page 8 of 8</w:t>
    </w:r>
  </w:p>
  <w:p w:rsidR="00F31F11" w:rsidRPr="00587C40" w:rsidRDefault="00F31F11">
    <w:pPr>
      <w:pStyle w:val="Header"/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0BF"/>
    <w:multiLevelType w:val="hybridMultilevel"/>
    <w:tmpl w:val="554822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70CBF"/>
    <w:multiLevelType w:val="hybridMultilevel"/>
    <w:tmpl w:val="8684075E"/>
    <w:lvl w:ilvl="0" w:tplc="B2DE8554">
      <w:start w:val="1"/>
      <w:numFmt w:val="decimal"/>
      <w:lvlText w:val="6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4569"/>
    <w:multiLevelType w:val="hybridMultilevel"/>
    <w:tmpl w:val="FA66A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66738"/>
    <w:multiLevelType w:val="hybridMultilevel"/>
    <w:tmpl w:val="250821CA"/>
    <w:lvl w:ilvl="0" w:tplc="EEFCEB5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8374F"/>
    <w:multiLevelType w:val="hybridMultilevel"/>
    <w:tmpl w:val="50482AA6"/>
    <w:lvl w:ilvl="0" w:tplc="B2DE855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4AFF"/>
    <w:multiLevelType w:val="hybridMultilevel"/>
    <w:tmpl w:val="C29A3EC8"/>
    <w:lvl w:ilvl="0" w:tplc="C0A6473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6CB7"/>
    <w:multiLevelType w:val="hybridMultilevel"/>
    <w:tmpl w:val="7FB23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27CF3"/>
    <w:multiLevelType w:val="hybridMultilevel"/>
    <w:tmpl w:val="7D3A77F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82DB4"/>
    <w:multiLevelType w:val="hybridMultilevel"/>
    <w:tmpl w:val="FB1C0492"/>
    <w:lvl w:ilvl="0" w:tplc="F17482D6">
      <w:start w:val="1"/>
      <w:numFmt w:val="decimal"/>
      <w:lvlText w:val="2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5E33BC"/>
    <w:multiLevelType w:val="hybridMultilevel"/>
    <w:tmpl w:val="C2FA71E0"/>
    <w:lvl w:ilvl="0" w:tplc="1D62BB6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96C1F"/>
    <w:multiLevelType w:val="hybridMultilevel"/>
    <w:tmpl w:val="6A466F22"/>
    <w:lvl w:ilvl="0" w:tplc="F17482D6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83E7B"/>
    <w:multiLevelType w:val="hybridMultilevel"/>
    <w:tmpl w:val="4BB0EE0A"/>
    <w:lvl w:ilvl="0" w:tplc="F9B42224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6EBE"/>
    <w:multiLevelType w:val="hybridMultilevel"/>
    <w:tmpl w:val="7A06B06E"/>
    <w:lvl w:ilvl="0" w:tplc="C0A6473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0F79"/>
    <w:multiLevelType w:val="hybridMultilevel"/>
    <w:tmpl w:val="886AC17E"/>
    <w:lvl w:ilvl="0" w:tplc="1646E98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220A1"/>
    <w:multiLevelType w:val="hybridMultilevel"/>
    <w:tmpl w:val="031EFDE0"/>
    <w:lvl w:ilvl="0" w:tplc="D5D009E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95A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53"/>
    <w:rsid w:val="000248D4"/>
    <w:rsid w:val="000813AB"/>
    <w:rsid w:val="000933D0"/>
    <w:rsid w:val="00096066"/>
    <w:rsid w:val="000D52A9"/>
    <w:rsid w:val="00105364"/>
    <w:rsid w:val="00106945"/>
    <w:rsid w:val="00315EBB"/>
    <w:rsid w:val="003B0B50"/>
    <w:rsid w:val="003C7A1F"/>
    <w:rsid w:val="0045481A"/>
    <w:rsid w:val="00494094"/>
    <w:rsid w:val="004B1ED4"/>
    <w:rsid w:val="004C0320"/>
    <w:rsid w:val="004C6C0E"/>
    <w:rsid w:val="004E6472"/>
    <w:rsid w:val="00572535"/>
    <w:rsid w:val="005811F1"/>
    <w:rsid w:val="00587C40"/>
    <w:rsid w:val="005E1AD1"/>
    <w:rsid w:val="006D7020"/>
    <w:rsid w:val="00772BD5"/>
    <w:rsid w:val="007D354A"/>
    <w:rsid w:val="00837782"/>
    <w:rsid w:val="008B2D1B"/>
    <w:rsid w:val="009362F9"/>
    <w:rsid w:val="00940DE3"/>
    <w:rsid w:val="00951BEE"/>
    <w:rsid w:val="00965002"/>
    <w:rsid w:val="009B6C77"/>
    <w:rsid w:val="00A06895"/>
    <w:rsid w:val="00A20FE5"/>
    <w:rsid w:val="00A53791"/>
    <w:rsid w:val="00AC7DDE"/>
    <w:rsid w:val="00AD3E32"/>
    <w:rsid w:val="00B478BE"/>
    <w:rsid w:val="00C513C8"/>
    <w:rsid w:val="00C63BE2"/>
    <w:rsid w:val="00D54D69"/>
    <w:rsid w:val="00D735D2"/>
    <w:rsid w:val="00EB12AA"/>
    <w:rsid w:val="00EC7440"/>
    <w:rsid w:val="00F31F11"/>
    <w:rsid w:val="00F43C53"/>
    <w:rsid w:val="00F642BC"/>
    <w:rsid w:val="00F834A8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 Antiqua" w:hAnsi="Book Antiqua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rFonts w:ascii="Bookman Old Style" w:hAnsi="Bookman Old Style"/>
      <w:sz w:val="24"/>
    </w:rPr>
  </w:style>
  <w:style w:type="paragraph" w:styleId="Header">
    <w:name w:val="header"/>
    <w:basedOn w:val="Normal"/>
    <w:link w:val="HeaderChar"/>
    <w:uiPriority w:val="99"/>
    <w:rsid w:val="004C0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320"/>
  </w:style>
  <w:style w:type="paragraph" w:styleId="BalloonText">
    <w:name w:val="Balloon Text"/>
    <w:basedOn w:val="Normal"/>
    <w:link w:val="BalloonTextChar"/>
    <w:rsid w:val="004C03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C03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3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3D0"/>
  </w:style>
  <w:style w:type="character" w:customStyle="1" w:styleId="CommentTextChar">
    <w:name w:val="Comment Text Char"/>
    <w:basedOn w:val="DefaultParagraphFont"/>
    <w:link w:val="CommentText"/>
    <w:rsid w:val="000933D0"/>
  </w:style>
  <w:style w:type="paragraph" w:styleId="CommentSubject">
    <w:name w:val="annotation subject"/>
    <w:basedOn w:val="CommentText"/>
    <w:next w:val="CommentText"/>
    <w:link w:val="CommentSubjectChar"/>
    <w:rsid w:val="000933D0"/>
    <w:rPr>
      <w:b/>
      <w:bCs/>
    </w:rPr>
  </w:style>
  <w:style w:type="character" w:customStyle="1" w:styleId="CommentSubjectChar">
    <w:name w:val="Comment Subject Char"/>
    <w:link w:val="CommentSubject"/>
    <w:rsid w:val="000933D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7C40"/>
    <w:rPr>
      <w:rFonts w:ascii="Book Antiqua" w:hAnsi="Book Antiqua"/>
      <w:b/>
      <w:sz w:val="24"/>
    </w:rPr>
  </w:style>
  <w:style w:type="paragraph" w:styleId="ListParagraph">
    <w:name w:val="List Paragraph"/>
    <w:basedOn w:val="Normal"/>
    <w:uiPriority w:val="34"/>
    <w:qFormat/>
    <w:rsid w:val="0058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 Antiqua" w:hAnsi="Book Antiqua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rFonts w:ascii="Bookman Old Style" w:hAnsi="Bookman Old Style"/>
      <w:sz w:val="24"/>
    </w:rPr>
  </w:style>
  <w:style w:type="paragraph" w:styleId="Header">
    <w:name w:val="header"/>
    <w:basedOn w:val="Normal"/>
    <w:link w:val="HeaderChar"/>
    <w:uiPriority w:val="99"/>
    <w:rsid w:val="004C0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320"/>
  </w:style>
  <w:style w:type="paragraph" w:styleId="BalloonText">
    <w:name w:val="Balloon Text"/>
    <w:basedOn w:val="Normal"/>
    <w:link w:val="BalloonTextChar"/>
    <w:rsid w:val="004C03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C03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3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3D0"/>
  </w:style>
  <w:style w:type="character" w:customStyle="1" w:styleId="CommentTextChar">
    <w:name w:val="Comment Text Char"/>
    <w:basedOn w:val="DefaultParagraphFont"/>
    <w:link w:val="CommentText"/>
    <w:rsid w:val="000933D0"/>
  </w:style>
  <w:style w:type="paragraph" w:styleId="CommentSubject">
    <w:name w:val="annotation subject"/>
    <w:basedOn w:val="CommentText"/>
    <w:next w:val="CommentText"/>
    <w:link w:val="CommentSubjectChar"/>
    <w:rsid w:val="000933D0"/>
    <w:rPr>
      <w:b/>
      <w:bCs/>
    </w:rPr>
  </w:style>
  <w:style w:type="character" w:customStyle="1" w:styleId="CommentSubjectChar">
    <w:name w:val="Comment Subject Char"/>
    <w:link w:val="CommentSubject"/>
    <w:rsid w:val="000933D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7C40"/>
    <w:rPr>
      <w:rFonts w:ascii="Book Antiqua" w:hAnsi="Book Antiqua"/>
      <w:b/>
      <w:sz w:val="24"/>
    </w:rPr>
  </w:style>
  <w:style w:type="paragraph" w:styleId="ListParagraph">
    <w:name w:val="List Paragraph"/>
    <w:basedOn w:val="Normal"/>
    <w:uiPriority w:val="34"/>
    <w:qFormat/>
    <w:rsid w:val="0058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Costs and Benefits of Privatization From the Perspective of Firms and Workers</vt:lpstr>
    </vt:vector>
  </TitlesOfParts>
  <Company>Inter-American Development Bank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Costs and Benefits of Privatization From the Perspective of Firms and Workers</dc:title>
  <dc:creator>Alberto Chong</dc:creator>
  <cp:lastModifiedBy>Inter-American Development Bank</cp:lastModifiedBy>
  <cp:revision>8</cp:revision>
  <dcterms:created xsi:type="dcterms:W3CDTF">2014-04-10T23:39:00Z</dcterms:created>
  <dcterms:modified xsi:type="dcterms:W3CDTF">2014-04-15T19:59:00Z</dcterms:modified>
</cp:coreProperties>
</file>