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1765" w:rsidRPr="002D1B02" w:rsidRDefault="006D1765" w:rsidP="006D1765">
      <w:pPr>
        <w:pStyle w:val="Title"/>
        <w:keepNext/>
        <w:rPr>
          <w:smallCaps/>
        </w:rPr>
      </w:pPr>
      <w:r w:rsidRPr="002D1B02">
        <w:rPr>
          <w:smallCaps/>
        </w:rPr>
        <w:t>Documento del Banco Interamericano de Desarrollo</w:t>
      </w:r>
    </w:p>
    <w:p w:rsidR="006D1765" w:rsidRPr="002D1B02" w:rsidRDefault="006D1765" w:rsidP="006D1765">
      <w:pPr>
        <w:keepNext/>
        <w:jc w:val="center"/>
        <w:outlineLvl w:val="0"/>
        <w:rPr>
          <w:lang w:val="es-ES"/>
        </w:rPr>
      </w:pPr>
    </w:p>
    <w:p w:rsidR="006D1765" w:rsidRPr="002D1B02" w:rsidRDefault="006D1765" w:rsidP="006D1765">
      <w:pPr>
        <w:keepNext/>
        <w:jc w:val="center"/>
        <w:rPr>
          <w:lang w:val="es-ES"/>
        </w:rPr>
      </w:pPr>
    </w:p>
    <w:p w:rsidR="006D1765" w:rsidRPr="002D1B02" w:rsidRDefault="006D1765" w:rsidP="006D1765">
      <w:pPr>
        <w:keepNext/>
        <w:jc w:val="center"/>
        <w:rPr>
          <w:lang w:val="es-ES"/>
        </w:rPr>
      </w:pPr>
    </w:p>
    <w:p w:rsidR="006D1765" w:rsidRPr="002D1B02" w:rsidRDefault="006D1765" w:rsidP="006D1765">
      <w:pPr>
        <w:keepNext/>
        <w:jc w:val="center"/>
        <w:rPr>
          <w:lang w:val="es-ES"/>
        </w:rPr>
      </w:pPr>
    </w:p>
    <w:p w:rsidR="006D1765" w:rsidRPr="002D1B02" w:rsidRDefault="006D1765" w:rsidP="006D1765">
      <w:pPr>
        <w:keepNext/>
        <w:jc w:val="center"/>
        <w:rPr>
          <w:lang w:val="es-ES"/>
        </w:rPr>
      </w:pPr>
    </w:p>
    <w:p w:rsidR="006D1765" w:rsidRPr="002D1B02" w:rsidRDefault="006D1765" w:rsidP="006D1765">
      <w:pPr>
        <w:keepNext/>
        <w:jc w:val="center"/>
        <w:rPr>
          <w:lang w:val="es-ES"/>
        </w:rPr>
      </w:pPr>
    </w:p>
    <w:p w:rsidR="006D1765" w:rsidRPr="002D1B02" w:rsidRDefault="006D1765" w:rsidP="006D1765">
      <w:pPr>
        <w:keepNext/>
        <w:jc w:val="center"/>
        <w:rPr>
          <w:lang w:val="es-ES"/>
        </w:rPr>
      </w:pPr>
    </w:p>
    <w:p w:rsidR="006D1765" w:rsidRPr="002D1B02" w:rsidRDefault="006D1765" w:rsidP="006D1765">
      <w:pPr>
        <w:keepNext/>
        <w:jc w:val="center"/>
        <w:rPr>
          <w:sz w:val="28"/>
          <w:szCs w:val="28"/>
          <w:lang w:val="es-ES"/>
        </w:rPr>
      </w:pPr>
    </w:p>
    <w:p w:rsidR="006D1765" w:rsidRPr="002D1B02" w:rsidRDefault="001F19D7" w:rsidP="006D1765">
      <w:pPr>
        <w:keepNext/>
        <w:jc w:val="center"/>
        <w:rPr>
          <w:rFonts w:ascii="Times New Roman Bold" w:hAnsi="Times New Roman Bold"/>
          <w:b/>
          <w:smallCaps/>
          <w:sz w:val="28"/>
          <w:szCs w:val="28"/>
          <w:lang w:val="es-ES"/>
        </w:rPr>
      </w:pPr>
      <w:r w:rsidRPr="002D1B02">
        <w:rPr>
          <w:rFonts w:ascii="Times New Roman Bold" w:hAnsi="Times New Roman Bold"/>
          <w:b/>
          <w:smallCaps/>
          <w:sz w:val="28"/>
          <w:szCs w:val="28"/>
          <w:lang w:val="es-ES"/>
        </w:rPr>
        <w:t>Panamá</w:t>
      </w:r>
    </w:p>
    <w:p w:rsidR="006D1765" w:rsidRPr="002D1B02" w:rsidRDefault="006D1765" w:rsidP="006D1765">
      <w:pPr>
        <w:keepNext/>
        <w:jc w:val="center"/>
        <w:rPr>
          <w:b/>
          <w:smallCaps/>
          <w:szCs w:val="28"/>
          <w:lang w:val="es-ES"/>
        </w:rPr>
      </w:pPr>
    </w:p>
    <w:p w:rsidR="006D1765" w:rsidRPr="002D1B02" w:rsidRDefault="006D1765" w:rsidP="006D1765">
      <w:pPr>
        <w:keepNext/>
        <w:jc w:val="center"/>
        <w:rPr>
          <w:b/>
          <w:smallCaps/>
          <w:szCs w:val="28"/>
          <w:lang w:val="es-ES"/>
        </w:rPr>
      </w:pPr>
    </w:p>
    <w:p w:rsidR="006D1765" w:rsidRPr="002D1B02" w:rsidRDefault="006D1765" w:rsidP="006D1765">
      <w:pPr>
        <w:keepNext/>
        <w:jc w:val="center"/>
        <w:rPr>
          <w:b/>
          <w:smallCaps/>
          <w:szCs w:val="28"/>
          <w:lang w:val="es-ES"/>
        </w:rPr>
      </w:pPr>
    </w:p>
    <w:p w:rsidR="006D1765" w:rsidRPr="002D1B02" w:rsidRDefault="006D1765" w:rsidP="006D1765">
      <w:pPr>
        <w:keepNext/>
        <w:jc w:val="center"/>
        <w:rPr>
          <w:b/>
          <w:smallCaps/>
          <w:szCs w:val="28"/>
          <w:lang w:val="es-ES"/>
        </w:rPr>
      </w:pPr>
    </w:p>
    <w:p w:rsidR="006D1765" w:rsidRPr="002D1B02" w:rsidRDefault="006D1765" w:rsidP="006D1765">
      <w:pPr>
        <w:keepNext/>
        <w:jc w:val="center"/>
        <w:rPr>
          <w:b/>
          <w:smallCaps/>
          <w:szCs w:val="28"/>
          <w:lang w:val="es-ES"/>
        </w:rPr>
      </w:pPr>
    </w:p>
    <w:p w:rsidR="006D1765" w:rsidRPr="002D1B02" w:rsidRDefault="006D1765" w:rsidP="006D1765">
      <w:pPr>
        <w:keepNext/>
        <w:jc w:val="center"/>
        <w:rPr>
          <w:b/>
          <w:smallCaps/>
          <w:szCs w:val="28"/>
          <w:lang w:val="es-ES"/>
        </w:rPr>
      </w:pPr>
    </w:p>
    <w:p w:rsidR="006D1765" w:rsidRPr="002D1B02" w:rsidRDefault="006D1765" w:rsidP="006D1765">
      <w:pPr>
        <w:keepNext/>
        <w:jc w:val="center"/>
        <w:rPr>
          <w:b/>
          <w:smallCaps/>
          <w:szCs w:val="28"/>
          <w:lang w:val="es-ES"/>
        </w:rPr>
      </w:pPr>
    </w:p>
    <w:p w:rsidR="006D1765" w:rsidRPr="002D1B02" w:rsidRDefault="006D1765" w:rsidP="006D1765">
      <w:pPr>
        <w:keepNext/>
        <w:jc w:val="center"/>
        <w:rPr>
          <w:b/>
          <w:smallCaps/>
          <w:szCs w:val="28"/>
          <w:lang w:val="es-ES"/>
        </w:rPr>
      </w:pPr>
    </w:p>
    <w:p w:rsidR="006D1765" w:rsidRPr="002D1B02" w:rsidRDefault="001F19D7" w:rsidP="006D1765">
      <w:pPr>
        <w:keepNext/>
        <w:jc w:val="center"/>
        <w:rPr>
          <w:b/>
          <w:smallCaps/>
          <w:szCs w:val="28"/>
          <w:lang w:val="es-ES"/>
        </w:rPr>
      </w:pPr>
      <w:r w:rsidRPr="002D1B02">
        <w:rPr>
          <w:b/>
          <w:smallCaps/>
          <w:sz w:val="28"/>
          <w:szCs w:val="28"/>
          <w:lang w:val="es-ES"/>
        </w:rPr>
        <w:t>APOYO AL PROGRAMA DE REFORMAS DEL SECTOR TRANSPORTE Y LOGÍSTICA DE PANAMÁ</w:t>
      </w:r>
    </w:p>
    <w:p w:rsidR="006D1765" w:rsidRPr="002D1B02" w:rsidRDefault="006D1765" w:rsidP="006D1765">
      <w:pPr>
        <w:keepNext/>
        <w:jc w:val="center"/>
        <w:rPr>
          <w:b/>
          <w:smallCaps/>
          <w:szCs w:val="28"/>
          <w:lang w:val="es-ES"/>
        </w:rPr>
      </w:pPr>
    </w:p>
    <w:p w:rsidR="006D1765" w:rsidRPr="002D1B02" w:rsidRDefault="006D1765" w:rsidP="006D1765">
      <w:pPr>
        <w:keepNext/>
        <w:jc w:val="center"/>
        <w:rPr>
          <w:smallCaps/>
          <w:sz w:val="28"/>
          <w:szCs w:val="28"/>
          <w:lang w:val="es-ES"/>
        </w:rPr>
      </w:pPr>
      <w:r w:rsidRPr="002D1B02">
        <w:rPr>
          <w:b/>
          <w:smallCaps/>
          <w:sz w:val="28"/>
          <w:szCs w:val="28"/>
          <w:lang w:val="es-ES"/>
        </w:rPr>
        <w:t>(</w:t>
      </w:r>
      <w:r w:rsidR="001F19D7" w:rsidRPr="002D1B02">
        <w:rPr>
          <w:b/>
          <w:smallCaps/>
          <w:sz w:val="28"/>
          <w:szCs w:val="28"/>
          <w:lang w:val="es-ES"/>
        </w:rPr>
        <w:t>PN-L</w:t>
      </w:r>
      <w:r w:rsidR="00584D54" w:rsidRPr="002D1B02">
        <w:rPr>
          <w:b/>
          <w:smallCaps/>
          <w:sz w:val="28"/>
          <w:szCs w:val="28"/>
          <w:lang w:val="es-ES"/>
        </w:rPr>
        <w:t>1119</w:t>
      </w:r>
      <w:r w:rsidRPr="002D1B02">
        <w:rPr>
          <w:b/>
          <w:smallCaps/>
          <w:sz w:val="28"/>
          <w:szCs w:val="28"/>
          <w:lang w:val="es-ES"/>
        </w:rPr>
        <w:t>)</w:t>
      </w:r>
    </w:p>
    <w:p w:rsidR="006D1765" w:rsidRPr="002D1B02" w:rsidRDefault="006D1765" w:rsidP="006D1765">
      <w:pPr>
        <w:keepNext/>
        <w:jc w:val="center"/>
        <w:rPr>
          <w:smallCaps/>
          <w:szCs w:val="28"/>
          <w:lang w:val="es-ES"/>
        </w:rPr>
      </w:pPr>
    </w:p>
    <w:p w:rsidR="006D1765" w:rsidRPr="002D1B02" w:rsidRDefault="006D1765" w:rsidP="006D1765">
      <w:pPr>
        <w:keepNext/>
        <w:jc w:val="center"/>
        <w:rPr>
          <w:smallCaps/>
          <w:szCs w:val="28"/>
          <w:lang w:val="es-ES"/>
        </w:rPr>
      </w:pPr>
    </w:p>
    <w:p w:rsidR="006D1765" w:rsidRPr="002D1B02" w:rsidRDefault="006D1765" w:rsidP="006D1765">
      <w:pPr>
        <w:keepNext/>
        <w:jc w:val="center"/>
        <w:rPr>
          <w:smallCaps/>
          <w:szCs w:val="28"/>
          <w:lang w:val="es-ES"/>
        </w:rPr>
      </w:pPr>
    </w:p>
    <w:p w:rsidR="006D1765" w:rsidRPr="002D1B02" w:rsidRDefault="006D1765" w:rsidP="006D1765">
      <w:pPr>
        <w:keepNext/>
        <w:jc w:val="center"/>
        <w:rPr>
          <w:smallCaps/>
          <w:szCs w:val="28"/>
          <w:lang w:val="es-ES"/>
        </w:rPr>
      </w:pPr>
    </w:p>
    <w:p w:rsidR="006D1765" w:rsidRPr="002D1B02" w:rsidRDefault="006D1765" w:rsidP="006D1765">
      <w:pPr>
        <w:keepNext/>
        <w:jc w:val="center"/>
        <w:rPr>
          <w:smallCaps/>
          <w:szCs w:val="28"/>
          <w:lang w:val="es-ES"/>
        </w:rPr>
      </w:pPr>
    </w:p>
    <w:p w:rsidR="006D1765" w:rsidRPr="002D1B02" w:rsidRDefault="006D1765" w:rsidP="006D1765">
      <w:pPr>
        <w:keepNext/>
        <w:jc w:val="center"/>
        <w:outlineLvl w:val="0"/>
        <w:rPr>
          <w:b/>
          <w:smallCaps/>
          <w:sz w:val="28"/>
          <w:szCs w:val="28"/>
          <w:lang w:val="es-ES"/>
        </w:rPr>
      </w:pPr>
      <w:r w:rsidRPr="002D1B02">
        <w:rPr>
          <w:b/>
          <w:smallCaps/>
          <w:sz w:val="28"/>
          <w:szCs w:val="28"/>
          <w:lang w:val="es-ES"/>
        </w:rPr>
        <w:t xml:space="preserve">Plan de Monitoreo y Evaluación </w:t>
      </w:r>
    </w:p>
    <w:p w:rsidR="006D1765" w:rsidRPr="002D1B02" w:rsidRDefault="006D1765" w:rsidP="006D1765">
      <w:pPr>
        <w:keepNext/>
        <w:jc w:val="center"/>
        <w:rPr>
          <w:lang w:val="es-ES"/>
        </w:rPr>
      </w:pPr>
    </w:p>
    <w:p w:rsidR="006D1765" w:rsidRPr="002D1B02" w:rsidRDefault="006D1765" w:rsidP="006D1765">
      <w:pPr>
        <w:keepNext/>
        <w:jc w:val="center"/>
        <w:rPr>
          <w:lang w:val="es-ES"/>
        </w:rPr>
      </w:pPr>
    </w:p>
    <w:p w:rsidR="006D1765" w:rsidRPr="002D1B02" w:rsidRDefault="006D1765" w:rsidP="006D1765">
      <w:pPr>
        <w:keepNext/>
        <w:jc w:val="center"/>
        <w:rPr>
          <w:lang w:val="es-ES"/>
        </w:rPr>
      </w:pPr>
    </w:p>
    <w:p w:rsidR="006D1765" w:rsidRPr="002D1B02" w:rsidRDefault="006D1765" w:rsidP="006D1765">
      <w:pPr>
        <w:keepNext/>
        <w:jc w:val="center"/>
        <w:rPr>
          <w:lang w:val="es-ES"/>
        </w:rPr>
      </w:pPr>
    </w:p>
    <w:p w:rsidR="006D1765" w:rsidRPr="002D1B02" w:rsidRDefault="006D1765" w:rsidP="006D1765">
      <w:pPr>
        <w:keepNext/>
        <w:jc w:val="center"/>
        <w:rPr>
          <w:lang w:val="es-ES"/>
        </w:rPr>
      </w:pPr>
    </w:p>
    <w:p w:rsidR="00A90B17" w:rsidRPr="002D1B02" w:rsidRDefault="00A90B17" w:rsidP="006D1765">
      <w:pPr>
        <w:keepNext/>
        <w:jc w:val="center"/>
        <w:rPr>
          <w:lang w:val="es-ES"/>
        </w:rPr>
      </w:pPr>
    </w:p>
    <w:p w:rsidR="009E2E3E" w:rsidRPr="002D1B02" w:rsidRDefault="009E2E3E" w:rsidP="006D1765">
      <w:pPr>
        <w:keepNext/>
        <w:jc w:val="center"/>
        <w:rPr>
          <w:lang w:val="es-ES"/>
        </w:rPr>
      </w:pPr>
    </w:p>
    <w:p w:rsidR="009E2E3E" w:rsidRPr="002D1B02" w:rsidRDefault="009E2E3E" w:rsidP="006D1765">
      <w:pPr>
        <w:keepNext/>
        <w:jc w:val="center"/>
        <w:rPr>
          <w:lang w:val="es-ES"/>
        </w:rPr>
      </w:pPr>
    </w:p>
    <w:p w:rsidR="009E2E3E" w:rsidRPr="002D1B02" w:rsidRDefault="009E2E3E" w:rsidP="006D1765">
      <w:pPr>
        <w:keepNext/>
        <w:jc w:val="center"/>
        <w:rPr>
          <w:lang w:val="es-ES"/>
        </w:rPr>
      </w:pPr>
    </w:p>
    <w:p w:rsidR="00A90B17" w:rsidRPr="002D1B02" w:rsidRDefault="00A90B17" w:rsidP="006D1765">
      <w:pPr>
        <w:keepNext/>
        <w:jc w:val="center"/>
        <w:rPr>
          <w:lang w:val="es-ES"/>
        </w:rPr>
      </w:pPr>
    </w:p>
    <w:p w:rsidR="00A90B17" w:rsidRPr="002D1B02" w:rsidRDefault="00A90B17" w:rsidP="006D1765">
      <w:pPr>
        <w:keepNext/>
        <w:jc w:val="center"/>
        <w:rPr>
          <w:lang w:val="es-ES"/>
        </w:rPr>
      </w:pPr>
    </w:p>
    <w:p w:rsidR="006D1765" w:rsidRPr="002D1B02" w:rsidRDefault="006D1765" w:rsidP="006D1765">
      <w:pPr>
        <w:keepNext/>
        <w:tabs>
          <w:tab w:val="left" w:pos="1440"/>
          <w:tab w:val="left" w:pos="3060"/>
        </w:tabs>
        <w:jc w:val="center"/>
        <w:rPr>
          <w:lang w:val="es-ES"/>
        </w:rPr>
      </w:pPr>
    </w:p>
    <w:p w:rsidR="009E2E3E" w:rsidRPr="002D1B02" w:rsidRDefault="00B6292D" w:rsidP="009E2E3E">
      <w:pPr>
        <w:pStyle w:val="BodyText"/>
        <w:keepNext/>
        <w:pBdr>
          <w:top w:val="single" w:sz="4" w:space="1" w:color="auto"/>
          <w:left w:val="single" w:sz="4" w:space="4" w:color="auto"/>
          <w:bottom w:val="single" w:sz="4" w:space="1" w:color="auto"/>
          <w:right w:val="single" w:sz="4" w:space="4" w:color="auto"/>
        </w:pBdr>
        <w:jc w:val="both"/>
        <w:rPr>
          <w:lang w:val="es-ES"/>
        </w:rPr>
      </w:pPr>
      <w:r w:rsidRPr="002D1B02">
        <w:rPr>
          <w:lang w:val="es-ES"/>
        </w:rPr>
        <w:t xml:space="preserve">Este documento fue preparado por el equipo de proyecto compuesto por: Reinaldo Fioravanti (INE/TSP), Jefe de Equipo; Juan Manuel </w:t>
      </w:r>
      <w:proofErr w:type="spellStart"/>
      <w:r w:rsidRPr="002D1B02">
        <w:rPr>
          <w:lang w:val="es-ES"/>
        </w:rPr>
        <w:t>Leaño</w:t>
      </w:r>
      <w:proofErr w:type="spellEnd"/>
      <w:r w:rsidRPr="002D1B02">
        <w:rPr>
          <w:lang w:val="es-ES"/>
        </w:rPr>
        <w:t>, Jefe de Equipo Alterno (TSP/CPN); Alejandro Taddia, Raúl Rodríguez, Ernesto Monter, Eduardo Café y Virginia Navas (INE/TSP); Pilar Jimenez de Arechaga (LEG/SGO); Ger</w:t>
      </w:r>
      <w:r w:rsidR="001E577D" w:rsidRPr="002D1B02">
        <w:rPr>
          <w:lang w:val="es-ES"/>
        </w:rPr>
        <w:t xml:space="preserve">ónimo Frigerio, Juan Benavides, </w:t>
      </w:r>
      <w:r w:rsidRPr="002D1B02">
        <w:rPr>
          <w:lang w:val="es-ES"/>
        </w:rPr>
        <w:t xml:space="preserve"> Marelia Martinez</w:t>
      </w:r>
      <w:r w:rsidR="001E577D" w:rsidRPr="002D1B02">
        <w:rPr>
          <w:lang w:val="es-ES"/>
        </w:rPr>
        <w:t xml:space="preserve"> y Marcio Cracel</w:t>
      </w:r>
      <w:r w:rsidRPr="002D1B02">
        <w:rPr>
          <w:lang w:val="es-ES"/>
        </w:rPr>
        <w:t xml:space="preserve"> (consultores).</w:t>
      </w:r>
      <w:r w:rsidR="009E2E3E" w:rsidRPr="002D1B02">
        <w:rPr>
          <w:rFonts w:ascii="Times New Roman Bold" w:hAnsi="Times New Roman Bold"/>
          <w:b/>
          <w:bCs/>
          <w:smallCaps/>
          <w:sz w:val="22"/>
          <w:szCs w:val="22"/>
          <w:lang w:val="es-ES"/>
        </w:rPr>
        <w:br w:type="page"/>
      </w:r>
    </w:p>
    <w:p w:rsidR="0047412F" w:rsidRPr="002D1B02" w:rsidRDefault="0047412F" w:rsidP="00965C57">
      <w:pPr>
        <w:pStyle w:val="ListParagraph"/>
        <w:numPr>
          <w:ilvl w:val="0"/>
          <w:numId w:val="10"/>
        </w:numPr>
        <w:spacing w:before="120" w:after="120"/>
        <w:contextualSpacing w:val="0"/>
        <w:rPr>
          <w:b/>
          <w:smallCaps/>
          <w:lang w:val="es-ES"/>
        </w:rPr>
      </w:pPr>
      <w:r w:rsidRPr="002D1B02">
        <w:rPr>
          <w:b/>
          <w:smallCaps/>
          <w:lang w:val="es-ES"/>
        </w:rPr>
        <w:lastRenderedPageBreak/>
        <w:t>I</w:t>
      </w:r>
      <w:r w:rsidR="008874E7">
        <w:rPr>
          <w:b/>
          <w:smallCaps/>
          <w:lang w:val="es-ES"/>
        </w:rPr>
        <w:t>ntroducción</w:t>
      </w:r>
    </w:p>
    <w:p w:rsidR="00A20BD6" w:rsidRPr="002D1B02" w:rsidRDefault="0047412F" w:rsidP="00965C57">
      <w:pPr>
        <w:pStyle w:val="ListParagraph"/>
        <w:numPr>
          <w:ilvl w:val="1"/>
          <w:numId w:val="10"/>
        </w:numPr>
        <w:spacing w:before="120" w:after="120"/>
        <w:ind w:left="450" w:hanging="450"/>
        <w:contextualSpacing w:val="0"/>
        <w:jc w:val="both"/>
        <w:rPr>
          <w:lang w:val="es-ES"/>
        </w:rPr>
      </w:pPr>
      <w:r w:rsidRPr="002D1B02">
        <w:rPr>
          <w:lang w:val="es-ES"/>
        </w:rPr>
        <w:t>E</w:t>
      </w:r>
      <w:r w:rsidR="005A516D" w:rsidRPr="002D1B02">
        <w:rPr>
          <w:lang w:val="es-ES"/>
        </w:rPr>
        <w:t>l presente</w:t>
      </w:r>
      <w:r w:rsidR="009B3935" w:rsidRPr="002D1B02">
        <w:rPr>
          <w:lang w:val="es-ES"/>
        </w:rPr>
        <w:t xml:space="preserve"> </w:t>
      </w:r>
      <w:r w:rsidRPr="002D1B02">
        <w:rPr>
          <w:lang w:val="es-ES"/>
        </w:rPr>
        <w:t xml:space="preserve">documento describe </w:t>
      </w:r>
      <w:r w:rsidR="003B62A4" w:rsidRPr="002D1B02">
        <w:rPr>
          <w:lang w:val="es-ES"/>
        </w:rPr>
        <w:t>las tareas</w:t>
      </w:r>
      <w:r w:rsidRPr="002D1B02">
        <w:rPr>
          <w:lang w:val="es-ES"/>
        </w:rPr>
        <w:t xml:space="preserve"> de monitoreo y evaluación </w:t>
      </w:r>
      <w:r w:rsidR="00280DC2" w:rsidRPr="002D1B02">
        <w:rPr>
          <w:lang w:val="es-ES"/>
        </w:rPr>
        <w:t>necesarias</w:t>
      </w:r>
      <w:r w:rsidR="003B62A4" w:rsidRPr="002D1B02">
        <w:rPr>
          <w:lang w:val="es-ES"/>
        </w:rPr>
        <w:t xml:space="preserve"> respecto a </w:t>
      </w:r>
      <w:r w:rsidRPr="002D1B02">
        <w:rPr>
          <w:lang w:val="es-ES"/>
        </w:rPr>
        <w:t xml:space="preserve">las actividades, compromisos de política y resultados del </w:t>
      </w:r>
      <w:r w:rsidR="004F53DE" w:rsidRPr="002D1B02">
        <w:rPr>
          <w:lang w:val="es-ES"/>
        </w:rPr>
        <w:t xml:space="preserve">Apoyo al Programa de Reformas del Sector Transporte y </w:t>
      </w:r>
      <w:r w:rsidR="00487E74" w:rsidRPr="002D1B02">
        <w:rPr>
          <w:lang w:val="es-ES"/>
        </w:rPr>
        <w:t>Logística (</w:t>
      </w:r>
      <w:r w:rsidR="004F53DE" w:rsidRPr="002D1B02">
        <w:rPr>
          <w:lang w:val="es-ES"/>
        </w:rPr>
        <w:t>PN-L</w:t>
      </w:r>
      <w:r w:rsidR="00584D54" w:rsidRPr="002D1B02">
        <w:rPr>
          <w:lang w:val="es-ES"/>
        </w:rPr>
        <w:t>1119</w:t>
      </w:r>
      <w:r w:rsidRPr="002D1B02">
        <w:rPr>
          <w:lang w:val="es-ES"/>
        </w:rPr>
        <w:t>).</w:t>
      </w:r>
    </w:p>
    <w:p w:rsidR="00CE4A94" w:rsidRPr="002D1B02" w:rsidRDefault="00584D54" w:rsidP="00965C57">
      <w:pPr>
        <w:pStyle w:val="ListParagraph"/>
        <w:numPr>
          <w:ilvl w:val="1"/>
          <w:numId w:val="10"/>
        </w:numPr>
        <w:spacing w:before="120" w:after="120"/>
        <w:ind w:left="450" w:hanging="450"/>
        <w:contextualSpacing w:val="0"/>
        <w:jc w:val="both"/>
        <w:rPr>
          <w:lang w:val="es-ES"/>
        </w:rPr>
      </w:pPr>
      <w:r w:rsidRPr="002D1B02">
        <w:rPr>
          <w:lang w:val="es-ES"/>
        </w:rPr>
        <w:t>El objetivo del programa es contribuir a la mejora del desempeño logístico de Panamá a través de la reducción de restricciones normativas e institucionales que limitan el desempeño del país especialmente en los ámbitos de: (a</w:t>
      </w:r>
      <w:r w:rsidR="00487E74" w:rsidRPr="002D1B02">
        <w:rPr>
          <w:lang w:val="es-ES"/>
        </w:rPr>
        <w:t>) servicios</w:t>
      </w:r>
      <w:r w:rsidRPr="002D1B02">
        <w:rPr>
          <w:lang w:val="es-ES"/>
        </w:rPr>
        <w:t xml:space="preserve"> logísticos de valor agregado, (b) logística de apoyo al sector agrícola, y (c) logística de apoyo al comercio regional. Los objetivos específicos del programa son: (i) fortalecimiento del marco legal y regulatorio; (ii) consolidación del marco institucional de logística y transporte; y (iii) fortalecimiento del sistema de planificación multisectorial y de facilitación comercial.</w:t>
      </w:r>
    </w:p>
    <w:p w:rsidR="000605EA" w:rsidRPr="002D1B02" w:rsidRDefault="000605EA" w:rsidP="00965C57">
      <w:pPr>
        <w:pStyle w:val="ListParagraph"/>
        <w:numPr>
          <w:ilvl w:val="1"/>
          <w:numId w:val="10"/>
        </w:numPr>
        <w:spacing w:before="120" w:after="120"/>
        <w:ind w:left="450" w:hanging="450"/>
        <w:contextualSpacing w:val="0"/>
        <w:jc w:val="both"/>
        <w:rPr>
          <w:lang w:val="es-ES"/>
        </w:rPr>
      </w:pPr>
      <w:r w:rsidRPr="002D1B02">
        <w:rPr>
          <w:lang w:val="es-ES"/>
        </w:rPr>
        <w:t xml:space="preserve">El método adecuado de evaluación para un préstamo de políticas de tipo programático (PBP) con objetivos y metas </w:t>
      </w:r>
      <w:r w:rsidR="007C4F9A" w:rsidRPr="002D1B02">
        <w:rPr>
          <w:lang w:val="es-ES"/>
        </w:rPr>
        <w:t>específica</w:t>
      </w:r>
      <w:r w:rsidRPr="002D1B02">
        <w:rPr>
          <w:lang w:val="es-ES"/>
        </w:rPr>
        <w:t xml:space="preserve">s es el de evaluación reflexiva. El equipo evaluará la consecución de los objetivos del programa tomando como referencia las metas e indicadores establecidos en las matrices de política y de resultados de las operaciones del programa. </w:t>
      </w:r>
    </w:p>
    <w:p w:rsidR="001641DD" w:rsidRDefault="007C4F9A" w:rsidP="00965C57">
      <w:pPr>
        <w:pStyle w:val="ListParagraph"/>
        <w:numPr>
          <w:ilvl w:val="1"/>
          <w:numId w:val="10"/>
        </w:numPr>
        <w:spacing w:before="120" w:after="120"/>
        <w:ind w:left="450" w:hanging="450"/>
        <w:contextualSpacing w:val="0"/>
        <w:jc w:val="both"/>
        <w:rPr>
          <w:lang w:val="es-ES"/>
        </w:rPr>
      </w:pPr>
      <w:r w:rsidRPr="002D1B02">
        <w:rPr>
          <w:lang w:val="es-ES"/>
        </w:rPr>
        <w:t>Adicionalmente, se hará un análisis económico ex post del tipo insumo-producto para evaluar el impacto de las acciones del programa en el PIB nacional. Así mismo se llevará a cabo una evaluación de impacto ex post utilizando el método de control sintético para evaluar el impacto del aumento de las exportaciones de bienes y servicios como resultado de la implantación del Plan Nacional de Logística (</w:t>
      </w:r>
      <w:r w:rsidRPr="003A5826">
        <w:rPr>
          <w:b/>
          <w:smallCaps/>
          <w:lang w:val="es-ES"/>
        </w:rPr>
        <w:t>PNLOG</w:t>
      </w:r>
      <w:r w:rsidRPr="002D1B02">
        <w:rPr>
          <w:lang w:val="es-ES"/>
        </w:rPr>
        <w:t>).</w:t>
      </w:r>
    </w:p>
    <w:p w:rsidR="00FD48BC" w:rsidRDefault="00FD48BC" w:rsidP="008A02B3">
      <w:pPr>
        <w:pStyle w:val="ListParagraph"/>
        <w:spacing w:before="120" w:after="120"/>
        <w:ind w:left="450"/>
        <w:contextualSpacing w:val="0"/>
        <w:jc w:val="both"/>
        <w:rPr>
          <w:lang w:val="es-ES"/>
        </w:rPr>
      </w:pPr>
    </w:p>
    <w:p w:rsidR="00FD48BC" w:rsidRPr="001E63CD" w:rsidRDefault="00FD48BC" w:rsidP="001E63CD">
      <w:pPr>
        <w:pStyle w:val="ListParagraph"/>
        <w:numPr>
          <w:ilvl w:val="0"/>
          <w:numId w:val="10"/>
        </w:numPr>
        <w:spacing w:before="120" w:after="120"/>
        <w:contextualSpacing w:val="0"/>
        <w:rPr>
          <w:b/>
          <w:smallCaps/>
          <w:lang w:val="es-ES"/>
        </w:rPr>
      </w:pPr>
      <w:r w:rsidRPr="001E63CD">
        <w:rPr>
          <w:b/>
          <w:smallCaps/>
          <w:lang w:val="es-ES"/>
        </w:rPr>
        <w:t>M</w:t>
      </w:r>
      <w:r w:rsidR="008874E7" w:rsidRPr="001E63CD">
        <w:rPr>
          <w:b/>
          <w:smallCaps/>
          <w:lang w:val="es-ES"/>
        </w:rPr>
        <w:t>onitoreo</w:t>
      </w:r>
      <w:r w:rsidR="00AB5FEC" w:rsidRPr="001E63CD">
        <w:rPr>
          <w:b/>
          <w:smallCaps/>
          <w:lang w:val="es-ES"/>
        </w:rPr>
        <w:t>.</w:t>
      </w:r>
    </w:p>
    <w:p w:rsidR="00501185" w:rsidRDefault="0022066F" w:rsidP="00965C57">
      <w:pPr>
        <w:pStyle w:val="ListParagraph"/>
        <w:numPr>
          <w:ilvl w:val="1"/>
          <w:numId w:val="10"/>
        </w:numPr>
        <w:spacing w:before="120" w:after="120"/>
        <w:ind w:left="450" w:hanging="450"/>
        <w:contextualSpacing w:val="0"/>
        <w:jc w:val="both"/>
        <w:rPr>
          <w:bCs/>
          <w:lang w:val="es-ES"/>
        </w:rPr>
      </w:pPr>
      <w:r w:rsidRPr="0022066F">
        <w:rPr>
          <w:bCs/>
          <w:lang w:val="es-ES"/>
        </w:rPr>
        <w:t xml:space="preserve">El objetivo del monitoreo es: (i) verificar el cumplimiento de los compromisos de política del Gobierno de </w:t>
      </w:r>
      <w:r>
        <w:rPr>
          <w:lang w:val="es-ES"/>
        </w:rPr>
        <w:t>Panamá</w:t>
      </w:r>
      <w:r w:rsidRPr="0022066F">
        <w:rPr>
          <w:bCs/>
          <w:lang w:val="es-ES"/>
        </w:rPr>
        <w:t xml:space="preserve"> establecidos en la matriz de políticas (Anexo II del POD); y (ii) verificar su alcance e impacto de acuerdo a las metas e indicadores establecidos en la matriz de políticas y en la de resultados utilizando como referencia la Evaluación Macroeconómica Independiente del Banco.</w:t>
      </w:r>
    </w:p>
    <w:p w:rsidR="00CD5D91" w:rsidRDefault="00CD5D91" w:rsidP="00965C57">
      <w:pPr>
        <w:pStyle w:val="ListParagraph"/>
        <w:numPr>
          <w:ilvl w:val="1"/>
          <w:numId w:val="10"/>
        </w:numPr>
        <w:spacing w:before="120" w:after="120"/>
        <w:ind w:left="450" w:hanging="450"/>
        <w:contextualSpacing w:val="0"/>
        <w:jc w:val="both"/>
        <w:rPr>
          <w:bCs/>
          <w:lang w:val="es-ES"/>
        </w:rPr>
      </w:pPr>
      <w:r w:rsidRPr="00CD5D91">
        <w:rPr>
          <w:bCs/>
          <w:lang w:val="es-ES"/>
        </w:rPr>
        <w:t>El monitoreo de las metas incluidas en la matriz de política</w:t>
      </w:r>
      <w:r w:rsidR="00D430CD">
        <w:rPr>
          <w:bCs/>
          <w:lang w:val="es-ES"/>
        </w:rPr>
        <w:t xml:space="preserve"> / Medios de Verificación</w:t>
      </w:r>
      <w:r w:rsidRPr="00CD5D91">
        <w:rPr>
          <w:bCs/>
          <w:lang w:val="es-ES"/>
        </w:rPr>
        <w:t xml:space="preserve"> será realizada por el equipo de proyecto con el apoyo de un consultor y con los insumos provistos por el equipo </w:t>
      </w:r>
      <w:r>
        <w:rPr>
          <w:bCs/>
          <w:lang w:val="es-ES"/>
        </w:rPr>
        <w:t>del Ministerio de Economía y Finanzas</w:t>
      </w:r>
      <w:r w:rsidR="00C66195">
        <w:rPr>
          <w:bCs/>
          <w:lang w:val="es-ES"/>
        </w:rPr>
        <w:t xml:space="preserve"> (MEF)</w:t>
      </w:r>
      <w:r>
        <w:rPr>
          <w:bCs/>
          <w:lang w:val="es-ES"/>
        </w:rPr>
        <w:t>,</w:t>
      </w:r>
      <w:r w:rsidRPr="00CD5D91">
        <w:rPr>
          <w:bCs/>
          <w:lang w:val="es-ES"/>
        </w:rPr>
        <w:t xml:space="preserve"> </w:t>
      </w:r>
      <w:r>
        <w:rPr>
          <w:bCs/>
          <w:lang w:val="es-ES"/>
        </w:rPr>
        <w:t xml:space="preserve">la </w:t>
      </w:r>
      <w:r w:rsidRPr="00CD5D91">
        <w:rPr>
          <w:bCs/>
          <w:lang w:val="es-ES"/>
        </w:rPr>
        <w:t>Contraloría Nacional de la República</w:t>
      </w:r>
      <w:r w:rsidR="00C66195">
        <w:rPr>
          <w:bCs/>
          <w:lang w:val="es-ES"/>
        </w:rPr>
        <w:t xml:space="preserve"> (CNR)</w:t>
      </w:r>
      <w:r>
        <w:rPr>
          <w:bCs/>
          <w:lang w:val="es-ES"/>
        </w:rPr>
        <w:t xml:space="preserve">, la </w:t>
      </w:r>
      <w:r w:rsidRPr="00CD5D91">
        <w:rPr>
          <w:bCs/>
          <w:lang w:val="es-ES"/>
        </w:rPr>
        <w:t>Secretaria Integración Económica Centro</w:t>
      </w:r>
      <w:r w:rsidR="00C66195">
        <w:rPr>
          <w:bCs/>
          <w:lang w:val="es-ES"/>
        </w:rPr>
        <w:t>a</w:t>
      </w:r>
      <w:r w:rsidRPr="00CD5D91">
        <w:rPr>
          <w:bCs/>
          <w:lang w:val="es-ES"/>
        </w:rPr>
        <w:t>mérica</w:t>
      </w:r>
      <w:r w:rsidR="00C66195">
        <w:rPr>
          <w:bCs/>
          <w:lang w:val="es-ES"/>
        </w:rPr>
        <w:t xml:space="preserve"> (SIECA)</w:t>
      </w:r>
      <w:r>
        <w:rPr>
          <w:bCs/>
          <w:lang w:val="es-ES"/>
        </w:rPr>
        <w:t xml:space="preserve">, </w:t>
      </w:r>
      <w:r w:rsidR="00C66195">
        <w:rPr>
          <w:bCs/>
          <w:lang w:val="es-ES"/>
        </w:rPr>
        <w:t>el Gabinete Logístico y</w:t>
      </w:r>
      <w:r>
        <w:rPr>
          <w:bCs/>
          <w:lang w:val="es-ES"/>
        </w:rPr>
        <w:t xml:space="preserve"> Coordinación Logística</w:t>
      </w:r>
      <w:r w:rsidR="00C66195">
        <w:rPr>
          <w:bCs/>
          <w:lang w:val="es-ES"/>
        </w:rPr>
        <w:t xml:space="preserve"> (CL)</w:t>
      </w:r>
      <w:r>
        <w:rPr>
          <w:bCs/>
          <w:lang w:val="es-ES"/>
        </w:rPr>
        <w:t>, la Autoridad Nacional de Aduanas</w:t>
      </w:r>
      <w:r w:rsidR="00C66195">
        <w:rPr>
          <w:bCs/>
          <w:lang w:val="es-ES"/>
        </w:rPr>
        <w:t xml:space="preserve"> (ANA)</w:t>
      </w:r>
      <w:r>
        <w:rPr>
          <w:bCs/>
          <w:lang w:val="es-ES"/>
        </w:rPr>
        <w:t xml:space="preserve">, </w:t>
      </w:r>
      <w:r w:rsidR="00E24C6D">
        <w:rPr>
          <w:bCs/>
          <w:lang w:val="es-ES"/>
        </w:rPr>
        <w:t>la Autoridad Marítima de Panamá</w:t>
      </w:r>
      <w:r w:rsidR="00C66195">
        <w:rPr>
          <w:bCs/>
          <w:lang w:val="es-ES"/>
        </w:rPr>
        <w:t xml:space="preserve"> (AMP)</w:t>
      </w:r>
      <w:r w:rsidR="00E24C6D">
        <w:rPr>
          <w:bCs/>
          <w:lang w:val="es-ES"/>
        </w:rPr>
        <w:t xml:space="preserve">, </w:t>
      </w:r>
      <w:r w:rsidR="00E24C6D" w:rsidRPr="00E24C6D">
        <w:rPr>
          <w:bCs/>
          <w:lang w:val="es-ES"/>
        </w:rPr>
        <w:t xml:space="preserve">el </w:t>
      </w:r>
      <w:r w:rsidR="00C66195">
        <w:rPr>
          <w:bCs/>
          <w:lang w:val="es-ES"/>
        </w:rPr>
        <w:t>O</w:t>
      </w:r>
      <w:r w:rsidR="00E24C6D" w:rsidRPr="00E24C6D">
        <w:rPr>
          <w:bCs/>
          <w:lang w:val="es-ES"/>
        </w:rPr>
        <w:t xml:space="preserve">bservatorio </w:t>
      </w:r>
      <w:r w:rsidR="00C66195">
        <w:rPr>
          <w:bCs/>
          <w:lang w:val="es-ES"/>
        </w:rPr>
        <w:t>R</w:t>
      </w:r>
      <w:r w:rsidR="00E24C6D" w:rsidRPr="00E24C6D">
        <w:rPr>
          <w:bCs/>
          <w:lang w:val="es-ES"/>
        </w:rPr>
        <w:t xml:space="preserve">egional de </w:t>
      </w:r>
      <w:r w:rsidR="00C66195">
        <w:rPr>
          <w:bCs/>
          <w:lang w:val="es-ES"/>
        </w:rPr>
        <w:t>L</w:t>
      </w:r>
      <w:r w:rsidR="00E24C6D" w:rsidRPr="00E24C6D">
        <w:rPr>
          <w:bCs/>
          <w:lang w:val="es-ES"/>
        </w:rPr>
        <w:t>ogística</w:t>
      </w:r>
      <w:r w:rsidR="00C66195">
        <w:rPr>
          <w:bCs/>
          <w:lang w:val="es-ES"/>
        </w:rPr>
        <w:t xml:space="preserve"> de</w:t>
      </w:r>
      <w:r w:rsidR="00E24C6D" w:rsidRPr="00E24C6D">
        <w:rPr>
          <w:bCs/>
          <w:lang w:val="es-ES"/>
        </w:rPr>
        <w:t xml:space="preserve"> Mesoamérica</w:t>
      </w:r>
      <w:r w:rsidR="00E24C6D">
        <w:rPr>
          <w:bCs/>
          <w:lang w:val="es-ES"/>
        </w:rPr>
        <w:t xml:space="preserve">, el Ministerio de la </w:t>
      </w:r>
      <w:r w:rsidR="00C66195">
        <w:rPr>
          <w:bCs/>
          <w:lang w:val="es-ES"/>
        </w:rPr>
        <w:t>P</w:t>
      </w:r>
      <w:r w:rsidR="00E24C6D">
        <w:rPr>
          <w:bCs/>
          <w:lang w:val="es-ES"/>
        </w:rPr>
        <w:t>residencia</w:t>
      </w:r>
      <w:r w:rsidR="00C66195">
        <w:rPr>
          <w:bCs/>
          <w:lang w:val="es-ES"/>
        </w:rPr>
        <w:t xml:space="preserve"> (MP)</w:t>
      </w:r>
      <w:r w:rsidR="00E24C6D">
        <w:rPr>
          <w:bCs/>
          <w:lang w:val="es-ES"/>
        </w:rPr>
        <w:t xml:space="preserve">, el </w:t>
      </w:r>
      <w:r w:rsidR="00E24C6D" w:rsidRPr="00E24C6D">
        <w:rPr>
          <w:bCs/>
          <w:lang w:val="es-ES"/>
        </w:rPr>
        <w:t>Ministerio de Vivienda y Ordenamiento Territorial</w:t>
      </w:r>
      <w:r w:rsidR="00C66195">
        <w:rPr>
          <w:bCs/>
          <w:lang w:val="es-ES"/>
        </w:rPr>
        <w:t xml:space="preserve"> (MIVIOT)</w:t>
      </w:r>
      <w:r w:rsidR="00E24C6D">
        <w:rPr>
          <w:bCs/>
          <w:lang w:val="es-ES"/>
        </w:rPr>
        <w:t xml:space="preserve">, y </w:t>
      </w:r>
      <w:r w:rsidR="00E24C6D" w:rsidRPr="00E24C6D">
        <w:rPr>
          <w:bCs/>
          <w:lang w:val="es-ES"/>
        </w:rPr>
        <w:t>el Ministerio de Comercio e Industria</w:t>
      </w:r>
      <w:r w:rsidR="00C66195">
        <w:rPr>
          <w:bCs/>
          <w:lang w:val="es-ES"/>
        </w:rPr>
        <w:t xml:space="preserve"> (MICI)</w:t>
      </w:r>
      <w:r w:rsidR="00E24C6D">
        <w:rPr>
          <w:bCs/>
          <w:lang w:val="es-ES"/>
        </w:rPr>
        <w:t xml:space="preserve">. </w:t>
      </w:r>
      <w:r w:rsidRPr="00CD5D91">
        <w:rPr>
          <w:bCs/>
          <w:lang w:val="es-ES"/>
        </w:rPr>
        <w:t>Los medios de verificación serán la fuente de información que determinará el cumplimiento de las metas de política. El monitoreo del equipo de proyecto tendrá inicio después de la aprobación de la operación en el Directorio del Banco, con el objetivo de elaborar el Memorando de Desembolso. Por otro lado, el monitoreo de las metas e indicadores de los resultados tendrá inicio una vez desembolsados los recursos de la operación.</w:t>
      </w:r>
    </w:p>
    <w:p w:rsidR="00C81905" w:rsidRDefault="00C81905" w:rsidP="00CB609D">
      <w:pPr>
        <w:pStyle w:val="ListParagraph"/>
        <w:spacing w:before="120" w:after="120"/>
        <w:ind w:left="450"/>
        <w:contextualSpacing w:val="0"/>
        <w:jc w:val="both"/>
        <w:rPr>
          <w:bCs/>
          <w:lang w:val="es-ES"/>
        </w:rPr>
      </w:pPr>
    </w:p>
    <w:p w:rsidR="00AB5FEC" w:rsidRPr="001E63CD" w:rsidRDefault="00AB5FEC" w:rsidP="00C81905">
      <w:pPr>
        <w:pStyle w:val="ListParagraph"/>
        <w:numPr>
          <w:ilvl w:val="0"/>
          <w:numId w:val="40"/>
        </w:numPr>
        <w:spacing w:before="120" w:after="120"/>
        <w:contextualSpacing w:val="0"/>
        <w:jc w:val="both"/>
        <w:rPr>
          <w:b/>
          <w:bCs/>
          <w:lang w:val="es-ES"/>
        </w:rPr>
      </w:pPr>
      <w:r w:rsidRPr="001E63CD">
        <w:rPr>
          <w:b/>
          <w:bCs/>
          <w:lang w:val="es-ES"/>
        </w:rPr>
        <w:lastRenderedPageBreak/>
        <w:t>Indicadores de producto.</w:t>
      </w:r>
    </w:p>
    <w:p w:rsidR="00B96E22" w:rsidRPr="008A02B3" w:rsidRDefault="00B96E22" w:rsidP="008A02B3">
      <w:pPr>
        <w:spacing w:before="120" w:after="120"/>
        <w:rPr>
          <w:b/>
          <w:bCs/>
          <w:lang w:val="es-ES"/>
        </w:rPr>
      </w:pPr>
    </w:p>
    <w:tbl>
      <w:tblPr>
        <w:tblStyle w:val="TableGrid"/>
        <w:tblW w:w="9877" w:type="dxa"/>
        <w:jc w:val="center"/>
        <w:tblLook w:val="04A0" w:firstRow="1" w:lastRow="0" w:firstColumn="1" w:lastColumn="0" w:noHBand="0" w:noVBand="1"/>
      </w:tblPr>
      <w:tblGrid>
        <w:gridCol w:w="3491"/>
        <w:gridCol w:w="1261"/>
        <w:gridCol w:w="3270"/>
        <w:gridCol w:w="1855"/>
      </w:tblGrid>
      <w:tr w:rsidR="00DE3A7D" w:rsidRPr="00DE3A7D" w:rsidTr="002B3102">
        <w:trPr>
          <w:tblHeader/>
          <w:jc w:val="center"/>
        </w:trPr>
        <w:tc>
          <w:tcPr>
            <w:tcW w:w="9877" w:type="dxa"/>
            <w:gridSpan w:val="4"/>
            <w:shd w:val="clear" w:color="auto" w:fill="D9D9D9" w:themeFill="background1" w:themeFillShade="D9"/>
          </w:tcPr>
          <w:p w:rsidR="00DE3A7D" w:rsidRPr="00DE3A7D" w:rsidRDefault="00DE3A7D" w:rsidP="00D430CD">
            <w:pPr>
              <w:pStyle w:val="Default"/>
              <w:ind w:left="90"/>
              <w:contextualSpacing/>
              <w:jc w:val="center"/>
              <w:rPr>
                <w:b/>
                <w:sz w:val="20"/>
                <w:szCs w:val="20"/>
                <w:lang w:val="es-ES"/>
              </w:rPr>
            </w:pPr>
            <w:r w:rsidRPr="00DE3A7D">
              <w:rPr>
                <w:b/>
                <w:sz w:val="20"/>
                <w:szCs w:val="20"/>
                <w:lang w:val="es-ES"/>
              </w:rPr>
              <w:t xml:space="preserve">Tabla 1. </w:t>
            </w:r>
            <w:r w:rsidR="00D430CD">
              <w:rPr>
                <w:b/>
                <w:sz w:val="20"/>
                <w:szCs w:val="20"/>
                <w:lang w:val="es-ES"/>
              </w:rPr>
              <w:t>Monitoreo</w:t>
            </w:r>
          </w:p>
        </w:tc>
      </w:tr>
      <w:tr w:rsidR="00D430CD" w:rsidRPr="00DE3A7D" w:rsidTr="002B3102">
        <w:trPr>
          <w:tblHeader/>
          <w:jc w:val="center"/>
        </w:trPr>
        <w:tc>
          <w:tcPr>
            <w:tcW w:w="3491" w:type="dxa"/>
            <w:shd w:val="clear" w:color="auto" w:fill="FFFF99"/>
            <w:vAlign w:val="center"/>
          </w:tcPr>
          <w:p w:rsidR="00DE3A7D" w:rsidRPr="00DE3A7D" w:rsidRDefault="00DE3A7D" w:rsidP="00D430CD">
            <w:pPr>
              <w:pStyle w:val="Default"/>
              <w:contextualSpacing/>
              <w:jc w:val="center"/>
              <w:rPr>
                <w:b/>
                <w:sz w:val="20"/>
                <w:szCs w:val="20"/>
                <w:lang w:val="es-ES"/>
              </w:rPr>
            </w:pPr>
            <w:r w:rsidRPr="00DE3A7D">
              <w:rPr>
                <w:b/>
                <w:sz w:val="20"/>
                <w:szCs w:val="20"/>
                <w:lang w:val="es-ES"/>
              </w:rPr>
              <w:t>Indicador</w:t>
            </w:r>
          </w:p>
        </w:tc>
        <w:tc>
          <w:tcPr>
            <w:tcW w:w="1261" w:type="dxa"/>
            <w:shd w:val="clear" w:color="auto" w:fill="FFFF99"/>
            <w:vAlign w:val="center"/>
          </w:tcPr>
          <w:p w:rsidR="00DE3A7D" w:rsidRPr="00DE3A7D" w:rsidRDefault="00D430CD" w:rsidP="00D430CD">
            <w:pPr>
              <w:pStyle w:val="Default"/>
              <w:contextualSpacing/>
              <w:jc w:val="center"/>
              <w:rPr>
                <w:b/>
                <w:sz w:val="20"/>
                <w:szCs w:val="20"/>
                <w:lang w:val="es-ES"/>
              </w:rPr>
            </w:pPr>
            <w:r>
              <w:rPr>
                <w:b/>
                <w:sz w:val="20"/>
                <w:szCs w:val="20"/>
                <w:lang w:val="es-ES"/>
              </w:rPr>
              <w:t>Colecta de Datos y Verificación</w:t>
            </w:r>
          </w:p>
        </w:tc>
        <w:tc>
          <w:tcPr>
            <w:tcW w:w="3270" w:type="dxa"/>
            <w:shd w:val="clear" w:color="auto" w:fill="FFFF99"/>
            <w:vAlign w:val="center"/>
          </w:tcPr>
          <w:p w:rsidR="00DE3A7D" w:rsidRPr="00DE3A7D" w:rsidRDefault="00DE3A7D" w:rsidP="00D430CD">
            <w:pPr>
              <w:pStyle w:val="Default"/>
              <w:contextualSpacing/>
              <w:jc w:val="center"/>
              <w:rPr>
                <w:b/>
                <w:sz w:val="20"/>
                <w:szCs w:val="20"/>
                <w:lang w:val="es-ES"/>
              </w:rPr>
            </w:pPr>
            <w:r w:rsidRPr="00DE3A7D">
              <w:rPr>
                <w:b/>
                <w:sz w:val="20"/>
                <w:szCs w:val="20"/>
                <w:lang w:val="es-ES"/>
              </w:rPr>
              <w:t>Medio de Verificación</w:t>
            </w:r>
          </w:p>
        </w:tc>
        <w:tc>
          <w:tcPr>
            <w:tcW w:w="1855" w:type="dxa"/>
            <w:shd w:val="clear" w:color="auto" w:fill="FFFF99"/>
            <w:vAlign w:val="center"/>
          </w:tcPr>
          <w:p w:rsidR="00DE3A7D" w:rsidRPr="00DE3A7D" w:rsidRDefault="00D430CD" w:rsidP="00D430CD">
            <w:pPr>
              <w:pStyle w:val="Default"/>
              <w:contextualSpacing/>
              <w:jc w:val="center"/>
              <w:rPr>
                <w:b/>
                <w:sz w:val="20"/>
                <w:szCs w:val="20"/>
                <w:lang w:val="es-ES"/>
              </w:rPr>
            </w:pPr>
            <w:r>
              <w:rPr>
                <w:b/>
                <w:sz w:val="20"/>
                <w:szCs w:val="20"/>
                <w:lang w:val="es-ES"/>
              </w:rPr>
              <w:t>Costo</w:t>
            </w:r>
            <w:r w:rsidR="002B3102">
              <w:rPr>
                <w:b/>
                <w:sz w:val="20"/>
                <w:szCs w:val="20"/>
                <w:lang w:val="es-ES"/>
              </w:rPr>
              <w:t>s y Responsables</w:t>
            </w:r>
          </w:p>
        </w:tc>
      </w:tr>
      <w:tr w:rsidR="00D430CD" w:rsidRPr="001E63CD" w:rsidTr="00D430CD">
        <w:trPr>
          <w:trHeight w:hRule="exact" w:val="388"/>
          <w:jc w:val="center"/>
        </w:trPr>
        <w:tc>
          <w:tcPr>
            <w:tcW w:w="8022" w:type="dxa"/>
            <w:gridSpan w:val="3"/>
            <w:vAlign w:val="center"/>
          </w:tcPr>
          <w:p w:rsidR="00D430CD" w:rsidRPr="00DE3A7D" w:rsidRDefault="00D430CD" w:rsidP="003A36D4">
            <w:pPr>
              <w:ind w:hanging="18"/>
              <w:jc w:val="both"/>
              <w:rPr>
                <w:b/>
                <w:sz w:val="20"/>
                <w:szCs w:val="20"/>
                <w:lang w:val="es-ES"/>
              </w:rPr>
            </w:pPr>
            <w:r w:rsidRPr="00DE3A7D">
              <w:rPr>
                <w:b/>
                <w:sz w:val="20"/>
                <w:szCs w:val="20"/>
                <w:lang w:val="es-ES"/>
              </w:rPr>
              <w:t>Componente II. Reforma y consolidación del marco normativo e institucional de logística</w:t>
            </w:r>
          </w:p>
        </w:tc>
        <w:tc>
          <w:tcPr>
            <w:tcW w:w="1855" w:type="dxa"/>
            <w:vMerge w:val="restart"/>
            <w:vAlign w:val="center"/>
          </w:tcPr>
          <w:p w:rsidR="00D430CD" w:rsidRDefault="00D430CD" w:rsidP="00D430CD">
            <w:pPr>
              <w:ind w:hanging="18"/>
              <w:jc w:val="center"/>
              <w:rPr>
                <w:b/>
                <w:sz w:val="20"/>
                <w:szCs w:val="20"/>
                <w:lang w:val="es-ES"/>
              </w:rPr>
            </w:pPr>
            <w:r>
              <w:rPr>
                <w:b/>
                <w:sz w:val="20"/>
                <w:szCs w:val="20"/>
                <w:lang w:val="es-ES"/>
              </w:rPr>
              <w:t>US</w:t>
            </w:r>
            <w:r w:rsidR="0045536F">
              <w:rPr>
                <w:b/>
                <w:sz w:val="20"/>
                <w:szCs w:val="20"/>
                <w:lang w:val="es-ES"/>
              </w:rPr>
              <w:t>$ 2</w:t>
            </w:r>
            <w:r>
              <w:rPr>
                <w:b/>
                <w:sz w:val="20"/>
                <w:szCs w:val="20"/>
                <w:lang w:val="es-ES"/>
              </w:rPr>
              <w:t>,000</w:t>
            </w:r>
          </w:p>
          <w:p w:rsidR="00D430CD" w:rsidRDefault="00D430CD" w:rsidP="00D430CD">
            <w:pPr>
              <w:ind w:hanging="18"/>
              <w:jc w:val="center"/>
              <w:rPr>
                <w:b/>
                <w:sz w:val="20"/>
                <w:szCs w:val="20"/>
                <w:lang w:val="es-ES"/>
              </w:rPr>
            </w:pPr>
            <w:r>
              <w:rPr>
                <w:b/>
                <w:sz w:val="20"/>
                <w:szCs w:val="20"/>
                <w:lang w:val="es-ES"/>
              </w:rPr>
              <w:t>Ministerio de Economía y Finanzas</w:t>
            </w:r>
          </w:p>
          <w:p w:rsidR="0045536F" w:rsidRDefault="0045536F" w:rsidP="00D430CD">
            <w:pPr>
              <w:ind w:hanging="18"/>
              <w:jc w:val="center"/>
              <w:rPr>
                <w:b/>
                <w:sz w:val="20"/>
                <w:szCs w:val="20"/>
                <w:lang w:val="es-ES"/>
              </w:rPr>
            </w:pPr>
          </w:p>
          <w:p w:rsidR="0045536F" w:rsidRDefault="0045536F" w:rsidP="00D430CD">
            <w:pPr>
              <w:ind w:hanging="18"/>
              <w:jc w:val="center"/>
              <w:rPr>
                <w:b/>
                <w:sz w:val="20"/>
                <w:szCs w:val="20"/>
                <w:lang w:val="es-ES"/>
              </w:rPr>
            </w:pPr>
            <w:r>
              <w:rPr>
                <w:b/>
                <w:sz w:val="20"/>
                <w:szCs w:val="20"/>
                <w:lang w:val="es-ES"/>
              </w:rPr>
              <w:t>US$ 6,000</w:t>
            </w:r>
          </w:p>
          <w:p w:rsidR="0045536F" w:rsidRPr="00DE3A7D" w:rsidRDefault="0045536F" w:rsidP="00D430CD">
            <w:pPr>
              <w:ind w:hanging="18"/>
              <w:jc w:val="center"/>
              <w:rPr>
                <w:b/>
                <w:sz w:val="20"/>
                <w:szCs w:val="20"/>
                <w:lang w:val="es-ES"/>
              </w:rPr>
            </w:pPr>
            <w:r>
              <w:rPr>
                <w:b/>
                <w:sz w:val="20"/>
                <w:szCs w:val="20"/>
                <w:lang w:val="es-ES"/>
              </w:rPr>
              <w:t>BID – Costos del Proyecto</w:t>
            </w:r>
          </w:p>
        </w:tc>
      </w:tr>
      <w:tr w:rsidR="00951C99" w:rsidRPr="001E63CD" w:rsidTr="00A147A9">
        <w:trPr>
          <w:trHeight w:hRule="exact" w:val="1288"/>
          <w:jc w:val="center"/>
        </w:trPr>
        <w:tc>
          <w:tcPr>
            <w:tcW w:w="3491" w:type="dxa"/>
            <w:vAlign w:val="center"/>
          </w:tcPr>
          <w:p w:rsidR="00951C99" w:rsidRPr="00DE3A7D" w:rsidRDefault="00117928">
            <w:pPr>
              <w:tabs>
                <w:tab w:val="left" w:pos="267"/>
              </w:tabs>
              <w:ind w:left="125" w:hanging="142"/>
              <w:jc w:val="both"/>
              <w:rPr>
                <w:sz w:val="20"/>
                <w:szCs w:val="20"/>
                <w:lang w:val="es-ES"/>
              </w:rPr>
            </w:pPr>
            <w:r w:rsidRPr="00117928">
              <w:rPr>
                <w:sz w:val="20"/>
                <w:szCs w:val="20"/>
                <w:lang w:val="es-ES"/>
              </w:rPr>
              <w:t>2.1 Plan Nacional de Logística revisado y aprobado por el Gabinete Logístico</w:t>
            </w:r>
          </w:p>
        </w:tc>
        <w:tc>
          <w:tcPr>
            <w:tcW w:w="1261" w:type="dxa"/>
            <w:vAlign w:val="center"/>
          </w:tcPr>
          <w:p w:rsidR="00951C99" w:rsidRPr="00DE3A7D" w:rsidRDefault="00951C99" w:rsidP="00A147A9">
            <w:pPr>
              <w:pStyle w:val="Default"/>
              <w:contextualSpacing/>
              <w:jc w:val="center"/>
              <w:rPr>
                <w:sz w:val="20"/>
                <w:szCs w:val="20"/>
                <w:lang w:val="es-ES"/>
              </w:rPr>
            </w:pPr>
            <w:r>
              <w:rPr>
                <w:sz w:val="20"/>
                <w:szCs w:val="20"/>
                <w:lang w:val="es-ES"/>
              </w:rPr>
              <w:t>2016</w:t>
            </w:r>
          </w:p>
        </w:tc>
        <w:tc>
          <w:tcPr>
            <w:tcW w:w="3270" w:type="dxa"/>
            <w:vAlign w:val="center"/>
          </w:tcPr>
          <w:p w:rsidR="00951C99" w:rsidRPr="001F01A7" w:rsidRDefault="001F01A7" w:rsidP="00A147A9">
            <w:pPr>
              <w:tabs>
                <w:tab w:val="left" w:pos="79"/>
              </w:tabs>
              <w:ind w:left="79"/>
              <w:contextualSpacing/>
              <w:jc w:val="both"/>
              <w:rPr>
                <w:sz w:val="20"/>
                <w:szCs w:val="20"/>
                <w:lang w:val="es-ES"/>
              </w:rPr>
            </w:pPr>
            <w:r w:rsidRPr="001F01A7">
              <w:rPr>
                <w:sz w:val="20"/>
                <w:szCs w:val="20"/>
                <w:lang w:val="es-ES_tradnl"/>
              </w:rPr>
              <w:t>Nota Oficial del Ministerio de la Presidencia que aprueba y remite una revisión del PNLOG, el cual incluye objetivos, programas y proyectos.</w:t>
            </w:r>
          </w:p>
        </w:tc>
        <w:tc>
          <w:tcPr>
            <w:tcW w:w="1855" w:type="dxa"/>
            <w:vMerge/>
          </w:tcPr>
          <w:p w:rsidR="00951C99" w:rsidRPr="00DE3A7D" w:rsidRDefault="00951C99" w:rsidP="00951C99">
            <w:pPr>
              <w:ind w:hanging="18"/>
              <w:jc w:val="both"/>
              <w:rPr>
                <w:sz w:val="20"/>
                <w:szCs w:val="20"/>
                <w:lang w:val="es-ES"/>
              </w:rPr>
            </w:pPr>
          </w:p>
        </w:tc>
      </w:tr>
      <w:tr w:rsidR="00117928" w:rsidRPr="001E63CD" w:rsidTr="00A147A9">
        <w:trPr>
          <w:trHeight w:hRule="exact" w:val="1612"/>
          <w:jc w:val="center"/>
        </w:trPr>
        <w:tc>
          <w:tcPr>
            <w:tcW w:w="3491" w:type="dxa"/>
            <w:vAlign w:val="center"/>
          </w:tcPr>
          <w:p w:rsidR="00117928" w:rsidRPr="00DE3A7D" w:rsidRDefault="00117928">
            <w:pPr>
              <w:tabs>
                <w:tab w:val="left" w:pos="267"/>
              </w:tabs>
              <w:ind w:left="125" w:hanging="142"/>
              <w:jc w:val="both"/>
              <w:rPr>
                <w:sz w:val="20"/>
                <w:szCs w:val="20"/>
                <w:lang w:val="es-ES"/>
              </w:rPr>
            </w:pPr>
            <w:r w:rsidRPr="00117928">
              <w:rPr>
                <w:sz w:val="20"/>
                <w:szCs w:val="20"/>
                <w:lang w:val="es-ES"/>
              </w:rPr>
              <w:t xml:space="preserve">2.2 Hoja de Ruta aprobada por el Ministerio de la Presidencia </w:t>
            </w:r>
          </w:p>
        </w:tc>
        <w:tc>
          <w:tcPr>
            <w:tcW w:w="1261" w:type="dxa"/>
            <w:vAlign w:val="center"/>
          </w:tcPr>
          <w:p w:rsidR="00117928" w:rsidRDefault="00117928" w:rsidP="00A147A9">
            <w:pPr>
              <w:pStyle w:val="Default"/>
              <w:contextualSpacing/>
              <w:jc w:val="center"/>
            </w:pPr>
            <w:r w:rsidRPr="007D25C3">
              <w:rPr>
                <w:sz w:val="20"/>
                <w:szCs w:val="20"/>
                <w:lang w:val="es-ES"/>
              </w:rPr>
              <w:t>2016</w:t>
            </w:r>
          </w:p>
        </w:tc>
        <w:tc>
          <w:tcPr>
            <w:tcW w:w="3270" w:type="dxa"/>
          </w:tcPr>
          <w:p w:rsidR="00117928" w:rsidRPr="001F01A7" w:rsidRDefault="001F01A7" w:rsidP="00A147A9">
            <w:pPr>
              <w:tabs>
                <w:tab w:val="left" w:pos="79"/>
              </w:tabs>
              <w:ind w:left="79"/>
              <w:contextualSpacing/>
              <w:jc w:val="both"/>
              <w:rPr>
                <w:sz w:val="20"/>
                <w:szCs w:val="20"/>
                <w:lang w:val="es-ES_tradnl"/>
              </w:rPr>
            </w:pPr>
            <w:r w:rsidRPr="001F01A7">
              <w:rPr>
                <w:sz w:val="20"/>
                <w:szCs w:val="20"/>
                <w:lang w:val="es-ES_tradnl"/>
              </w:rPr>
              <w:t xml:space="preserve">Nota Oficial del Ministerio de la Presidencia aprobando la hoja de ruta que forma parte consistente de la ELN, la cual incluye visión del sector, una estrategia de abordaje y un sistema de monitoreo.  </w:t>
            </w:r>
          </w:p>
        </w:tc>
        <w:tc>
          <w:tcPr>
            <w:tcW w:w="1855" w:type="dxa"/>
            <w:vMerge/>
          </w:tcPr>
          <w:p w:rsidR="00117928" w:rsidRPr="00DE3A7D" w:rsidRDefault="00117928" w:rsidP="00117928">
            <w:pPr>
              <w:ind w:hanging="18"/>
              <w:jc w:val="both"/>
              <w:rPr>
                <w:sz w:val="20"/>
                <w:szCs w:val="20"/>
                <w:lang w:val="es-ES"/>
              </w:rPr>
            </w:pPr>
          </w:p>
        </w:tc>
      </w:tr>
      <w:tr w:rsidR="00117928" w:rsidRPr="001E63CD" w:rsidTr="00A147A9">
        <w:trPr>
          <w:trHeight w:hRule="exact" w:val="1261"/>
          <w:jc w:val="center"/>
        </w:trPr>
        <w:tc>
          <w:tcPr>
            <w:tcW w:w="3491" w:type="dxa"/>
            <w:vAlign w:val="center"/>
          </w:tcPr>
          <w:p w:rsidR="00117928" w:rsidRPr="00DE3A7D" w:rsidRDefault="00117928">
            <w:pPr>
              <w:tabs>
                <w:tab w:val="left" w:pos="267"/>
              </w:tabs>
              <w:ind w:left="125" w:hanging="142"/>
              <w:jc w:val="both"/>
              <w:rPr>
                <w:sz w:val="20"/>
                <w:szCs w:val="20"/>
                <w:lang w:val="es-ES"/>
              </w:rPr>
            </w:pPr>
            <w:r w:rsidRPr="00117928">
              <w:rPr>
                <w:sz w:val="20"/>
                <w:szCs w:val="20"/>
                <w:lang w:val="es-ES"/>
              </w:rPr>
              <w:t xml:space="preserve">2.3 </w:t>
            </w:r>
            <w:r w:rsidR="00CB31AE">
              <w:rPr>
                <w:sz w:val="20"/>
                <w:szCs w:val="20"/>
                <w:lang w:val="es-ES"/>
              </w:rPr>
              <w:t>Proyecto</w:t>
            </w:r>
            <w:r w:rsidR="00CB31AE" w:rsidRPr="00117928">
              <w:rPr>
                <w:sz w:val="20"/>
                <w:szCs w:val="20"/>
                <w:lang w:val="es-ES"/>
              </w:rPr>
              <w:t xml:space="preserve"> </w:t>
            </w:r>
            <w:r w:rsidRPr="00117928">
              <w:rPr>
                <w:sz w:val="20"/>
                <w:szCs w:val="20"/>
                <w:lang w:val="es-ES"/>
              </w:rPr>
              <w:t xml:space="preserve">de Ley de Aduanas enviado por </w:t>
            </w:r>
            <w:r w:rsidR="00CB31AE" w:rsidRPr="00117928">
              <w:rPr>
                <w:sz w:val="20"/>
                <w:szCs w:val="20"/>
                <w:lang w:val="es-ES"/>
              </w:rPr>
              <w:t>el</w:t>
            </w:r>
            <w:r w:rsidR="00CB31AE">
              <w:rPr>
                <w:sz w:val="20"/>
                <w:szCs w:val="20"/>
                <w:lang w:val="es-ES"/>
              </w:rPr>
              <w:t xml:space="preserve"> Consejo de </w:t>
            </w:r>
            <w:r w:rsidRPr="00117928">
              <w:rPr>
                <w:sz w:val="20"/>
                <w:szCs w:val="20"/>
                <w:lang w:val="es-ES"/>
              </w:rPr>
              <w:t xml:space="preserve">Gabinete a la Asamblea. </w:t>
            </w:r>
          </w:p>
        </w:tc>
        <w:tc>
          <w:tcPr>
            <w:tcW w:w="1261" w:type="dxa"/>
            <w:vAlign w:val="center"/>
          </w:tcPr>
          <w:p w:rsidR="00117928" w:rsidRPr="00A147A9" w:rsidRDefault="00117928" w:rsidP="00A147A9">
            <w:pPr>
              <w:tabs>
                <w:tab w:val="left" w:pos="79"/>
              </w:tabs>
              <w:ind w:left="79"/>
              <w:contextualSpacing/>
              <w:jc w:val="center"/>
              <w:rPr>
                <w:sz w:val="20"/>
                <w:szCs w:val="20"/>
                <w:lang w:val="es-ES_tradnl"/>
              </w:rPr>
            </w:pPr>
            <w:r w:rsidRPr="00A147A9">
              <w:rPr>
                <w:sz w:val="20"/>
                <w:szCs w:val="20"/>
                <w:lang w:val="es-ES_tradnl"/>
              </w:rPr>
              <w:t>2016</w:t>
            </w:r>
          </w:p>
        </w:tc>
        <w:tc>
          <w:tcPr>
            <w:tcW w:w="3270" w:type="dxa"/>
          </w:tcPr>
          <w:p w:rsidR="00117928" w:rsidRPr="001F01A7" w:rsidRDefault="001F01A7" w:rsidP="00A147A9">
            <w:pPr>
              <w:tabs>
                <w:tab w:val="left" w:pos="79"/>
                <w:tab w:val="left" w:pos="267"/>
              </w:tabs>
              <w:ind w:left="79"/>
              <w:contextualSpacing/>
              <w:jc w:val="both"/>
              <w:rPr>
                <w:sz w:val="20"/>
                <w:szCs w:val="20"/>
                <w:lang w:val="es-ES_tradnl"/>
              </w:rPr>
            </w:pPr>
            <w:r w:rsidRPr="001F01A7">
              <w:rPr>
                <w:sz w:val="20"/>
                <w:szCs w:val="20"/>
                <w:lang w:val="es-ES_tradnl"/>
              </w:rPr>
              <w:t xml:space="preserve">Envío del Gabinete a la Asamblea del proyecto de Ley de Aduanas, la cual permite la armonización con el código aduanero regional de Centroamérica.  </w:t>
            </w:r>
          </w:p>
        </w:tc>
        <w:tc>
          <w:tcPr>
            <w:tcW w:w="1855" w:type="dxa"/>
            <w:vMerge/>
          </w:tcPr>
          <w:p w:rsidR="00117928" w:rsidRPr="00DE3A7D" w:rsidRDefault="00117928" w:rsidP="00117928">
            <w:pPr>
              <w:ind w:hanging="18"/>
              <w:jc w:val="both"/>
              <w:rPr>
                <w:sz w:val="20"/>
                <w:szCs w:val="20"/>
                <w:lang w:val="es-ES"/>
              </w:rPr>
            </w:pPr>
          </w:p>
        </w:tc>
      </w:tr>
      <w:tr w:rsidR="00117928" w:rsidRPr="001E63CD" w:rsidTr="00A147A9">
        <w:trPr>
          <w:trHeight w:hRule="exact" w:val="2791"/>
          <w:jc w:val="center"/>
        </w:trPr>
        <w:tc>
          <w:tcPr>
            <w:tcW w:w="3491" w:type="dxa"/>
            <w:vAlign w:val="center"/>
          </w:tcPr>
          <w:p w:rsidR="00117928" w:rsidRPr="00A147A9" w:rsidRDefault="00117928" w:rsidP="00876B8A">
            <w:pPr>
              <w:tabs>
                <w:tab w:val="left" w:pos="267"/>
              </w:tabs>
              <w:ind w:left="125" w:hanging="142"/>
              <w:jc w:val="both"/>
              <w:rPr>
                <w:sz w:val="20"/>
                <w:szCs w:val="20"/>
                <w:lang w:val="es-ES_tradnl"/>
              </w:rPr>
            </w:pPr>
            <w:r w:rsidRPr="00117928">
              <w:rPr>
                <w:sz w:val="20"/>
                <w:szCs w:val="20"/>
                <w:lang w:val="es-ES"/>
              </w:rPr>
              <w:t xml:space="preserve">2.4 </w:t>
            </w:r>
            <w:r w:rsidR="00876B8A">
              <w:rPr>
                <w:sz w:val="20"/>
                <w:szCs w:val="20"/>
                <w:lang w:val="es-ES"/>
              </w:rPr>
              <w:t xml:space="preserve">Documento de acciones de incentivo a la Inversión Extranjera Directa en servicios marítimos auxiliares aprobado por AMP. </w:t>
            </w:r>
            <w:r w:rsidR="00A147A9">
              <w:rPr>
                <w:sz w:val="20"/>
                <w:szCs w:val="20"/>
                <w:lang w:val="es-ES"/>
              </w:rPr>
              <w:t xml:space="preserve"> </w:t>
            </w:r>
          </w:p>
        </w:tc>
        <w:tc>
          <w:tcPr>
            <w:tcW w:w="1261" w:type="dxa"/>
            <w:vAlign w:val="center"/>
          </w:tcPr>
          <w:p w:rsidR="00117928" w:rsidRPr="00A147A9" w:rsidRDefault="00117928" w:rsidP="00A147A9">
            <w:pPr>
              <w:jc w:val="center"/>
              <w:rPr>
                <w:lang w:val="es-ES_tradnl"/>
              </w:rPr>
            </w:pPr>
            <w:r w:rsidRPr="007D25C3">
              <w:rPr>
                <w:sz w:val="20"/>
                <w:szCs w:val="20"/>
                <w:lang w:val="es-ES"/>
              </w:rPr>
              <w:t>2016</w:t>
            </w:r>
          </w:p>
        </w:tc>
        <w:tc>
          <w:tcPr>
            <w:tcW w:w="3270" w:type="dxa"/>
          </w:tcPr>
          <w:p w:rsidR="001F01A7" w:rsidRPr="001F01A7" w:rsidRDefault="001F01A7" w:rsidP="001F01A7">
            <w:pPr>
              <w:spacing w:before="60" w:after="60"/>
              <w:jc w:val="both"/>
              <w:rPr>
                <w:sz w:val="20"/>
                <w:szCs w:val="20"/>
                <w:lang w:val="es-ES_tradnl"/>
              </w:rPr>
            </w:pPr>
            <w:r w:rsidRPr="001F01A7">
              <w:rPr>
                <w:sz w:val="20"/>
                <w:szCs w:val="20"/>
                <w:lang w:val="es-ES_tradnl"/>
              </w:rPr>
              <w:t>Resolución de la AMP aprobando dos acciones de incentivo a la IED en servicios marítimos auxiliares:</w:t>
            </w:r>
          </w:p>
          <w:p w:rsidR="001F01A7" w:rsidRPr="001F01A7" w:rsidRDefault="001F01A7" w:rsidP="001F01A7">
            <w:pPr>
              <w:pStyle w:val="ListParagraph"/>
              <w:numPr>
                <w:ilvl w:val="0"/>
                <w:numId w:val="39"/>
              </w:numPr>
              <w:spacing w:before="60" w:after="60"/>
              <w:ind w:left="175" w:hanging="175"/>
              <w:contextualSpacing w:val="0"/>
              <w:jc w:val="both"/>
              <w:rPr>
                <w:sz w:val="20"/>
                <w:szCs w:val="20"/>
                <w:lang w:val="es-ES_tradnl"/>
              </w:rPr>
            </w:pPr>
            <w:r w:rsidRPr="001F01A7">
              <w:rPr>
                <w:sz w:val="20"/>
                <w:szCs w:val="20"/>
                <w:lang w:val="es-ES_tradnl"/>
              </w:rPr>
              <w:t xml:space="preserve">Creación de una nueva área para la sede del Muelle – IMA, para potenciar el sector de servicios marítimos y beneficiar el </w:t>
            </w:r>
            <w:proofErr w:type="spellStart"/>
            <w:r w:rsidRPr="001F01A7">
              <w:rPr>
                <w:sz w:val="20"/>
                <w:szCs w:val="20"/>
                <w:lang w:val="es-ES_tradnl"/>
              </w:rPr>
              <w:t>cluster</w:t>
            </w:r>
            <w:proofErr w:type="spellEnd"/>
            <w:r w:rsidRPr="001F01A7">
              <w:rPr>
                <w:sz w:val="20"/>
                <w:szCs w:val="20"/>
                <w:lang w:val="es-ES_tradnl"/>
              </w:rPr>
              <w:t xml:space="preserve"> marítimo. </w:t>
            </w:r>
          </w:p>
          <w:p w:rsidR="00117928" w:rsidRPr="001F01A7" w:rsidRDefault="001F01A7" w:rsidP="001F01A7">
            <w:pPr>
              <w:pStyle w:val="ListParagraph"/>
              <w:numPr>
                <w:ilvl w:val="0"/>
                <w:numId w:val="39"/>
              </w:numPr>
              <w:spacing w:before="60" w:after="60"/>
              <w:ind w:left="175" w:hanging="175"/>
              <w:contextualSpacing w:val="0"/>
              <w:jc w:val="both"/>
              <w:rPr>
                <w:sz w:val="20"/>
                <w:szCs w:val="20"/>
                <w:lang w:val="es-ES_tradnl"/>
              </w:rPr>
            </w:pPr>
            <w:r w:rsidRPr="001F01A7">
              <w:rPr>
                <w:sz w:val="20"/>
                <w:szCs w:val="20"/>
                <w:lang w:val="es-ES_tradnl"/>
              </w:rPr>
              <w:t xml:space="preserve">Mejoras en la competitividad del servicio de </w:t>
            </w:r>
            <w:proofErr w:type="spellStart"/>
            <w:r w:rsidRPr="001F01A7">
              <w:rPr>
                <w:sz w:val="20"/>
                <w:szCs w:val="20"/>
                <w:lang w:val="es-ES_tradnl"/>
              </w:rPr>
              <w:t>bunkering</w:t>
            </w:r>
            <w:proofErr w:type="spellEnd"/>
            <w:r w:rsidRPr="001F01A7">
              <w:rPr>
                <w:sz w:val="20"/>
                <w:szCs w:val="20"/>
                <w:lang w:val="es-ES_tradnl"/>
              </w:rPr>
              <w:t>.  </w:t>
            </w:r>
          </w:p>
        </w:tc>
        <w:tc>
          <w:tcPr>
            <w:tcW w:w="1855" w:type="dxa"/>
            <w:vMerge/>
          </w:tcPr>
          <w:p w:rsidR="00117928" w:rsidRPr="00DE3A7D" w:rsidRDefault="00117928" w:rsidP="00117928">
            <w:pPr>
              <w:contextualSpacing/>
              <w:jc w:val="both"/>
              <w:rPr>
                <w:sz w:val="20"/>
                <w:szCs w:val="20"/>
                <w:lang w:val="es-ES"/>
              </w:rPr>
            </w:pPr>
          </w:p>
        </w:tc>
      </w:tr>
      <w:tr w:rsidR="00117928" w:rsidRPr="001E63CD" w:rsidTr="00A147A9">
        <w:trPr>
          <w:trHeight w:hRule="exact" w:val="2782"/>
          <w:jc w:val="center"/>
        </w:trPr>
        <w:tc>
          <w:tcPr>
            <w:tcW w:w="3491" w:type="dxa"/>
            <w:vAlign w:val="center"/>
          </w:tcPr>
          <w:p w:rsidR="00117928" w:rsidRPr="00DE3A7D" w:rsidRDefault="00117928">
            <w:pPr>
              <w:tabs>
                <w:tab w:val="left" w:pos="267"/>
              </w:tabs>
              <w:ind w:left="125" w:hanging="142"/>
              <w:jc w:val="both"/>
              <w:rPr>
                <w:sz w:val="20"/>
                <w:szCs w:val="20"/>
                <w:lang w:val="es-ES"/>
              </w:rPr>
            </w:pPr>
            <w:r w:rsidRPr="00117928">
              <w:rPr>
                <w:sz w:val="20"/>
                <w:szCs w:val="20"/>
                <w:lang w:val="es-ES"/>
              </w:rPr>
              <w:t>2.5 Plan de trabajo plurianual de la CL aprobado por el Ministerio de la Presidencia.</w:t>
            </w:r>
          </w:p>
        </w:tc>
        <w:tc>
          <w:tcPr>
            <w:tcW w:w="1261" w:type="dxa"/>
            <w:vAlign w:val="center"/>
          </w:tcPr>
          <w:p w:rsidR="00117928" w:rsidRDefault="00117928" w:rsidP="00A147A9">
            <w:pPr>
              <w:jc w:val="center"/>
            </w:pPr>
            <w:r w:rsidRPr="007D25C3">
              <w:rPr>
                <w:sz w:val="20"/>
                <w:szCs w:val="20"/>
                <w:lang w:val="es-ES"/>
              </w:rPr>
              <w:t>2016</w:t>
            </w:r>
          </w:p>
        </w:tc>
        <w:tc>
          <w:tcPr>
            <w:tcW w:w="3270" w:type="dxa"/>
          </w:tcPr>
          <w:p w:rsidR="00117928" w:rsidRPr="001F01A7" w:rsidRDefault="001F01A7" w:rsidP="00A147A9">
            <w:pPr>
              <w:spacing w:before="60" w:after="60"/>
              <w:jc w:val="both"/>
              <w:rPr>
                <w:sz w:val="20"/>
                <w:szCs w:val="20"/>
                <w:lang w:val="es-ES"/>
              </w:rPr>
            </w:pPr>
            <w:r w:rsidRPr="001F01A7">
              <w:rPr>
                <w:sz w:val="20"/>
                <w:szCs w:val="20"/>
                <w:lang w:val="es-ES_tradnl"/>
              </w:rPr>
              <w:t xml:space="preserve">Decisión Administrativa del Ministerio de la Presidencia aprobando el Plan de Trabajo plurianual de la CL, el cual incluye </w:t>
            </w:r>
            <w:r w:rsidRPr="001F01A7">
              <w:rPr>
                <w:spacing w:val="-2"/>
                <w:sz w:val="20"/>
                <w:szCs w:val="20"/>
                <w:lang w:val="es-ES_tradnl"/>
              </w:rPr>
              <w:t>la asignación de recursos humanos y técnicos para la elaboración de, entre otros: (i) el proyecto de ley del Sistema Logístico Nacional; y (ii) la definición los indicadores de seguimiento y  el esquema de monitoreo y evaluación.</w:t>
            </w:r>
          </w:p>
        </w:tc>
        <w:tc>
          <w:tcPr>
            <w:tcW w:w="1855" w:type="dxa"/>
            <w:vMerge/>
          </w:tcPr>
          <w:p w:rsidR="00117928" w:rsidRPr="00DE3A7D" w:rsidRDefault="00117928" w:rsidP="00117928">
            <w:pPr>
              <w:contextualSpacing/>
              <w:jc w:val="both"/>
              <w:rPr>
                <w:sz w:val="20"/>
                <w:szCs w:val="20"/>
                <w:lang w:val="es-ES"/>
              </w:rPr>
            </w:pPr>
          </w:p>
        </w:tc>
      </w:tr>
      <w:tr w:rsidR="007B48F2" w:rsidRPr="001E63CD" w:rsidTr="00A147A9">
        <w:trPr>
          <w:trHeight w:hRule="exact" w:val="1090"/>
          <w:jc w:val="center"/>
        </w:trPr>
        <w:tc>
          <w:tcPr>
            <w:tcW w:w="3491" w:type="dxa"/>
            <w:vAlign w:val="center"/>
          </w:tcPr>
          <w:p w:rsidR="007B48F2" w:rsidRPr="00117928" w:rsidRDefault="007B48F2" w:rsidP="00CC1F25">
            <w:pPr>
              <w:tabs>
                <w:tab w:val="left" w:pos="267"/>
              </w:tabs>
              <w:ind w:left="125" w:hanging="142"/>
              <w:jc w:val="both"/>
              <w:rPr>
                <w:sz w:val="20"/>
                <w:szCs w:val="20"/>
                <w:lang w:val="es-ES"/>
              </w:rPr>
            </w:pPr>
            <w:r w:rsidRPr="00107D44">
              <w:rPr>
                <w:sz w:val="20"/>
                <w:szCs w:val="20"/>
                <w:lang w:val="es-ES"/>
              </w:rPr>
              <w:t>2.6 Decreto Ejecutivo No. 696 de 2015 que crea el Comité Consultivo permanente publicado en la Gaceta Oficial.</w:t>
            </w:r>
          </w:p>
        </w:tc>
        <w:tc>
          <w:tcPr>
            <w:tcW w:w="1261" w:type="dxa"/>
            <w:vAlign w:val="center"/>
          </w:tcPr>
          <w:p w:rsidR="007B48F2" w:rsidRPr="007D25C3" w:rsidRDefault="007B48F2" w:rsidP="00CC1F25">
            <w:pPr>
              <w:jc w:val="center"/>
              <w:rPr>
                <w:sz w:val="20"/>
                <w:szCs w:val="20"/>
                <w:lang w:val="es-ES"/>
              </w:rPr>
            </w:pPr>
          </w:p>
        </w:tc>
        <w:tc>
          <w:tcPr>
            <w:tcW w:w="3270" w:type="dxa"/>
          </w:tcPr>
          <w:p w:rsidR="007B48F2" w:rsidRPr="001F01A7" w:rsidRDefault="001F01A7" w:rsidP="00CC1F25">
            <w:pPr>
              <w:spacing w:before="60" w:after="60"/>
              <w:jc w:val="both"/>
              <w:rPr>
                <w:sz w:val="20"/>
                <w:szCs w:val="20"/>
                <w:lang w:val="es-ES_tradnl"/>
              </w:rPr>
            </w:pPr>
            <w:r w:rsidRPr="001F01A7">
              <w:rPr>
                <w:sz w:val="20"/>
                <w:szCs w:val="20"/>
                <w:lang w:val="es-ES_tradnl"/>
              </w:rPr>
              <w:t>Decreto Ejecutivo No. 696 de 2015 que crea el Comité Consultivo permanente como ente de consulta y asesoría del Gabinete Logístico.</w:t>
            </w:r>
          </w:p>
        </w:tc>
        <w:tc>
          <w:tcPr>
            <w:tcW w:w="1855" w:type="dxa"/>
            <w:vMerge/>
          </w:tcPr>
          <w:p w:rsidR="007B48F2" w:rsidRPr="00DE3A7D" w:rsidRDefault="007B48F2" w:rsidP="00117928">
            <w:pPr>
              <w:contextualSpacing/>
              <w:jc w:val="both"/>
              <w:rPr>
                <w:sz w:val="20"/>
                <w:szCs w:val="20"/>
                <w:lang w:val="es-ES"/>
              </w:rPr>
            </w:pPr>
          </w:p>
        </w:tc>
      </w:tr>
      <w:tr w:rsidR="00951C99" w:rsidRPr="001E63CD" w:rsidTr="00A147A9">
        <w:trPr>
          <w:trHeight w:hRule="exact" w:val="2665"/>
          <w:jc w:val="center"/>
        </w:trPr>
        <w:tc>
          <w:tcPr>
            <w:tcW w:w="3491" w:type="dxa"/>
            <w:vAlign w:val="center"/>
          </w:tcPr>
          <w:p w:rsidR="00951C99" w:rsidRPr="00DE3A7D" w:rsidRDefault="00117928" w:rsidP="008A02B3">
            <w:pPr>
              <w:tabs>
                <w:tab w:val="left" w:pos="267"/>
              </w:tabs>
              <w:ind w:left="125" w:hanging="142"/>
              <w:jc w:val="both"/>
              <w:rPr>
                <w:sz w:val="20"/>
                <w:szCs w:val="20"/>
                <w:lang w:val="es-ES"/>
              </w:rPr>
            </w:pPr>
            <w:r w:rsidRPr="00117928">
              <w:rPr>
                <w:sz w:val="20"/>
                <w:szCs w:val="20"/>
                <w:lang w:val="es-ES"/>
              </w:rPr>
              <w:lastRenderedPageBreak/>
              <w:t>2.</w:t>
            </w:r>
            <w:r w:rsidR="00CB31AE">
              <w:rPr>
                <w:sz w:val="20"/>
                <w:szCs w:val="20"/>
                <w:lang w:val="es-ES"/>
              </w:rPr>
              <w:t>7</w:t>
            </w:r>
            <w:r w:rsidRPr="00117928">
              <w:rPr>
                <w:sz w:val="20"/>
                <w:szCs w:val="20"/>
                <w:lang w:val="es-ES"/>
              </w:rPr>
              <w:t xml:space="preserve"> Informe de Gestión de la Coordinación Logística (CL) con los productos y resultados vinculados al plan de trabajo del año precedente aprobado por el Ministerio de la Presidencia</w:t>
            </w:r>
            <w:r>
              <w:rPr>
                <w:sz w:val="20"/>
                <w:szCs w:val="20"/>
                <w:lang w:val="es-ES"/>
              </w:rPr>
              <w:t>.</w:t>
            </w:r>
          </w:p>
        </w:tc>
        <w:tc>
          <w:tcPr>
            <w:tcW w:w="1261" w:type="dxa"/>
            <w:vAlign w:val="center"/>
          </w:tcPr>
          <w:p w:rsidR="00951C99" w:rsidRDefault="00951C99" w:rsidP="00A147A9">
            <w:pPr>
              <w:jc w:val="center"/>
            </w:pPr>
            <w:r w:rsidRPr="007D25C3">
              <w:rPr>
                <w:sz w:val="20"/>
                <w:szCs w:val="20"/>
                <w:lang w:val="es-ES"/>
              </w:rPr>
              <w:t>2016</w:t>
            </w:r>
          </w:p>
        </w:tc>
        <w:tc>
          <w:tcPr>
            <w:tcW w:w="3270" w:type="dxa"/>
            <w:vAlign w:val="center"/>
          </w:tcPr>
          <w:p w:rsidR="00951C99" w:rsidRPr="001F01A7" w:rsidRDefault="001F01A7" w:rsidP="00A147A9">
            <w:pPr>
              <w:spacing w:before="60" w:after="60"/>
              <w:jc w:val="both"/>
              <w:rPr>
                <w:sz w:val="20"/>
                <w:szCs w:val="20"/>
                <w:lang w:val="es-ES"/>
              </w:rPr>
            </w:pPr>
            <w:r w:rsidRPr="001F01A7">
              <w:rPr>
                <w:sz w:val="20"/>
                <w:szCs w:val="20"/>
                <w:lang w:val="es-ES_tradnl"/>
              </w:rPr>
              <w:t>Nota del Ministerio de la Presidencia enviando la Memoria Anual del Ministerio a la Asamblea Nacional, la cual incluye los productos y resultados vinculados al Plan de Trabajo del año precedente, y directrices estratégicas para el siguiente año de la Coordinación Logística, dependiente de la Secretaría de Competitividad y Logística.</w:t>
            </w:r>
          </w:p>
        </w:tc>
        <w:tc>
          <w:tcPr>
            <w:tcW w:w="1855" w:type="dxa"/>
            <w:vMerge/>
          </w:tcPr>
          <w:p w:rsidR="00951C99" w:rsidRPr="00DE3A7D" w:rsidRDefault="00951C99" w:rsidP="00951C99">
            <w:pPr>
              <w:contextualSpacing/>
              <w:jc w:val="both"/>
              <w:rPr>
                <w:sz w:val="20"/>
                <w:szCs w:val="20"/>
                <w:lang w:val="es-ES"/>
              </w:rPr>
            </w:pPr>
          </w:p>
        </w:tc>
      </w:tr>
      <w:tr w:rsidR="00D430CD" w:rsidRPr="001E63CD" w:rsidTr="00A147A9">
        <w:trPr>
          <w:trHeight w:hRule="exact" w:val="721"/>
          <w:jc w:val="center"/>
        </w:trPr>
        <w:tc>
          <w:tcPr>
            <w:tcW w:w="8022" w:type="dxa"/>
            <w:gridSpan w:val="3"/>
            <w:vAlign w:val="center"/>
          </w:tcPr>
          <w:p w:rsidR="00D430CD" w:rsidRPr="001F01A7" w:rsidRDefault="00D430CD">
            <w:pPr>
              <w:spacing w:before="60" w:after="60"/>
              <w:jc w:val="both"/>
              <w:rPr>
                <w:b/>
                <w:sz w:val="20"/>
                <w:szCs w:val="20"/>
                <w:lang w:val="es-ES"/>
              </w:rPr>
            </w:pPr>
            <w:r w:rsidRPr="001F01A7">
              <w:rPr>
                <w:b/>
                <w:sz w:val="20"/>
                <w:szCs w:val="20"/>
                <w:lang w:val="es-ES"/>
              </w:rPr>
              <w:t>Componente III. Establecimiento y modernización de procesos de planificación integral y facilitación comercial</w:t>
            </w:r>
          </w:p>
        </w:tc>
        <w:tc>
          <w:tcPr>
            <w:tcW w:w="1855" w:type="dxa"/>
            <w:vMerge/>
          </w:tcPr>
          <w:p w:rsidR="00D430CD" w:rsidRPr="00DE3A7D" w:rsidRDefault="00D430CD" w:rsidP="00AA27A8">
            <w:pPr>
              <w:spacing w:before="60" w:after="60"/>
              <w:jc w:val="both"/>
              <w:rPr>
                <w:b/>
                <w:sz w:val="20"/>
                <w:szCs w:val="20"/>
                <w:lang w:val="es-ES"/>
              </w:rPr>
            </w:pPr>
          </w:p>
        </w:tc>
      </w:tr>
      <w:tr w:rsidR="00951C99" w:rsidRPr="001E63CD" w:rsidTr="00A147A9">
        <w:trPr>
          <w:trHeight w:hRule="exact" w:val="1891"/>
          <w:jc w:val="center"/>
        </w:trPr>
        <w:tc>
          <w:tcPr>
            <w:tcW w:w="3491" w:type="dxa"/>
            <w:vAlign w:val="center"/>
          </w:tcPr>
          <w:p w:rsidR="00951C99" w:rsidRPr="00DE3A7D" w:rsidRDefault="00117928">
            <w:pPr>
              <w:tabs>
                <w:tab w:val="left" w:pos="267"/>
              </w:tabs>
              <w:ind w:left="125" w:hanging="142"/>
              <w:jc w:val="both"/>
              <w:rPr>
                <w:sz w:val="20"/>
                <w:szCs w:val="20"/>
                <w:lang w:val="es-ES"/>
              </w:rPr>
            </w:pPr>
            <w:r w:rsidRPr="00117928">
              <w:rPr>
                <w:sz w:val="20"/>
                <w:szCs w:val="20"/>
                <w:lang w:val="es-ES"/>
              </w:rPr>
              <w:t xml:space="preserve">3.1 </w:t>
            </w:r>
            <w:r w:rsidR="00CB31AE">
              <w:rPr>
                <w:sz w:val="20"/>
                <w:szCs w:val="20"/>
                <w:lang w:val="es-ES"/>
              </w:rPr>
              <w:t>Nota del Ministerio de la Presidencia</w:t>
            </w:r>
            <w:r w:rsidRPr="00117928">
              <w:rPr>
                <w:sz w:val="20"/>
                <w:szCs w:val="20"/>
                <w:lang w:val="es-ES"/>
              </w:rPr>
              <w:t xml:space="preserve"> que designa la entidad responsable de la elaboración del Plan de Transporte y Logística de la Zona Interoceánica (PTLZI)</w:t>
            </w:r>
            <w:r w:rsidR="00CB31AE">
              <w:rPr>
                <w:sz w:val="20"/>
                <w:szCs w:val="20"/>
                <w:lang w:val="es-ES"/>
              </w:rPr>
              <w:t xml:space="preserve"> con términos de referencia adjuntados. </w:t>
            </w:r>
          </w:p>
        </w:tc>
        <w:tc>
          <w:tcPr>
            <w:tcW w:w="1261" w:type="dxa"/>
            <w:vAlign w:val="center"/>
          </w:tcPr>
          <w:p w:rsidR="00951C99" w:rsidRPr="00A147A9" w:rsidRDefault="00951C99">
            <w:pPr>
              <w:jc w:val="center"/>
              <w:rPr>
                <w:lang w:val="es-ES_tradnl"/>
              </w:rPr>
            </w:pPr>
            <w:r w:rsidRPr="00783DC3">
              <w:rPr>
                <w:sz w:val="20"/>
                <w:szCs w:val="20"/>
                <w:lang w:val="es-ES"/>
              </w:rPr>
              <w:t>2016</w:t>
            </w:r>
          </w:p>
        </w:tc>
        <w:tc>
          <w:tcPr>
            <w:tcW w:w="3270" w:type="dxa"/>
            <w:vAlign w:val="center"/>
          </w:tcPr>
          <w:p w:rsidR="00951C99" w:rsidRPr="001F01A7" w:rsidRDefault="001F01A7" w:rsidP="00A147A9">
            <w:pPr>
              <w:spacing w:before="60" w:after="60"/>
              <w:jc w:val="both"/>
              <w:rPr>
                <w:sz w:val="20"/>
                <w:szCs w:val="20"/>
                <w:lang w:val="es-ES_tradnl"/>
              </w:rPr>
            </w:pPr>
            <w:r w:rsidRPr="001F01A7">
              <w:rPr>
                <w:sz w:val="20"/>
                <w:szCs w:val="20"/>
                <w:lang w:val="es-ES_tradnl"/>
              </w:rPr>
              <w:t>Nota del Ministerio de la Presidencia que convalida la designación del Gabinete Logístico de la entidad responsable de la elaboración del PTLZI y adjunta los términos de referencia con los alcances del plano.</w:t>
            </w:r>
          </w:p>
        </w:tc>
        <w:tc>
          <w:tcPr>
            <w:tcW w:w="1855" w:type="dxa"/>
            <w:vMerge/>
          </w:tcPr>
          <w:p w:rsidR="00951C99" w:rsidRPr="00DE3A7D" w:rsidRDefault="00951C99" w:rsidP="00951C99">
            <w:pPr>
              <w:ind w:hanging="18"/>
              <w:jc w:val="both"/>
              <w:rPr>
                <w:sz w:val="20"/>
                <w:szCs w:val="20"/>
                <w:lang w:val="es-ES"/>
              </w:rPr>
            </w:pPr>
          </w:p>
        </w:tc>
      </w:tr>
      <w:tr w:rsidR="00951C99" w:rsidRPr="001E63CD" w:rsidTr="00131F49">
        <w:trPr>
          <w:trHeight w:hRule="exact" w:val="2971"/>
          <w:jc w:val="center"/>
        </w:trPr>
        <w:tc>
          <w:tcPr>
            <w:tcW w:w="3491" w:type="dxa"/>
            <w:vAlign w:val="center"/>
          </w:tcPr>
          <w:p w:rsidR="00951C99" w:rsidRPr="00107D44" w:rsidRDefault="00117928" w:rsidP="008A02B3">
            <w:pPr>
              <w:pStyle w:val="Header"/>
              <w:tabs>
                <w:tab w:val="left" w:pos="267"/>
                <w:tab w:val="left" w:pos="3870"/>
              </w:tabs>
              <w:ind w:left="125" w:hanging="142"/>
              <w:jc w:val="both"/>
              <w:rPr>
                <w:sz w:val="20"/>
                <w:szCs w:val="20"/>
                <w:lang w:val="es-ES"/>
              </w:rPr>
            </w:pPr>
            <w:r w:rsidRPr="00107D44">
              <w:rPr>
                <w:sz w:val="20"/>
                <w:szCs w:val="20"/>
                <w:lang w:val="es-ES"/>
              </w:rPr>
              <w:t xml:space="preserve">3.2 </w:t>
            </w:r>
            <w:r w:rsidR="00CB31AE" w:rsidRPr="00107D44">
              <w:rPr>
                <w:sz w:val="20"/>
                <w:szCs w:val="20"/>
                <w:lang w:val="es-ES"/>
              </w:rPr>
              <w:t>Propuesta de Gobernanza para el sistema multimodal de planificación y de la elaboración del PMTL presentado por el MOP al Ministerio de Presidencia</w:t>
            </w:r>
          </w:p>
        </w:tc>
        <w:tc>
          <w:tcPr>
            <w:tcW w:w="1261" w:type="dxa"/>
            <w:vAlign w:val="center"/>
          </w:tcPr>
          <w:p w:rsidR="00951C99" w:rsidRDefault="00951C99">
            <w:pPr>
              <w:jc w:val="center"/>
            </w:pPr>
            <w:r w:rsidRPr="00783DC3">
              <w:rPr>
                <w:sz w:val="20"/>
                <w:szCs w:val="20"/>
                <w:lang w:val="es-ES"/>
              </w:rPr>
              <w:t>2016</w:t>
            </w:r>
          </w:p>
        </w:tc>
        <w:tc>
          <w:tcPr>
            <w:tcW w:w="3270" w:type="dxa"/>
            <w:vAlign w:val="center"/>
          </w:tcPr>
          <w:p w:rsidR="00951C99" w:rsidRPr="001F01A7" w:rsidRDefault="001F01A7" w:rsidP="00A147A9">
            <w:pPr>
              <w:spacing w:before="60" w:after="60"/>
              <w:jc w:val="both"/>
              <w:rPr>
                <w:sz w:val="20"/>
                <w:szCs w:val="20"/>
                <w:lang w:val="es-ES_tradnl"/>
              </w:rPr>
            </w:pPr>
            <w:r w:rsidRPr="001F01A7">
              <w:rPr>
                <w:sz w:val="20"/>
                <w:szCs w:val="20"/>
                <w:lang w:val="es-ES_tradnl"/>
              </w:rPr>
              <w:t>Nota del Ministro de Obras Públicas constatando avances del PMTL, considerando las iniciativas existentes en materia de infraestructura y propuesta de gobernanza.</w:t>
            </w:r>
          </w:p>
          <w:p w:rsidR="001F01A7" w:rsidRPr="001F01A7" w:rsidRDefault="001F01A7" w:rsidP="00A147A9">
            <w:pPr>
              <w:spacing w:before="60" w:after="60"/>
              <w:jc w:val="both"/>
              <w:rPr>
                <w:sz w:val="20"/>
                <w:szCs w:val="20"/>
                <w:lang w:val="es-ES_tradnl"/>
              </w:rPr>
            </w:pPr>
            <w:r w:rsidRPr="001F01A7">
              <w:rPr>
                <w:bCs/>
                <w:sz w:val="20"/>
                <w:szCs w:val="20"/>
                <w:lang w:val="es-ES_tradnl"/>
              </w:rPr>
              <w:t>Nota del Ministro de la Presidencia aprobando los alcances para el inventario de iniciativas existentes y sistema multimodal de planificación.</w:t>
            </w:r>
          </w:p>
          <w:p w:rsidR="001F01A7" w:rsidRPr="001F01A7" w:rsidRDefault="001F01A7" w:rsidP="00A147A9">
            <w:pPr>
              <w:spacing w:before="60" w:after="60"/>
              <w:jc w:val="both"/>
              <w:rPr>
                <w:sz w:val="20"/>
                <w:szCs w:val="20"/>
                <w:lang w:val="es-ES"/>
              </w:rPr>
            </w:pPr>
          </w:p>
        </w:tc>
        <w:tc>
          <w:tcPr>
            <w:tcW w:w="1855" w:type="dxa"/>
            <w:vMerge/>
          </w:tcPr>
          <w:p w:rsidR="00951C99" w:rsidRPr="00DE3A7D" w:rsidRDefault="00951C99" w:rsidP="00951C99">
            <w:pPr>
              <w:contextualSpacing/>
              <w:jc w:val="both"/>
              <w:rPr>
                <w:sz w:val="20"/>
                <w:szCs w:val="20"/>
                <w:lang w:val="es-ES"/>
              </w:rPr>
            </w:pPr>
          </w:p>
        </w:tc>
      </w:tr>
      <w:tr w:rsidR="00CB31AE" w:rsidRPr="001E63CD" w:rsidTr="00A147A9">
        <w:trPr>
          <w:trHeight w:hRule="exact" w:val="1441"/>
          <w:jc w:val="center"/>
        </w:trPr>
        <w:tc>
          <w:tcPr>
            <w:tcW w:w="3491" w:type="dxa"/>
            <w:vAlign w:val="center"/>
          </w:tcPr>
          <w:p w:rsidR="00CB31AE" w:rsidRPr="00107D44" w:rsidRDefault="00CB31AE">
            <w:pPr>
              <w:pStyle w:val="Header"/>
              <w:tabs>
                <w:tab w:val="left" w:pos="267"/>
                <w:tab w:val="left" w:pos="3870"/>
              </w:tabs>
              <w:ind w:left="125" w:hanging="142"/>
              <w:jc w:val="both"/>
              <w:rPr>
                <w:sz w:val="20"/>
                <w:szCs w:val="20"/>
                <w:lang w:val="es-ES"/>
              </w:rPr>
            </w:pPr>
            <w:r w:rsidRPr="00107D44">
              <w:rPr>
                <w:sz w:val="20"/>
                <w:szCs w:val="20"/>
                <w:lang w:val="es-ES"/>
              </w:rPr>
              <w:t>3.3 Plan Estratégico Quinquenal del MIVIOT aprobado por la institución y remitido a</w:t>
            </w:r>
            <w:r w:rsidR="00876B8A">
              <w:rPr>
                <w:sz w:val="20"/>
                <w:szCs w:val="20"/>
                <w:lang w:val="es-ES"/>
              </w:rPr>
              <w:t>l</w:t>
            </w:r>
            <w:r w:rsidRPr="00107D44">
              <w:rPr>
                <w:sz w:val="20"/>
                <w:szCs w:val="20"/>
                <w:lang w:val="es-ES"/>
              </w:rPr>
              <w:t xml:space="preserve"> Ministerio de Presidencia</w:t>
            </w:r>
          </w:p>
        </w:tc>
        <w:tc>
          <w:tcPr>
            <w:tcW w:w="1261" w:type="dxa"/>
            <w:vAlign w:val="center"/>
          </w:tcPr>
          <w:p w:rsidR="00CB31AE" w:rsidRPr="00783DC3" w:rsidRDefault="00CB31AE">
            <w:pPr>
              <w:jc w:val="center"/>
              <w:rPr>
                <w:sz w:val="20"/>
                <w:szCs w:val="20"/>
                <w:lang w:val="es-ES"/>
              </w:rPr>
            </w:pPr>
            <w:r>
              <w:rPr>
                <w:sz w:val="20"/>
                <w:szCs w:val="20"/>
                <w:lang w:val="es-ES"/>
              </w:rPr>
              <w:t>2016</w:t>
            </w:r>
          </w:p>
        </w:tc>
        <w:tc>
          <w:tcPr>
            <w:tcW w:w="3270" w:type="dxa"/>
            <w:vAlign w:val="center"/>
          </w:tcPr>
          <w:p w:rsidR="00CB31AE" w:rsidRPr="001F01A7" w:rsidRDefault="001F01A7" w:rsidP="00A147A9">
            <w:pPr>
              <w:spacing w:before="60" w:after="60"/>
              <w:jc w:val="both"/>
              <w:rPr>
                <w:sz w:val="20"/>
                <w:szCs w:val="20"/>
                <w:lang w:val="es-ES_tradnl"/>
              </w:rPr>
            </w:pPr>
            <w:r w:rsidRPr="001F01A7">
              <w:rPr>
                <w:spacing w:val="-2"/>
                <w:sz w:val="20"/>
                <w:szCs w:val="20"/>
                <w:lang w:val="es-ES"/>
              </w:rPr>
              <w:t>Decisión Administrativa del MIVIOT aprobando el Plan Estratégico de la entidad que delimita lineamientos principales de la PNOT, enfocados en las potencialidades productivas y logísticas del país.</w:t>
            </w:r>
          </w:p>
        </w:tc>
        <w:tc>
          <w:tcPr>
            <w:tcW w:w="1855" w:type="dxa"/>
            <w:vMerge/>
          </w:tcPr>
          <w:p w:rsidR="00CB31AE" w:rsidRPr="00DE3A7D" w:rsidRDefault="00CB31AE" w:rsidP="00951C99">
            <w:pPr>
              <w:contextualSpacing/>
              <w:jc w:val="both"/>
              <w:rPr>
                <w:sz w:val="20"/>
                <w:szCs w:val="20"/>
                <w:lang w:val="es-ES"/>
              </w:rPr>
            </w:pPr>
          </w:p>
        </w:tc>
      </w:tr>
      <w:tr w:rsidR="00CB31AE" w:rsidRPr="001E63CD" w:rsidTr="00CB31AE">
        <w:trPr>
          <w:trHeight w:hRule="exact" w:val="1441"/>
          <w:jc w:val="center"/>
        </w:trPr>
        <w:tc>
          <w:tcPr>
            <w:tcW w:w="3491" w:type="dxa"/>
            <w:vAlign w:val="center"/>
          </w:tcPr>
          <w:p w:rsidR="00CB31AE" w:rsidRPr="00107D44" w:rsidRDefault="00CB31AE" w:rsidP="00CB31AE">
            <w:pPr>
              <w:pStyle w:val="Header"/>
              <w:tabs>
                <w:tab w:val="left" w:pos="267"/>
                <w:tab w:val="left" w:pos="3870"/>
              </w:tabs>
              <w:ind w:left="125" w:hanging="142"/>
              <w:jc w:val="both"/>
              <w:rPr>
                <w:sz w:val="20"/>
                <w:szCs w:val="20"/>
                <w:lang w:val="es-ES"/>
              </w:rPr>
            </w:pPr>
            <w:r w:rsidRPr="00107D44">
              <w:rPr>
                <w:sz w:val="20"/>
                <w:szCs w:val="20"/>
                <w:lang w:val="es-ES"/>
              </w:rPr>
              <w:t xml:space="preserve">3.4 </w:t>
            </w:r>
            <w:r w:rsidRPr="00107D44">
              <w:rPr>
                <w:spacing w:val="-2"/>
                <w:sz w:val="20"/>
                <w:szCs w:val="20"/>
                <w:lang w:val="es-ES"/>
              </w:rPr>
              <w:t xml:space="preserve">Ley No. 14 de 2015 aprobatoria del reglamento de ordenamiento territorial para el desarrollo urbano publicada en Gaceta Oficial. </w:t>
            </w:r>
          </w:p>
        </w:tc>
        <w:tc>
          <w:tcPr>
            <w:tcW w:w="1261" w:type="dxa"/>
            <w:vAlign w:val="center"/>
          </w:tcPr>
          <w:p w:rsidR="00CB31AE" w:rsidRDefault="00CB31AE" w:rsidP="00CB31AE">
            <w:pPr>
              <w:jc w:val="center"/>
              <w:rPr>
                <w:sz w:val="20"/>
                <w:szCs w:val="20"/>
                <w:lang w:val="es-ES"/>
              </w:rPr>
            </w:pPr>
            <w:r>
              <w:rPr>
                <w:sz w:val="20"/>
                <w:szCs w:val="20"/>
                <w:lang w:val="es-ES"/>
              </w:rPr>
              <w:t>2016</w:t>
            </w:r>
          </w:p>
        </w:tc>
        <w:tc>
          <w:tcPr>
            <w:tcW w:w="3270" w:type="dxa"/>
            <w:vAlign w:val="center"/>
          </w:tcPr>
          <w:p w:rsidR="00CB31AE" w:rsidRPr="001F01A7" w:rsidRDefault="00CB31AE" w:rsidP="00CB31AE">
            <w:pPr>
              <w:spacing w:before="60" w:after="60"/>
              <w:jc w:val="both"/>
              <w:rPr>
                <w:sz w:val="20"/>
                <w:szCs w:val="20"/>
                <w:lang w:val="es-ES_tradnl"/>
              </w:rPr>
            </w:pPr>
            <w:r w:rsidRPr="001F01A7">
              <w:rPr>
                <w:sz w:val="20"/>
                <w:szCs w:val="20"/>
                <w:lang w:val="es-ES_tradnl"/>
              </w:rPr>
              <w:t>Ley No. 14 de 2015 aprobatoria del reglamento de ordenamiento territorial para el desarrollo urbano.</w:t>
            </w:r>
          </w:p>
        </w:tc>
        <w:tc>
          <w:tcPr>
            <w:tcW w:w="1855" w:type="dxa"/>
            <w:vMerge/>
          </w:tcPr>
          <w:p w:rsidR="00CB31AE" w:rsidRPr="00DE3A7D" w:rsidRDefault="00CB31AE" w:rsidP="00951C99">
            <w:pPr>
              <w:contextualSpacing/>
              <w:jc w:val="both"/>
              <w:rPr>
                <w:sz w:val="20"/>
                <w:szCs w:val="20"/>
                <w:lang w:val="es-ES"/>
              </w:rPr>
            </w:pPr>
          </w:p>
        </w:tc>
      </w:tr>
      <w:tr w:rsidR="00CB31AE" w:rsidRPr="001E63CD" w:rsidTr="00CB31AE">
        <w:trPr>
          <w:trHeight w:hRule="exact" w:val="1441"/>
          <w:jc w:val="center"/>
        </w:trPr>
        <w:tc>
          <w:tcPr>
            <w:tcW w:w="3491" w:type="dxa"/>
            <w:vAlign w:val="center"/>
          </w:tcPr>
          <w:p w:rsidR="00CB31AE" w:rsidRPr="00107D44" w:rsidRDefault="00CB31AE" w:rsidP="00131F49">
            <w:pPr>
              <w:pStyle w:val="Header"/>
              <w:tabs>
                <w:tab w:val="left" w:pos="267"/>
                <w:tab w:val="left" w:pos="3870"/>
              </w:tabs>
              <w:ind w:left="125" w:hanging="142"/>
              <w:jc w:val="both"/>
              <w:rPr>
                <w:sz w:val="20"/>
                <w:szCs w:val="20"/>
                <w:lang w:val="es-ES"/>
              </w:rPr>
            </w:pPr>
            <w:r w:rsidRPr="00107D44">
              <w:rPr>
                <w:sz w:val="20"/>
                <w:szCs w:val="20"/>
                <w:lang w:val="es-ES"/>
              </w:rPr>
              <w:lastRenderedPageBreak/>
              <w:t xml:space="preserve">3.5 </w:t>
            </w:r>
            <w:r w:rsidR="00131F49">
              <w:rPr>
                <w:sz w:val="20"/>
                <w:szCs w:val="20"/>
                <w:lang w:val="es-ES"/>
              </w:rPr>
              <w:t>Resolución</w:t>
            </w:r>
            <w:r w:rsidRPr="00107D44">
              <w:rPr>
                <w:sz w:val="20"/>
                <w:szCs w:val="20"/>
                <w:lang w:val="es-ES"/>
              </w:rPr>
              <w:t xml:space="preserve"> con los lineamentos para la tramitación de Planes y Esquemas de Ordenamiento Territorial, parte constitutiva del PNOT</w:t>
            </w:r>
            <w:r w:rsidR="00426E2F" w:rsidRPr="00107D44">
              <w:rPr>
                <w:sz w:val="20"/>
                <w:szCs w:val="20"/>
                <w:lang w:val="es-ES"/>
              </w:rPr>
              <w:t xml:space="preserve"> redactada por el MIVIOT.  </w:t>
            </w:r>
          </w:p>
        </w:tc>
        <w:tc>
          <w:tcPr>
            <w:tcW w:w="1261" w:type="dxa"/>
            <w:vAlign w:val="center"/>
          </w:tcPr>
          <w:p w:rsidR="00CB31AE" w:rsidRDefault="00CB31AE" w:rsidP="00CB31AE">
            <w:pPr>
              <w:jc w:val="center"/>
              <w:rPr>
                <w:sz w:val="20"/>
                <w:szCs w:val="20"/>
                <w:lang w:val="es-ES"/>
              </w:rPr>
            </w:pPr>
            <w:r>
              <w:rPr>
                <w:sz w:val="20"/>
                <w:szCs w:val="20"/>
                <w:lang w:val="es-ES"/>
              </w:rPr>
              <w:t>2016</w:t>
            </w:r>
          </w:p>
        </w:tc>
        <w:tc>
          <w:tcPr>
            <w:tcW w:w="3270" w:type="dxa"/>
            <w:vAlign w:val="center"/>
          </w:tcPr>
          <w:p w:rsidR="00CB31AE" w:rsidRPr="001F01A7" w:rsidRDefault="00CB31AE" w:rsidP="00CB31AE">
            <w:pPr>
              <w:spacing w:before="60" w:after="60"/>
              <w:jc w:val="both"/>
              <w:rPr>
                <w:sz w:val="20"/>
                <w:szCs w:val="20"/>
                <w:lang w:val="es-ES_tradnl"/>
              </w:rPr>
            </w:pPr>
            <w:r w:rsidRPr="001F01A7">
              <w:rPr>
                <w:spacing w:val="-2"/>
                <w:sz w:val="20"/>
                <w:szCs w:val="20"/>
                <w:lang w:val="es-ES"/>
              </w:rPr>
              <w:t>Resolución No. 732 de 2015 del MIVIOT aprobando lineamientos para la tramitación de Planes y Esquemas de Ordenamiento Territorial, parte constitutiva del PNOT.</w:t>
            </w:r>
          </w:p>
        </w:tc>
        <w:tc>
          <w:tcPr>
            <w:tcW w:w="1855" w:type="dxa"/>
            <w:vMerge/>
          </w:tcPr>
          <w:p w:rsidR="00CB31AE" w:rsidRPr="00DE3A7D" w:rsidRDefault="00CB31AE" w:rsidP="00951C99">
            <w:pPr>
              <w:contextualSpacing/>
              <w:jc w:val="both"/>
              <w:rPr>
                <w:sz w:val="20"/>
                <w:szCs w:val="20"/>
                <w:lang w:val="es-ES"/>
              </w:rPr>
            </w:pPr>
          </w:p>
        </w:tc>
      </w:tr>
      <w:tr w:rsidR="00951C99" w:rsidRPr="00C00771" w:rsidTr="00A147A9">
        <w:trPr>
          <w:trHeight w:hRule="exact" w:val="2035"/>
          <w:jc w:val="center"/>
        </w:trPr>
        <w:tc>
          <w:tcPr>
            <w:tcW w:w="3491" w:type="dxa"/>
            <w:vAlign w:val="center"/>
          </w:tcPr>
          <w:p w:rsidR="00951C99" w:rsidRPr="00DE3A7D" w:rsidRDefault="00980A2F">
            <w:pPr>
              <w:tabs>
                <w:tab w:val="left" w:pos="267"/>
              </w:tabs>
              <w:ind w:left="125" w:hanging="142"/>
              <w:jc w:val="both"/>
              <w:rPr>
                <w:sz w:val="20"/>
                <w:szCs w:val="20"/>
                <w:lang w:val="es-ES"/>
              </w:rPr>
            </w:pPr>
            <w:r w:rsidRPr="00980A2F">
              <w:rPr>
                <w:sz w:val="20"/>
                <w:szCs w:val="20"/>
                <w:lang w:val="es-ES"/>
              </w:rPr>
              <w:t>3.</w:t>
            </w:r>
            <w:r w:rsidR="00426E2F">
              <w:rPr>
                <w:sz w:val="20"/>
                <w:szCs w:val="20"/>
                <w:lang w:val="es-ES"/>
              </w:rPr>
              <w:t>6</w:t>
            </w:r>
            <w:r w:rsidRPr="00980A2F">
              <w:rPr>
                <w:sz w:val="20"/>
                <w:szCs w:val="20"/>
                <w:lang w:val="es-ES"/>
              </w:rPr>
              <w:t xml:space="preserve"> </w:t>
            </w:r>
            <w:r w:rsidR="00426E2F">
              <w:rPr>
                <w:sz w:val="20"/>
                <w:szCs w:val="20"/>
                <w:lang w:val="es-ES"/>
              </w:rPr>
              <w:t xml:space="preserve">Plan de Desarrollo Urbano de las áreas metropolitanas del Pacífico y el Atlántico actualizado </w:t>
            </w:r>
            <w:r w:rsidR="004C658A">
              <w:rPr>
                <w:sz w:val="20"/>
                <w:szCs w:val="20"/>
                <w:lang w:val="es-ES"/>
              </w:rPr>
              <w:t xml:space="preserve">y aprobado por el MIVIOT. </w:t>
            </w:r>
            <w:r w:rsidR="00426E2F">
              <w:rPr>
                <w:sz w:val="20"/>
                <w:szCs w:val="20"/>
                <w:lang w:val="es-ES"/>
              </w:rPr>
              <w:t xml:space="preserve"> </w:t>
            </w:r>
          </w:p>
        </w:tc>
        <w:tc>
          <w:tcPr>
            <w:tcW w:w="1261" w:type="dxa"/>
            <w:vAlign w:val="center"/>
          </w:tcPr>
          <w:p w:rsidR="00951C99" w:rsidRPr="00A147A9" w:rsidRDefault="00951C99">
            <w:pPr>
              <w:jc w:val="center"/>
              <w:rPr>
                <w:lang w:val="es-ES_tradnl"/>
              </w:rPr>
            </w:pPr>
            <w:r w:rsidRPr="00783DC3">
              <w:rPr>
                <w:sz w:val="20"/>
                <w:szCs w:val="20"/>
                <w:lang w:val="es-ES"/>
              </w:rPr>
              <w:t>2016</w:t>
            </w:r>
          </w:p>
        </w:tc>
        <w:tc>
          <w:tcPr>
            <w:tcW w:w="3270" w:type="dxa"/>
            <w:vAlign w:val="center"/>
          </w:tcPr>
          <w:p w:rsidR="00951C99" w:rsidRPr="001F01A7" w:rsidRDefault="001F01A7" w:rsidP="00A147A9">
            <w:pPr>
              <w:spacing w:before="60" w:after="60"/>
              <w:jc w:val="both"/>
              <w:rPr>
                <w:sz w:val="20"/>
                <w:szCs w:val="20"/>
                <w:lang w:val="es-ES"/>
              </w:rPr>
            </w:pPr>
            <w:r w:rsidRPr="001F01A7">
              <w:rPr>
                <w:spacing w:val="-2"/>
                <w:sz w:val="20"/>
                <w:szCs w:val="20"/>
                <w:lang w:val="es-ES_tradnl"/>
              </w:rPr>
              <w:t>Nota Oficial del MIVIOT que remite al Consejo de Gabinete la actualización del Plan de Desarrollo Urbano de las áreas metropolitanas del Pacífico y el Atlántico</w:t>
            </w:r>
            <w:r w:rsidRPr="001F01A7">
              <w:rPr>
                <w:spacing w:val="-2"/>
                <w:sz w:val="20"/>
                <w:szCs w:val="20"/>
                <w:lang w:val="es-ES"/>
              </w:rPr>
              <w:t xml:space="preserve"> en torno a la identificación de áreas prioritarias para fortalecer el desarrollo logístico nacional y </w:t>
            </w:r>
            <w:proofErr w:type="gramStart"/>
            <w:r w:rsidRPr="001F01A7">
              <w:rPr>
                <w:spacing w:val="-2"/>
                <w:sz w:val="20"/>
                <w:szCs w:val="20"/>
                <w:lang w:val="es-ES"/>
              </w:rPr>
              <w:t>adjunta</w:t>
            </w:r>
            <w:proofErr w:type="gramEnd"/>
            <w:r w:rsidRPr="001F01A7">
              <w:rPr>
                <w:spacing w:val="-2"/>
                <w:sz w:val="20"/>
                <w:szCs w:val="20"/>
                <w:lang w:val="es-ES"/>
              </w:rPr>
              <w:t xml:space="preserve"> plan de desarrollo actualizado.</w:t>
            </w:r>
          </w:p>
        </w:tc>
        <w:tc>
          <w:tcPr>
            <w:tcW w:w="1855" w:type="dxa"/>
            <w:vMerge/>
          </w:tcPr>
          <w:p w:rsidR="00951C99" w:rsidRPr="00DE3A7D" w:rsidRDefault="00951C99" w:rsidP="00951C99">
            <w:pPr>
              <w:contextualSpacing/>
              <w:jc w:val="both"/>
              <w:rPr>
                <w:sz w:val="20"/>
                <w:szCs w:val="20"/>
                <w:lang w:val="es-ES"/>
              </w:rPr>
            </w:pPr>
          </w:p>
        </w:tc>
      </w:tr>
      <w:tr w:rsidR="00951C99" w:rsidRPr="001E63CD" w:rsidTr="00A147A9">
        <w:trPr>
          <w:trHeight w:hRule="exact" w:val="1621"/>
          <w:jc w:val="center"/>
        </w:trPr>
        <w:tc>
          <w:tcPr>
            <w:tcW w:w="3491" w:type="dxa"/>
            <w:vAlign w:val="center"/>
          </w:tcPr>
          <w:p w:rsidR="00951C99" w:rsidRPr="00DE3A7D" w:rsidRDefault="00980A2F">
            <w:pPr>
              <w:tabs>
                <w:tab w:val="left" w:pos="267"/>
              </w:tabs>
              <w:ind w:left="125" w:hanging="142"/>
              <w:jc w:val="both"/>
              <w:rPr>
                <w:sz w:val="20"/>
                <w:szCs w:val="20"/>
                <w:lang w:val="es-ES"/>
              </w:rPr>
            </w:pPr>
            <w:r w:rsidRPr="00980A2F">
              <w:rPr>
                <w:sz w:val="20"/>
                <w:szCs w:val="20"/>
                <w:lang w:val="es-ES"/>
              </w:rPr>
              <w:t>3.</w:t>
            </w:r>
            <w:r w:rsidR="00D735C1">
              <w:rPr>
                <w:sz w:val="20"/>
                <w:szCs w:val="20"/>
                <w:lang w:val="es-ES"/>
              </w:rPr>
              <w:t>7</w:t>
            </w:r>
            <w:r w:rsidRPr="00980A2F">
              <w:rPr>
                <w:sz w:val="20"/>
                <w:szCs w:val="20"/>
                <w:lang w:val="es-ES"/>
              </w:rPr>
              <w:t xml:space="preserve"> </w:t>
            </w:r>
            <w:r w:rsidR="004C658A">
              <w:rPr>
                <w:sz w:val="20"/>
                <w:szCs w:val="20"/>
                <w:lang w:val="es-ES"/>
              </w:rPr>
              <w:t xml:space="preserve">Documento de Procesos VUMPA, que armoniza los sistemas de recepción de naves de la ACP y la AMP en el área de influencia del Canal en el marco del acuerdo FAL6 elaborado por la ACP y AMP. </w:t>
            </w:r>
            <w:r w:rsidR="00951C99" w:rsidRPr="00DE3A7D">
              <w:rPr>
                <w:sz w:val="20"/>
                <w:szCs w:val="20"/>
                <w:lang w:val="es-ES"/>
              </w:rPr>
              <w:tab/>
            </w:r>
          </w:p>
        </w:tc>
        <w:tc>
          <w:tcPr>
            <w:tcW w:w="1261" w:type="dxa"/>
            <w:vAlign w:val="center"/>
          </w:tcPr>
          <w:p w:rsidR="00951C99" w:rsidRPr="00A147A9" w:rsidRDefault="00951C99">
            <w:pPr>
              <w:jc w:val="center"/>
              <w:rPr>
                <w:lang w:val="es-ES_tradnl"/>
              </w:rPr>
            </w:pPr>
            <w:r w:rsidRPr="00783DC3">
              <w:rPr>
                <w:sz w:val="20"/>
                <w:szCs w:val="20"/>
                <w:lang w:val="es-ES"/>
              </w:rPr>
              <w:t>2016</w:t>
            </w:r>
          </w:p>
        </w:tc>
        <w:tc>
          <w:tcPr>
            <w:tcW w:w="3270" w:type="dxa"/>
            <w:vAlign w:val="center"/>
          </w:tcPr>
          <w:p w:rsidR="00951C99" w:rsidRPr="001F01A7" w:rsidRDefault="004C658A" w:rsidP="00A147A9">
            <w:pPr>
              <w:spacing w:before="60" w:after="60"/>
              <w:jc w:val="both"/>
              <w:rPr>
                <w:sz w:val="20"/>
                <w:szCs w:val="20"/>
                <w:lang w:val="es-ES"/>
              </w:rPr>
            </w:pPr>
            <w:r w:rsidRPr="001F01A7">
              <w:rPr>
                <w:spacing w:val="-2"/>
                <w:sz w:val="20"/>
                <w:szCs w:val="20"/>
                <w:lang w:val="es-ES_tradnl"/>
              </w:rPr>
              <w:t>Nota Oficial de la AMP que informa avances sobre la armonización de procesos entre los sistemas de recepción de naves de la ACP y la AMP en el área de influencia del canal en el marco del acuerdo FAL65.</w:t>
            </w:r>
          </w:p>
        </w:tc>
        <w:tc>
          <w:tcPr>
            <w:tcW w:w="1855" w:type="dxa"/>
            <w:vMerge/>
          </w:tcPr>
          <w:p w:rsidR="00951C99" w:rsidRPr="00DE3A7D" w:rsidRDefault="00951C99" w:rsidP="00951C99">
            <w:pPr>
              <w:contextualSpacing/>
              <w:jc w:val="both"/>
              <w:rPr>
                <w:sz w:val="20"/>
                <w:szCs w:val="20"/>
                <w:lang w:val="es-ES"/>
              </w:rPr>
            </w:pPr>
          </w:p>
        </w:tc>
      </w:tr>
      <w:tr w:rsidR="00951C99" w:rsidRPr="00C00771" w:rsidTr="00583C33">
        <w:trPr>
          <w:trHeight w:hRule="exact" w:val="1621"/>
          <w:jc w:val="center"/>
        </w:trPr>
        <w:tc>
          <w:tcPr>
            <w:tcW w:w="3491" w:type="dxa"/>
            <w:vAlign w:val="center"/>
          </w:tcPr>
          <w:p w:rsidR="00951C99" w:rsidRPr="00DE3A7D" w:rsidRDefault="00980A2F" w:rsidP="008A02B3">
            <w:pPr>
              <w:tabs>
                <w:tab w:val="left" w:pos="267"/>
              </w:tabs>
              <w:ind w:left="125" w:hanging="142"/>
              <w:jc w:val="both"/>
              <w:rPr>
                <w:sz w:val="20"/>
                <w:szCs w:val="20"/>
                <w:lang w:val="es-ES"/>
              </w:rPr>
            </w:pPr>
            <w:r w:rsidRPr="00980A2F">
              <w:rPr>
                <w:sz w:val="20"/>
                <w:szCs w:val="20"/>
                <w:lang w:val="es-ES"/>
              </w:rPr>
              <w:t>3.</w:t>
            </w:r>
            <w:r w:rsidR="00D735C1">
              <w:rPr>
                <w:sz w:val="20"/>
                <w:szCs w:val="20"/>
                <w:lang w:val="es-ES"/>
              </w:rPr>
              <w:t>8</w:t>
            </w:r>
            <w:r w:rsidRPr="00980A2F">
              <w:rPr>
                <w:sz w:val="20"/>
                <w:szCs w:val="20"/>
                <w:lang w:val="es-ES"/>
              </w:rPr>
              <w:t xml:space="preserve"> Ley No 55 que adopta el Protocolo del Acuerdo de Marrakech aprobada por la Asamblea</w:t>
            </w:r>
            <w:r w:rsidR="004C658A">
              <w:rPr>
                <w:sz w:val="20"/>
                <w:szCs w:val="20"/>
                <w:lang w:val="es-ES"/>
              </w:rPr>
              <w:t xml:space="preserve"> y publicada en la Gaceta Oficial.</w:t>
            </w:r>
          </w:p>
        </w:tc>
        <w:tc>
          <w:tcPr>
            <w:tcW w:w="1261" w:type="dxa"/>
          </w:tcPr>
          <w:p w:rsidR="00951C99" w:rsidRDefault="00951C99" w:rsidP="00951C99">
            <w:pPr>
              <w:jc w:val="center"/>
            </w:pPr>
            <w:r w:rsidRPr="000F0476">
              <w:rPr>
                <w:sz w:val="20"/>
                <w:szCs w:val="20"/>
                <w:lang w:val="es-ES"/>
              </w:rPr>
              <w:t>2016</w:t>
            </w:r>
          </w:p>
        </w:tc>
        <w:tc>
          <w:tcPr>
            <w:tcW w:w="3270" w:type="dxa"/>
            <w:vAlign w:val="center"/>
          </w:tcPr>
          <w:p w:rsidR="00951C99" w:rsidRPr="001F01A7" w:rsidRDefault="00980A2F" w:rsidP="00951C99">
            <w:pPr>
              <w:contextualSpacing/>
              <w:jc w:val="both"/>
              <w:rPr>
                <w:sz w:val="20"/>
                <w:szCs w:val="20"/>
                <w:lang w:val="es-ES"/>
              </w:rPr>
            </w:pPr>
            <w:r w:rsidRPr="001F01A7">
              <w:rPr>
                <w:sz w:val="20"/>
                <w:szCs w:val="20"/>
                <w:lang w:val="es-ES_tradnl"/>
              </w:rPr>
              <w:t xml:space="preserve">Publicación en la gaceta Oficial de la Ley No. 55 del 9 de septiembre de 2015, que adopta el Protocolo del Acuerdo de Marrakech, por el cual se establece la OMC, y el Anexo </w:t>
            </w:r>
            <w:proofErr w:type="gramStart"/>
            <w:r w:rsidRPr="001F01A7">
              <w:rPr>
                <w:sz w:val="20"/>
                <w:szCs w:val="20"/>
                <w:lang w:val="es-ES_tradnl"/>
              </w:rPr>
              <w:t>a</w:t>
            </w:r>
            <w:proofErr w:type="gramEnd"/>
            <w:r w:rsidRPr="001F01A7">
              <w:rPr>
                <w:sz w:val="20"/>
                <w:szCs w:val="20"/>
                <w:lang w:val="es-ES_tradnl"/>
              </w:rPr>
              <w:t xml:space="preserve"> dicho Protocolo referente al Acuerdo sobre Facilitación del Comercio.</w:t>
            </w:r>
          </w:p>
        </w:tc>
        <w:tc>
          <w:tcPr>
            <w:tcW w:w="1855" w:type="dxa"/>
            <w:vMerge/>
          </w:tcPr>
          <w:p w:rsidR="00951C99" w:rsidRPr="00DE3A7D" w:rsidRDefault="00951C99" w:rsidP="00951C99">
            <w:pPr>
              <w:contextualSpacing/>
              <w:jc w:val="both"/>
              <w:rPr>
                <w:sz w:val="20"/>
                <w:szCs w:val="20"/>
                <w:lang w:val="es-ES"/>
              </w:rPr>
            </w:pPr>
          </w:p>
        </w:tc>
      </w:tr>
      <w:tr w:rsidR="00951C99" w:rsidRPr="001E63CD" w:rsidTr="00A147A9">
        <w:trPr>
          <w:trHeight w:hRule="exact" w:val="1792"/>
          <w:jc w:val="center"/>
        </w:trPr>
        <w:tc>
          <w:tcPr>
            <w:tcW w:w="3491" w:type="dxa"/>
            <w:vAlign w:val="center"/>
          </w:tcPr>
          <w:p w:rsidR="00951C99" w:rsidRPr="00DE3A7D" w:rsidRDefault="00CB609D">
            <w:pPr>
              <w:tabs>
                <w:tab w:val="left" w:pos="267"/>
              </w:tabs>
              <w:ind w:left="125" w:hanging="142"/>
              <w:jc w:val="both"/>
              <w:rPr>
                <w:sz w:val="20"/>
                <w:szCs w:val="20"/>
                <w:lang w:val="es-ES"/>
              </w:rPr>
            </w:pPr>
            <w:r w:rsidRPr="00980A2F">
              <w:rPr>
                <w:sz w:val="20"/>
                <w:szCs w:val="20"/>
                <w:lang w:val="es-ES"/>
              </w:rPr>
              <w:t>3.</w:t>
            </w:r>
            <w:r>
              <w:rPr>
                <w:sz w:val="20"/>
                <w:szCs w:val="20"/>
                <w:lang w:val="es-ES"/>
              </w:rPr>
              <w:t>9</w:t>
            </w:r>
            <w:r w:rsidRPr="00980A2F">
              <w:rPr>
                <w:sz w:val="20"/>
                <w:szCs w:val="20"/>
                <w:lang w:val="es-ES"/>
              </w:rPr>
              <w:t xml:space="preserve"> </w:t>
            </w:r>
            <w:r>
              <w:rPr>
                <w:sz w:val="20"/>
                <w:szCs w:val="20"/>
                <w:lang w:val="es-ES"/>
              </w:rPr>
              <w:t>Documento</w:t>
            </w:r>
            <w:r w:rsidR="00D735C1">
              <w:rPr>
                <w:sz w:val="20"/>
                <w:szCs w:val="20"/>
                <w:lang w:val="es-ES"/>
              </w:rPr>
              <w:t xml:space="preserve"> de</w:t>
            </w:r>
            <w:r w:rsidR="00980A2F" w:rsidRPr="00980A2F">
              <w:rPr>
                <w:sz w:val="20"/>
                <w:szCs w:val="20"/>
                <w:lang w:val="es-ES"/>
              </w:rPr>
              <w:t xml:space="preserve"> </w:t>
            </w:r>
            <w:r w:rsidR="00D735C1">
              <w:rPr>
                <w:sz w:val="20"/>
                <w:szCs w:val="20"/>
                <w:lang w:val="es-ES"/>
              </w:rPr>
              <w:t>m</w:t>
            </w:r>
            <w:r w:rsidR="00980A2F" w:rsidRPr="00980A2F">
              <w:rPr>
                <w:sz w:val="20"/>
                <w:szCs w:val="20"/>
                <w:lang w:val="es-ES"/>
              </w:rPr>
              <w:t xml:space="preserve">edidas para implementación en el corto plazo en el marco acordado por el COMIECO definidas por </w:t>
            </w:r>
            <w:r w:rsidR="00D735C1">
              <w:rPr>
                <w:sz w:val="20"/>
                <w:szCs w:val="20"/>
                <w:lang w:val="es-ES"/>
              </w:rPr>
              <w:t xml:space="preserve">ANA, con presupuesto asignado. </w:t>
            </w:r>
          </w:p>
        </w:tc>
        <w:tc>
          <w:tcPr>
            <w:tcW w:w="1261" w:type="dxa"/>
            <w:vAlign w:val="center"/>
          </w:tcPr>
          <w:p w:rsidR="00951C99" w:rsidRPr="00A147A9" w:rsidRDefault="00951C99">
            <w:pPr>
              <w:jc w:val="center"/>
              <w:rPr>
                <w:lang w:val="es-ES_tradnl"/>
              </w:rPr>
            </w:pPr>
            <w:r w:rsidRPr="000F0476">
              <w:rPr>
                <w:sz w:val="20"/>
                <w:szCs w:val="20"/>
                <w:lang w:val="es-ES"/>
              </w:rPr>
              <w:t>2016</w:t>
            </w:r>
          </w:p>
        </w:tc>
        <w:tc>
          <w:tcPr>
            <w:tcW w:w="3270" w:type="dxa"/>
            <w:vAlign w:val="center"/>
          </w:tcPr>
          <w:p w:rsidR="00951C99" w:rsidRPr="001F01A7" w:rsidRDefault="00D735C1" w:rsidP="00951C99">
            <w:pPr>
              <w:contextualSpacing/>
              <w:jc w:val="both"/>
              <w:rPr>
                <w:sz w:val="20"/>
                <w:szCs w:val="20"/>
                <w:lang w:val="es-ES"/>
              </w:rPr>
            </w:pPr>
            <w:r w:rsidRPr="001F01A7">
              <w:rPr>
                <w:sz w:val="20"/>
                <w:szCs w:val="20"/>
                <w:lang w:val="es-ES_tradnl"/>
              </w:rPr>
              <w:t>Nota Oficial de ANA que especifica el conjunto de medidas prioritarias de corto plazo en el marco de COMIECO, incluyendo asignación de presupuesto o recurso de cooperación técnica para su implementación.</w:t>
            </w:r>
          </w:p>
        </w:tc>
        <w:tc>
          <w:tcPr>
            <w:tcW w:w="1855" w:type="dxa"/>
            <w:vMerge/>
          </w:tcPr>
          <w:p w:rsidR="00951C99" w:rsidRPr="00DE3A7D" w:rsidRDefault="00951C99" w:rsidP="00951C99">
            <w:pPr>
              <w:contextualSpacing/>
              <w:jc w:val="both"/>
              <w:rPr>
                <w:sz w:val="20"/>
                <w:szCs w:val="20"/>
                <w:lang w:val="es-ES"/>
              </w:rPr>
            </w:pPr>
          </w:p>
        </w:tc>
      </w:tr>
      <w:tr w:rsidR="00951C99" w:rsidRPr="001E63CD" w:rsidTr="00A147A9">
        <w:trPr>
          <w:trHeight w:hRule="exact" w:val="3061"/>
          <w:jc w:val="center"/>
        </w:trPr>
        <w:tc>
          <w:tcPr>
            <w:tcW w:w="3491" w:type="dxa"/>
            <w:vAlign w:val="center"/>
          </w:tcPr>
          <w:p w:rsidR="00951C99" w:rsidRPr="00DE3A7D" w:rsidRDefault="00980A2F">
            <w:pPr>
              <w:tabs>
                <w:tab w:val="left" w:pos="267"/>
              </w:tabs>
              <w:ind w:left="125" w:hanging="142"/>
              <w:jc w:val="both"/>
              <w:rPr>
                <w:sz w:val="20"/>
                <w:szCs w:val="20"/>
                <w:lang w:val="es-ES"/>
              </w:rPr>
            </w:pPr>
            <w:r w:rsidRPr="00980A2F">
              <w:rPr>
                <w:sz w:val="20"/>
                <w:szCs w:val="20"/>
                <w:lang w:val="es-ES"/>
              </w:rPr>
              <w:t>3.</w:t>
            </w:r>
            <w:r w:rsidR="00D735C1">
              <w:rPr>
                <w:sz w:val="20"/>
                <w:szCs w:val="20"/>
                <w:lang w:val="es-ES"/>
              </w:rPr>
              <w:t>10</w:t>
            </w:r>
            <w:r w:rsidRPr="00980A2F">
              <w:rPr>
                <w:sz w:val="20"/>
                <w:szCs w:val="20"/>
                <w:lang w:val="es-ES"/>
              </w:rPr>
              <w:t xml:space="preserve"> Nota</w:t>
            </w:r>
            <w:r w:rsidR="00D735C1">
              <w:rPr>
                <w:sz w:val="20"/>
                <w:szCs w:val="20"/>
                <w:lang w:val="es-ES"/>
              </w:rPr>
              <w:t>s oficiales</w:t>
            </w:r>
            <w:r w:rsidRPr="00980A2F">
              <w:rPr>
                <w:sz w:val="20"/>
                <w:szCs w:val="20"/>
                <w:lang w:val="es-ES"/>
              </w:rPr>
              <w:t xml:space="preserve"> de los ajustes en las plataformas SIGA y VUCE de los procesos aduaneros </w:t>
            </w:r>
            <w:r w:rsidR="00D735C1">
              <w:rPr>
                <w:sz w:val="20"/>
                <w:szCs w:val="20"/>
                <w:lang w:val="es-ES"/>
              </w:rPr>
              <w:t xml:space="preserve">elaborados por ANA y MICI, con anexos de los acuerdos firmados para el VUCE, el plan de implementación y el documento de requerimientos. </w:t>
            </w:r>
          </w:p>
        </w:tc>
        <w:tc>
          <w:tcPr>
            <w:tcW w:w="1261" w:type="dxa"/>
            <w:vAlign w:val="center"/>
          </w:tcPr>
          <w:p w:rsidR="00951C99" w:rsidRPr="00A147A9" w:rsidRDefault="00951C99">
            <w:pPr>
              <w:jc w:val="center"/>
              <w:rPr>
                <w:lang w:val="es-ES_tradnl"/>
              </w:rPr>
            </w:pPr>
            <w:r w:rsidRPr="000F0476">
              <w:rPr>
                <w:sz w:val="20"/>
                <w:szCs w:val="20"/>
                <w:lang w:val="es-ES"/>
              </w:rPr>
              <w:t>2016</w:t>
            </w:r>
          </w:p>
        </w:tc>
        <w:tc>
          <w:tcPr>
            <w:tcW w:w="3270" w:type="dxa"/>
            <w:vAlign w:val="center"/>
          </w:tcPr>
          <w:p w:rsidR="00980A2F" w:rsidRPr="001F01A7" w:rsidRDefault="00980A2F" w:rsidP="00980A2F">
            <w:pPr>
              <w:contextualSpacing/>
              <w:jc w:val="both"/>
              <w:rPr>
                <w:sz w:val="20"/>
                <w:szCs w:val="20"/>
                <w:lang w:val="es-ES_tradnl"/>
              </w:rPr>
            </w:pPr>
            <w:r w:rsidRPr="001F01A7">
              <w:rPr>
                <w:sz w:val="20"/>
                <w:szCs w:val="20"/>
                <w:lang w:val="es-ES_tradnl"/>
              </w:rPr>
              <w:t>Decisión Administrativa de MICI presentando los avances logrados en torno a la plataforma VUCE, en el marco del proceso de integración regional centroamericana.</w:t>
            </w:r>
          </w:p>
          <w:p w:rsidR="00980A2F" w:rsidRPr="001F01A7" w:rsidRDefault="00980A2F" w:rsidP="00980A2F">
            <w:pPr>
              <w:contextualSpacing/>
              <w:jc w:val="both"/>
              <w:rPr>
                <w:sz w:val="20"/>
                <w:szCs w:val="20"/>
                <w:lang w:val="es-ES_tradnl"/>
              </w:rPr>
            </w:pPr>
          </w:p>
          <w:p w:rsidR="00951C99" w:rsidRPr="001F01A7" w:rsidRDefault="00980A2F" w:rsidP="00980A2F">
            <w:pPr>
              <w:contextualSpacing/>
              <w:jc w:val="both"/>
              <w:rPr>
                <w:sz w:val="20"/>
                <w:szCs w:val="20"/>
                <w:lang w:val="es-ES"/>
              </w:rPr>
            </w:pPr>
            <w:r w:rsidRPr="001F01A7">
              <w:rPr>
                <w:sz w:val="20"/>
                <w:szCs w:val="20"/>
                <w:lang w:val="es-ES_tradnl"/>
              </w:rPr>
              <w:t>Nota Oficial de ANA presentando los avances logrados en torno a la incorporación de acciones propias del proceso de integración regional centroamericana (CAUCA y RECAUCA), relacionados con la plataforma SIGA.</w:t>
            </w:r>
          </w:p>
        </w:tc>
        <w:tc>
          <w:tcPr>
            <w:tcW w:w="1855" w:type="dxa"/>
            <w:vMerge/>
          </w:tcPr>
          <w:p w:rsidR="00951C99" w:rsidRPr="00DE3A7D" w:rsidRDefault="00951C99" w:rsidP="00951C99">
            <w:pPr>
              <w:contextualSpacing/>
              <w:jc w:val="both"/>
              <w:rPr>
                <w:sz w:val="20"/>
                <w:szCs w:val="20"/>
                <w:lang w:val="es-ES"/>
              </w:rPr>
            </w:pPr>
          </w:p>
        </w:tc>
      </w:tr>
      <w:tr w:rsidR="00951C99" w:rsidRPr="001E63CD" w:rsidTr="001F01A7">
        <w:trPr>
          <w:trHeight w:hRule="exact" w:val="2233"/>
          <w:jc w:val="center"/>
        </w:trPr>
        <w:tc>
          <w:tcPr>
            <w:tcW w:w="3491" w:type="dxa"/>
            <w:vAlign w:val="center"/>
          </w:tcPr>
          <w:p w:rsidR="00951C99" w:rsidRPr="00DE3A7D" w:rsidRDefault="005E4065" w:rsidP="00876B8A">
            <w:pPr>
              <w:tabs>
                <w:tab w:val="left" w:pos="267"/>
              </w:tabs>
              <w:ind w:left="125" w:hanging="142"/>
              <w:jc w:val="both"/>
              <w:rPr>
                <w:sz w:val="20"/>
                <w:szCs w:val="20"/>
                <w:lang w:val="es-ES"/>
              </w:rPr>
            </w:pPr>
            <w:r>
              <w:rPr>
                <w:sz w:val="20"/>
                <w:szCs w:val="20"/>
                <w:lang w:val="es-ES"/>
              </w:rPr>
              <w:lastRenderedPageBreak/>
              <w:t>3.11</w:t>
            </w:r>
            <w:r w:rsidR="00980A2F" w:rsidRPr="00980A2F">
              <w:rPr>
                <w:sz w:val="20"/>
                <w:szCs w:val="20"/>
                <w:lang w:val="es-ES"/>
              </w:rPr>
              <w:t xml:space="preserve"> Diseño Conceptual </w:t>
            </w:r>
            <w:r w:rsidR="00876B8A">
              <w:rPr>
                <w:sz w:val="20"/>
                <w:szCs w:val="20"/>
                <w:lang w:val="es-ES"/>
              </w:rPr>
              <w:t xml:space="preserve">del Plan Maestro de Digitalización Integral del Sistema Logístico </w:t>
            </w:r>
            <w:r w:rsidR="00980A2F" w:rsidRPr="00980A2F">
              <w:rPr>
                <w:sz w:val="20"/>
                <w:szCs w:val="20"/>
                <w:lang w:val="es-ES"/>
              </w:rPr>
              <w:t>desarrollado por la Agencia de Inteligencia</w:t>
            </w:r>
          </w:p>
        </w:tc>
        <w:tc>
          <w:tcPr>
            <w:tcW w:w="1261" w:type="dxa"/>
            <w:vAlign w:val="center"/>
          </w:tcPr>
          <w:p w:rsidR="00951C99" w:rsidRPr="005E4065" w:rsidRDefault="00951C99">
            <w:pPr>
              <w:jc w:val="center"/>
              <w:rPr>
                <w:lang w:val="es-ES_tradnl"/>
              </w:rPr>
            </w:pPr>
            <w:r w:rsidRPr="000F0476">
              <w:rPr>
                <w:sz w:val="20"/>
                <w:szCs w:val="20"/>
                <w:lang w:val="es-ES"/>
              </w:rPr>
              <w:t>2016</w:t>
            </w:r>
          </w:p>
        </w:tc>
        <w:tc>
          <w:tcPr>
            <w:tcW w:w="3270" w:type="dxa"/>
            <w:vAlign w:val="center"/>
          </w:tcPr>
          <w:p w:rsidR="001F01A7" w:rsidRPr="001F01A7" w:rsidRDefault="001F01A7" w:rsidP="001F01A7">
            <w:pPr>
              <w:suppressAutoHyphens/>
              <w:spacing w:before="60" w:after="60"/>
              <w:ind w:left="-18" w:firstLine="8"/>
              <w:jc w:val="both"/>
              <w:rPr>
                <w:spacing w:val="-2"/>
                <w:sz w:val="20"/>
                <w:szCs w:val="20"/>
                <w:lang w:val="es-ES_tradnl"/>
              </w:rPr>
            </w:pPr>
            <w:r w:rsidRPr="001F01A7">
              <w:rPr>
                <w:sz w:val="20"/>
                <w:szCs w:val="20"/>
                <w:lang w:val="es-ES_tradnl"/>
              </w:rPr>
              <w:t xml:space="preserve">Nota Oficial de la AIG remitiendo al Gabinete Logístico el Plan Maestro de Digitalización Integral del Sistema Logístico Nacional, </w:t>
            </w:r>
            <w:r w:rsidRPr="001F01A7">
              <w:rPr>
                <w:spacing w:val="-2"/>
                <w:sz w:val="20"/>
                <w:szCs w:val="20"/>
                <w:lang w:val="es-ES_tradnl"/>
              </w:rPr>
              <w:t>incluyendo:</w:t>
            </w:r>
          </w:p>
          <w:p w:rsidR="001F01A7" w:rsidRPr="001F01A7" w:rsidRDefault="001F01A7" w:rsidP="001F01A7">
            <w:pPr>
              <w:suppressAutoHyphens/>
              <w:spacing w:before="60" w:after="60"/>
              <w:ind w:left="186" w:hanging="186"/>
              <w:jc w:val="both"/>
              <w:rPr>
                <w:spacing w:val="-2"/>
                <w:sz w:val="20"/>
                <w:szCs w:val="20"/>
                <w:lang w:val="es-ES_tradnl"/>
              </w:rPr>
            </w:pPr>
            <w:r w:rsidRPr="001F01A7">
              <w:rPr>
                <w:spacing w:val="-2"/>
                <w:sz w:val="20"/>
                <w:szCs w:val="20"/>
                <w:lang w:val="es-ES_tradnl"/>
              </w:rPr>
              <w:t>i)  Regulación de transferencia y seguridad de datos;</w:t>
            </w:r>
          </w:p>
          <w:p w:rsidR="00951C99" w:rsidRPr="001F01A7" w:rsidRDefault="001F01A7" w:rsidP="001F01A7">
            <w:pPr>
              <w:contextualSpacing/>
              <w:jc w:val="both"/>
              <w:rPr>
                <w:sz w:val="20"/>
                <w:szCs w:val="20"/>
                <w:lang w:val="es-ES"/>
              </w:rPr>
            </w:pPr>
            <w:r w:rsidRPr="001F01A7">
              <w:rPr>
                <w:spacing w:val="-2"/>
                <w:sz w:val="20"/>
                <w:szCs w:val="20"/>
                <w:lang w:val="es-ES_tradnl"/>
              </w:rPr>
              <w:t>ii) Estandarización de base de datos de entidades del Estado.</w:t>
            </w:r>
          </w:p>
        </w:tc>
        <w:tc>
          <w:tcPr>
            <w:tcW w:w="1855" w:type="dxa"/>
            <w:vMerge/>
          </w:tcPr>
          <w:p w:rsidR="00951C99" w:rsidRPr="00DE3A7D" w:rsidRDefault="00951C99" w:rsidP="00951C99">
            <w:pPr>
              <w:contextualSpacing/>
              <w:jc w:val="both"/>
              <w:rPr>
                <w:sz w:val="20"/>
                <w:szCs w:val="20"/>
                <w:lang w:val="es-ES"/>
              </w:rPr>
            </w:pPr>
          </w:p>
        </w:tc>
      </w:tr>
      <w:tr w:rsidR="00951C99" w:rsidRPr="001E63CD" w:rsidTr="00A147A9">
        <w:trPr>
          <w:trHeight w:hRule="exact" w:val="2305"/>
          <w:jc w:val="center"/>
        </w:trPr>
        <w:tc>
          <w:tcPr>
            <w:tcW w:w="3491" w:type="dxa"/>
            <w:vAlign w:val="center"/>
          </w:tcPr>
          <w:p w:rsidR="00951C99" w:rsidRPr="00DE3A7D" w:rsidRDefault="005E4065" w:rsidP="008A02B3">
            <w:pPr>
              <w:tabs>
                <w:tab w:val="left" w:pos="267"/>
              </w:tabs>
              <w:ind w:left="125" w:hanging="142"/>
              <w:jc w:val="both"/>
              <w:rPr>
                <w:sz w:val="20"/>
                <w:szCs w:val="20"/>
                <w:lang w:val="es-ES"/>
              </w:rPr>
            </w:pPr>
            <w:r>
              <w:rPr>
                <w:sz w:val="20"/>
                <w:szCs w:val="20"/>
                <w:lang w:val="es-ES"/>
              </w:rPr>
              <w:t>3.12</w:t>
            </w:r>
            <w:r w:rsidR="00980A2F" w:rsidRPr="00980A2F">
              <w:rPr>
                <w:sz w:val="20"/>
                <w:szCs w:val="20"/>
                <w:lang w:val="es-ES"/>
              </w:rPr>
              <w:t xml:space="preserve"> Esquema de intercambio de información estadística entre la AMP y la ANA desarrollado por estas instituciones</w:t>
            </w:r>
          </w:p>
        </w:tc>
        <w:tc>
          <w:tcPr>
            <w:tcW w:w="1261" w:type="dxa"/>
            <w:vAlign w:val="center"/>
          </w:tcPr>
          <w:p w:rsidR="00951C99" w:rsidRDefault="00951C99">
            <w:pPr>
              <w:jc w:val="center"/>
            </w:pPr>
            <w:r w:rsidRPr="000F0476">
              <w:rPr>
                <w:sz w:val="20"/>
                <w:szCs w:val="20"/>
                <w:lang w:val="es-ES"/>
              </w:rPr>
              <w:t>2016</w:t>
            </w:r>
          </w:p>
        </w:tc>
        <w:tc>
          <w:tcPr>
            <w:tcW w:w="3270" w:type="dxa"/>
            <w:vAlign w:val="center"/>
          </w:tcPr>
          <w:p w:rsidR="00951C99" w:rsidRPr="001F01A7" w:rsidRDefault="001F01A7" w:rsidP="00D735C1">
            <w:pPr>
              <w:contextualSpacing/>
              <w:jc w:val="both"/>
              <w:rPr>
                <w:sz w:val="20"/>
                <w:szCs w:val="20"/>
                <w:lang w:val="es-ES"/>
              </w:rPr>
            </w:pPr>
            <w:r w:rsidRPr="001F01A7">
              <w:rPr>
                <w:sz w:val="20"/>
                <w:szCs w:val="20"/>
                <w:lang w:val="es-ES_tradnl"/>
              </w:rPr>
              <w:t xml:space="preserve">Nota Oficial de ANA destacando los avances realizados en torno al esquema </w:t>
            </w:r>
            <w:r w:rsidRPr="001F01A7">
              <w:rPr>
                <w:spacing w:val="-2"/>
                <w:sz w:val="20"/>
                <w:szCs w:val="20"/>
                <w:lang w:val="es-ES_tradnl"/>
              </w:rPr>
              <w:t>de intercambio de información estadística para obtener información de parte de empresas individuales.</w:t>
            </w:r>
          </w:p>
        </w:tc>
        <w:tc>
          <w:tcPr>
            <w:tcW w:w="1855" w:type="dxa"/>
            <w:vMerge/>
          </w:tcPr>
          <w:p w:rsidR="00951C99" w:rsidRPr="00DE3A7D" w:rsidRDefault="00951C99" w:rsidP="00951C99">
            <w:pPr>
              <w:contextualSpacing/>
              <w:jc w:val="both"/>
              <w:rPr>
                <w:sz w:val="20"/>
                <w:szCs w:val="20"/>
                <w:lang w:val="es-ES"/>
              </w:rPr>
            </w:pPr>
          </w:p>
        </w:tc>
      </w:tr>
      <w:tr w:rsidR="00951C99" w:rsidRPr="001E63CD" w:rsidTr="00A147A9">
        <w:trPr>
          <w:trHeight w:hRule="exact" w:val="901"/>
          <w:jc w:val="center"/>
        </w:trPr>
        <w:tc>
          <w:tcPr>
            <w:tcW w:w="3491" w:type="dxa"/>
            <w:vAlign w:val="center"/>
          </w:tcPr>
          <w:p w:rsidR="00951C99" w:rsidRPr="00DE3A7D" w:rsidRDefault="005E4065" w:rsidP="00876B8A">
            <w:pPr>
              <w:tabs>
                <w:tab w:val="left" w:pos="267"/>
              </w:tabs>
              <w:ind w:left="125" w:hanging="142"/>
              <w:jc w:val="both"/>
              <w:rPr>
                <w:sz w:val="20"/>
                <w:szCs w:val="20"/>
                <w:lang w:val="es-ES"/>
              </w:rPr>
            </w:pPr>
            <w:r>
              <w:rPr>
                <w:sz w:val="20"/>
                <w:szCs w:val="20"/>
                <w:lang w:val="es-ES"/>
              </w:rPr>
              <w:t>3.13</w:t>
            </w:r>
            <w:r w:rsidR="00980A2F" w:rsidRPr="00980A2F">
              <w:rPr>
                <w:sz w:val="20"/>
                <w:szCs w:val="20"/>
                <w:lang w:val="es-ES"/>
              </w:rPr>
              <w:t xml:space="preserve"> Plan de capacitación en logística preparado por la Coordinación Logística (CL)</w:t>
            </w:r>
          </w:p>
        </w:tc>
        <w:tc>
          <w:tcPr>
            <w:tcW w:w="1261" w:type="dxa"/>
            <w:vAlign w:val="center"/>
          </w:tcPr>
          <w:p w:rsidR="00951C99" w:rsidRDefault="00951C99">
            <w:pPr>
              <w:jc w:val="center"/>
            </w:pPr>
            <w:r w:rsidRPr="000F0476">
              <w:rPr>
                <w:sz w:val="20"/>
                <w:szCs w:val="20"/>
                <w:lang w:val="es-ES"/>
              </w:rPr>
              <w:t>2016</w:t>
            </w:r>
          </w:p>
        </w:tc>
        <w:tc>
          <w:tcPr>
            <w:tcW w:w="3270" w:type="dxa"/>
            <w:vAlign w:val="center"/>
          </w:tcPr>
          <w:p w:rsidR="00951C99" w:rsidRPr="001F01A7" w:rsidRDefault="001F01A7" w:rsidP="00A147A9">
            <w:pPr>
              <w:suppressAutoHyphens/>
              <w:spacing w:before="60" w:after="60"/>
              <w:ind w:left="-18" w:firstLine="8"/>
              <w:jc w:val="both"/>
              <w:rPr>
                <w:sz w:val="20"/>
                <w:szCs w:val="20"/>
                <w:lang w:val="es-ES"/>
              </w:rPr>
            </w:pPr>
            <w:r w:rsidRPr="001F01A7">
              <w:rPr>
                <w:sz w:val="20"/>
                <w:szCs w:val="20"/>
                <w:lang w:val="es-ES_tradnl"/>
              </w:rPr>
              <w:t>Nota Oficial del Ministerio de la Presidencia aprobando el Plan Piloto de Capacitación en Logística.</w:t>
            </w:r>
          </w:p>
        </w:tc>
        <w:tc>
          <w:tcPr>
            <w:tcW w:w="1855" w:type="dxa"/>
            <w:vMerge/>
          </w:tcPr>
          <w:p w:rsidR="00951C99" w:rsidRPr="00DE3A7D" w:rsidRDefault="00951C99" w:rsidP="00951C99">
            <w:pPr>
              <w:contextualSpacing/>
              <w:jc w:val="both"/>
              <w:rPr>
                <w:sz w:val="20"/>
                <w:szCs w:val="20"/>
                <w:lang w:val="es-ES"/>
              </w:rPr>
            </w:pPr>
          </w:p>
        </w:tc>
      </w:tr>
    </w:tbl>
    <w:p w:rsidR="00480F0A" w:rsidRPr="002D1B02" w:rsidRDefault="00480F0A" w:rsidP="001468FE">
      <w:pPr>
        <w:pStyle w:val="Title"/>
        <w:tabs>
          <w:tab w:val="clear" w:pos="1440"/>
          <w:tab w:val="clear" w:pos="3060"/>
        </w:tabs>
        <w:spacing w:before="120" w:after="120"/>
        <w:ind w:left="720"/>
        <w:jc w:val="both"/>
        <w:outlineLvl w:val="9"/>
      </w:pPr>
    </w:p>
    <w:p w:rsidR="0047412F" w:rsidRDefault="002E2C7A" w:rsidP="00965C57">
      <w:pPr>
        <w:pStyle w:val="FirstHeading"/>
        <w:keepNext w:val="0"/>
        <w:widowControl w:val="0"/>
        <w:numPr>
          <w:ilvl w:val="0"/>
          <w:numId w:val="10"/>
        </w:numPr>
        <w:rPr>
          <w:szCs w:val="24"/>
        </w:rPr>
      </w:pPr>
      <w:r w:rsidRPr="002D1B02">
        <w:rPr>
          <w:szCs w:val="24"/>
        </w:rPr>
        <w:t>E</w:t>
      </w:r>
      <w:r w:rsidR="008874E7">
        <w:rPr>
          <w:szCs w:val="24"/>
        </w:rPr>
        <w:t>valuación</w:t>
      </w:r>
    </w:p>
    <w:p w:rsidR="00C66195" w:rsidRDefault="00C66195" w:rsidP="00C66195">
      <w:pPr>
        <w:pStyle w:val="ListParagraph"/>
        <w:numPr>
          <w:ilvl w:val="1"/>
          <w:numId w:val="10"/>
        </w:numPr>
        <w:spacing w:before="120" w:after="120"/>
        <w:ind w:left="450" w:hanging="450"/>
        <w:contextualSpacing w:val="0"/>
        <w:jc w:val="both"/>
        <w:rPr>
          <w:bCs/>
          <w:lang w:val="es-ES"/>
        </w:rPr>
      </w:pPr>
      <w:r w:rsidRPr="00B96E22">
        <w:rPr>
          <w:bCs/>
          <w:lang w:val="es-ES"/>
        </w:rPr>
        <w:t xml:space="preserve">El objetivo de la evaluación </w:t>
      </w:r>
      <w:r>
        <w:rPr>
          <w:bCs/>
          <w:lang w:val="es-ES"/>
        </w:rPr>
        <w:t xml:space="preserve">es verificar que: </w:t>
      </w:r>
    </w:p>
    <w:p w:rsidR="00C66195" w:rsidRDefault="00C66195" w:rsidP="00C66195">
      <w:pPr>
        <w:pStyle w:val="ListParagraph"/>
        <w:numPr>
          <w:ilvl w:val="0"/>
          <w:numId w:val="11"/>
        </w:numPr>
        <w:spacing w:before="120" w:after="120"/>
        <w:contextualSpacing w:val="0"/>
        <w:jc w:val="both"/>
        <w:rPr>
          <w:bCs/>
          <w:lang w:val="es-ES"/>
        </w:rPr>
      </w:pPr>
      <w:r>
        <w:rPr>
          <w:bCs/>
          <w:lang w:val="es-ES"/>
        </w:rPr>
        <w:t>los impactos y resultados del proyecto fueron alcanzado, a través de una evaluación reflexiva con base en la matriz de resultados;</w:t>
      </w:r>
    </w:p>
    <w:p w:rsidR="00C66195" w:rsidRDefault="00C66195" w:rsidP="00C66195">
      <w:pPr>
        <w:pStyle w:val="ListParagraph"/>
        <w:numPr>
          <w:ilvl w:val="0"/>
          <w:numId w:val="11"/>
        </w:numPr>
        <w:spacing w:before="120" w:after="120"/>
        <w:contextualSpacing w:val="0"/>
        <w:jc w:val="both"/>
        <w:rPr>
          <w:bCs/>
          <w:lang w:val="es-ES"/>
        </w:rPr>
      </w:pPr>
      <w:r>
        <w:rPr>
          <w:bCs/>
          <w:lang w:val="es-ES"/>
        </w:rPr>
        <w:t xml:space="preserve">las acciones del proyectos tuvieron un impacto económico en el PIB nacional, a través de una evaluación económica de impacto utilizando el concepto de insumo-producto; </w:t>
      </w:r>
    </w:p>
    <w:p w:rsidR="00C66195" w:rsidRPr="00B96E22" w:rsidRDefault="00C66195" w:rsidP="00C66195">
      <w:pPr>
        <w:pStyle w:val="ListParagraph"/>
        <w:numPr>
          <w:ilvl w:val="0"/>
          <w:numId w:val="11"/>
        </w:numPr>
        <w:spacing w:before="120" w:after="120"/>
        <w:contextualSpacing w:val="0"/>
        <w:jc w:val="both"/>
        <w:rPr>
          <w:bCs/>
          <w:lang w:val="es-ES"/>
        </w:rPr>
      </w:pPr>
      <w:r>
        <w:rPr>
          <w:bCs/>
          <w:lang w:val="es-ES"/>
        </w:rPr>
        <w:t xml:space="preserve">el proyecto generó un impacto en el indicador aumento de las exportaciones de bienes y servicios, a través de una evaluación de impacto utilizando el método de control sintético. La evaluación reflexiva será realizada por el Ministerio de Economía y Finanzas con el apoyo del BID, y para las otras dos evaluaciones serán contratadas consultorías específicas.  </w:t>
      </w:r>
    </w:p>
    <w:p w:rsidR="00FB22C0" w:rsidRPr="002D1B02" w:rsidRDefault="00AB5FEC" w:rsidP="008A02B3">
      <w:pPr>
        <w:pStyle w:val="Paragraph"/>
        <w:widowControl w:val="0"/>
        <w:numPr>
          <w:ilvl w:val="0"/>
          <w:numId w:val="8"/>
        </w:numPr>
        <w:rPr>
          <w:b/>
          <w:spacing w:val="-3"/>
          <w:szCs w:val="24"/>
          <w:lang w:val="es-ES"/>
        </w:rPr>
      </w:pPr>
      <w:r>
        <w:rPr>
          <w:b/>
          <w:spacing w:val="-3"/>
          <w:szCs w:val="24"/>
          <w:lang w:val="es-ES"/>
        </w:rPr>
        <w:t>Principales preguntas de evaluación.</w:t>
      </w:r>
    </w:p>
    <w:p w:rsidR="0011167D" w:rsidRPr="002D1B02" w:rsidRDefault="00461414" w:rsidP="00965C57">
      <w:pPr>
        <w:pStyle w:val="Paragraph"/>
        <w:numPr>
          <w:ilvl w:val="1"/>
          <w:numId w:val="10"/>
        </w:numPr>
        <w:spacing w:before="100" w:after="100"/>
        <w:ind w:left="450" w:hanging="450"/>
        <w:rPr>
          <w:lang w:val="es-ES"/>
        </w:rPr>
      </w:pPr>
      <w:r w:rsidRPr="002D1B02">
        <w:rPr>
          <w:lang w:val="es-ES"/>
        </w:rPr>
        <w:t xml:space="preserve">Las siguientes </w:t>
      </w:r>
      <w:r w:rsidR="00C81905">
        <w:rPr>
          <w:lang w:val="es-ES"/>
        </w:rPr>
        <w:t xml:space="preserve">principales preguntas </w:t>
      </w:r>
      <w:r w:rsidRPr="002D1B02">
        <w:rPr>
          <w:lang w:val="es-ES"/>
        </w:rPr>
        <w:t>serán empleadas para guiar el proceso de evaluación de las actividades apoyadas por el programa</w:t>
      </w:r>
      <w:r w:rsidR="002A056E" w:rsidRPr="002D1B02">
        <w:rPr>
          <w:lang w:val="es-ES"/>
        </w:rPr>
        <w:t>:</w:t>
      </w:r>
    </w:p>
    <w:p w:rsidR="00A94144" w:rsidRPr="001E63CD" w:rsidRDefault="00A94144" w:rsidP="003026EE">
      <w:pPr>
        <w:pStyle w:val="ListParagraph"/>
        <w:numPr>
          <w:ilvl w:val="0"/>
          <w:numId w:val="43"/>
        </w:numPr>
        <w:spacing w:before="120" w:after="120"/>
        <w:contextualSpacing w:val="0"/>
        <w:jc w:val="both"/>
        <w:rPr>
          <w:lang w:val="es-ES_tradnl"/>
        </w:rPr>
      </w:pPr>
      <w:r w:rsidRPr="001E63CD">
        <w:rPr>
          <w:lang w:val="es-ES_tradnl"/>
        </w:rPr>
        <w:t>¿Se ha mejorado el desempeño logístico de Panamá?</w:t>
      </w:r>
    </w:p>
    <w:p w:rsidR="00CD62B5" w:rsidRPr="001E63CD" w:rsidRDefault="00CD62B5" w:rsidP="003026EE">
      <w:pPr>
        <w:pStyle w:val="ListParagraph"/>
        <w:numPr>
          <w:ilvl w:val="0"/>
          <w:numId w:val="43"/>
        </w:numPr>
        <w:spacing w:before="120" w:after="120"/>
        <w:contextualSpacing w:val="0"/>
        <w:jc w:val="both"/>
        <w:rPr>
          <w:lang w:val="es-ES_tradnl"/>
        </w:rPr>
      </w:pPr>
      <w:r w:rsidRPr="001E63CD">
        <w:rPr>
          <w:lang w:val="es-ES_tradnl"/>
        </w:rPr>
        <w:t>¿Se ha logrado incrementar el valor agregado del sector logístico en el país?</w:t>
      </w:r>
    </w:p>
    <w:p w:rsidR="00674C06" w:rsidRPr="001E63CD" w:rsidRDefault="002E2C7A" w:rsidP="003026EE">
      <w:pPr>
        <w:pStyle w:val="ListParagraph"/>
        <w:numPr>
          <w:ilvl w:val="0"/>
          <w:numId w:val="43"/>
        </w:numPr>
        <w:spacing w:before="120" w:after="120"/>
        <w:contextualSpacing w:val="0"/>
        <w:jc w:val="both"/>
        <w:rPr>
          <w:lang w:val="es-ES_tradnl"/>
        </w:rPr>
      </w:pPr>
      <w:r w:rsidRPr="001E63CD">
        <w:rPr>
          <w:lang w:val="es-ES_tradnl"/>
        </w:rPr>
        <w:lastRenderedPageBreak/>
        <w:t>¿</w:t>
      </w:r>
      <w:r w:rsidR="00674C06" w:rsidRPr="001E63CD">
        <w:rPr>
          <w:lang w:val="es-ES_tradnl"/>
        </w:rPr>
        <w:t xml:space="preserve">Se ha establecido un proceso de planificación integral con visión regional que </w:t>
      </w:r>
      <w:r w:rsidR="006B0ED2" w:rsidRPr="001E63CD">
        <w:rPr>
          <w:lang w:val="es-ES_tradnl"/>
        </w:rPr>
        <w:t xml:space="preserve">promueva </w:t>
      </w:r>
      <w:r w:rsidR="00674C06" w:rsidRPr="001E63CD">
        <w:rPr>
          <w:lang w:val="es-ES_tradnl"/>
        </w:rPr>
        <w:t>la</w:t>
      </w:r>
      <w:r w:rsidR="006B0ED2" w:rsidRPr="001E63CD">
        <w:rPr>
          <w:lang w:val="es-ES_tradnl"/>
        </w:rPr>
        <w:t>s inversiones públicas y privadas en</w:t>
      </w:r>
      <w:r w:rsidR="00674C06" w:rsidRPr="001E63CD">
        <w:rPr>
          <w:lang w:val="es-ES_tradnl"/>
        </w:rPr>
        <w:t xml:space="preserve"> infraestructura</w:t>
      </w:r>
      <w:r w:rsidR="006B0ED2" w:rsidRPr="001E63CD">
        <w:rPr>
          <w:lang w:val="es-ES_tradnl"/>
        </w:rPr>
        <w:t xml:space="preserve"> logística</w:t>
      </w:r>
      <w:r w:rsidR="00674C06" w:rsidRPr="001E63CD">
        <w:rPr>
          <w:lang w:val="es-ES_tradnl"/>
        </w:rPr>
        <w:t>, los servicios asociados</w:t>
      </w:r>
      <w:r w:rsidRPr="001E63CD">
        <w:rPr>
          <w:lang w:val="es-ES_tradnl"/>
        </w:rPr>
        <w:t>?</w:t>
      </w:r>
    </w:p>
    <w:p w:rsidR="0014161E" w:rsidRPr="001E63CD" w:rsidRDefault="000C3BE1" w:rsidP="003026EE">
      <w:pPr>
        <w:pStyle w:val="ListParagraph"/>
        <w:numPr>
          <w:ilvl w:val="0"/>
          <w:numId w:val="43"/>
        </w:numPr>
        <w:spacing w:before="120" w:after="120"/>
        <w:contextualSpacing w:val="0"/>
        <w:jc w:val="both"/>
        <w:rPr>
          <w:lang w:val="es-ES_tradnl"/>
        </w:rPr>
      </w:pPr>
      <w:r w:rsidRPr="001E63CD">
        <w:rPr>
          <w:lang w:val="es-ES_tradnl"/>
        </w:rPr>
        <w:t>¿</w:t>
      </w:r>
      <w:r w:rsidR="00674C06" w:rsidRPr="001E63CD">
        <w:rPr>
          <w:lang w:val="es-ES_tradnl"/>
        </w:rPr>
        <w:t>Se ha facilitado el comercio exterior del país y la inclusión de los productores nacionales en las cadenas logísticas internacionales</w:t>
      </w:r>
      <w:r w:rsidR="002E2C7A" w:rsidRPr="001E63CD">
        <w:rPr>
          <w:lang w:val="es-ES_tradnl"/>
        </w:rPr>
        <w:t>?</w:t>
      </w:r>
    </w:p>
    <w:p w:rsidR="002E2C7A" w:rsidRPr="001E63CD" w:rsidRDefault="00953CE5" w:rsidP="003026EE">
      <w:pPr>
        <w:pStyle w:val="ListParagraph"/>
        <w:numPr>
          <w:ilvl w:val="0"/>
          <w:numId w:val="43"/>
        </w:numPr>
        <w:spacing w:before="120" w:after="120"/>
        <w:contextualSpacing w:val="0"/>
        <w:jc w:val="both"/>
        <w:rPr>
          <w:lang w:val="es-ES_tradnl"/>
        </w:rPr>
      </w:pPr>
      <w:r w:rsidRPr="001E63CD">
        <w:rPr>
          <w:lang w:val="es-ES_tradnl"/>
        </w:rPr>
        <w:t>¿</w:t>
      </w:r>
      <w:r w:rsidR="002E2C7A" w:rsidRPr="001E63CD">
        <w:rPr>
          <w:lang w:val="es-ES_tradnl"/>
        </w:rPr>
        <w:t>Se ha logrado fortalecer la capacitación de personal cualificado en materia de logística en el país</w:t>
      </w:r>
      <w:r w:rsidRPr="001E63CD">
        <w:rPr>
          <w:lang w:val="es-ES_tradnl"/>
        </w:rPr>
        <w:t>?</w:t>
      </w:r>
    </w:p>
    <w:p w:rsidR="00586BDE" w:rsidRPr="00586BDE" w:rsidRDefault="008874E7" w:rsidP="00DA6654">
      <w:pPr>
        <w:pStyle w:val="Paragraph"/>
        <w:widowControl w:val="0"/>
        <w:numPr>
          <w:ilvl w:val="0"/>
          <w:numId w:val="8"/>
        </w:numPr>
        <w:rPr>
          <w:lang w:val="es-BO"/>
        </w:rPr>
      </w:pPr>
      <w:r w:rsidRPr="00586BDE">
        <w:rPr>
          <w:b/>
          <w:szCs w:val="24"/>
          <w:lang w:val="es-BO"/>
        </w:rPr>
        <w:t>Conocimiento existente.</w:t>
      </w:r>
      <w:r w:rsidRPr="00586BDE">
        <w:rPr>
          <w:szCs w:val="24"/>
          <w:lang w:val="es-BO"/>
        </w:rPr>
        <w:t xml:space="preserve"> </w:t>
      </w:r>
      <w:r w:rsidR="00586BDE" w:rsidRPr="00586BDE">
        <w:rPr>
          <w:szCs w:val="24"/>
          <w:lang w:val="es-BO"/>
        </w:rPr>
        <w:t xml:space="preserve">El sector logístico representa el 33% del PIB de Panamá, impacto que se refleja hacia el comercio mundial debido a que se enfoca en el tránsito y movimiento de carga, sin embargo estas actividades no tienen </w:t>
      </w:r>
      <w:r w:rsidR="00586BDE" w:rsidRPr="00DA6654">
        <w:rPr>
          <w:szCs w:val="24"/>
          <w:lang w:val="es-BO"/>
        </w:rPr>
        <w:t xml:space="preserve">mayor incidencia para el resto del país perdiendo así la oportunidad de generar muchas más inversiones y empleos, señala el “Estudio del Impacto del sector logístico en la economía panameña” presentado por Rubén </w:t>
      </w:r>
      <w:proofErr w:type="spellStart"/>
      <w:r w:rsidR="00586BDE" w:rsidRPr="00DA6654">
        <w:rPr>
          <w:szCs w:val="24"/>
          <w:lang w:val="es-BO"/>
        </w:rPr>
        <w:t>Lachman</w:t>
      </w:r>
      <w:proofErr w:type="spellEnd"/>
      <w:r w:rsidR="00586BDE" w:rsidRPr="00DA6654">
        <w:rPr>
          <w:szCs w:val="24"/>
          <w:lang w:val="es-BO"/>
        </w:rPr>
        <w:t xml:space="preserve"> de la consultora </w:t>
      </w:r>
      <w:proofErr w:type="spellStart"/>
      <w:r w:rsidR="00586BDE" w:rsidRPr="00DA6654">
        <w:rPr>
          <w:szCs w:val="24"/>
          <w:lang w:val="es-BO"/>
        </w:rPr>
        <w:t>Intracorp</w:t>
      </w:r>
      <w:proofErr w:type="spellEnd"/>
      <w:r w:rsidR="00586BDE" w:rsidRPr="00DA6654">
        <w:rPr>
          <w:rStyle w:val="FootnoteReference"/>
          <w:szCs w:val="24"/>
          <w:lang w:val="es-BO"/>
        </w:rPr>
        <w:footnoteReference w:id="1"/>
      </w:r>
      <w:r w:rsidR="00586BDE" w:rsidRPr="00DA6654">
        <w:rPr>
          <w:szCs w:val="24"/>
          <w:lang w:val="es-BO"/>
        </w:rPr>
        <w:t xml:space="preserve">. </w:t>
      </w:r>
      <w:r w:rsidR="00586BDE" w:rsidRPr="00DA6654">
        <w:rPr>
          <w:color w:val="333333"/>
          <w:szCs w:val="24"/>
          <w:lang w:val="es-ES"/>
        </w:rPr>
        <w:t xml:space="preserve">La ampliación del Canal se produce porque existe un incremento en el movimiento mundial de carga, situación que Panamá debe aprovechar para ofrecer servicios eficientes y de valor agregado de los diferentes sectores que conforman su economía como </w:t>
      </w:r>
      <w:proofErr w:type="gramStart"/>
      <w:r w:rsidR="00586BDE" w:rsidRPr="00DA6654">
        <w:rPr>
          <w:color w:val="333333"/>
          <w:szCs w:val="24"/>
          <w:lang w:val="es-ES"/>
        </w:rPr>
        <w:t>agro</w:t>
      </w:r>
      <w:proofErr w:type="gramEnd"/>
      <w:r w:rsidR="00586BDE" w:rsidRPr="00DA6654">
        <w:rPr>
          <w:color w:val="333333"/>
          <w:szCs w:val="24"/>
          <w:lang w:val="es-ES"/>
        </w:rPr>
        <w:t>, industria, tecnología, banca, seguros, entre otros, para que se produzcan encadenamientos sustentables a manera de conglomerados “</w:t>
      </w:r>
      <w:proofErr w:type="spellStart"/>
      <w:r w:rsidR="00586BDE" w:rsidRPr="00DA6654">
        <w:rPr>
          <w:color w:val="333333"/>
          <w:szCs w:val="24"/>
          <w:lang w:val="es-ES"/>
        </w:rPr>
        <w:t>clusters</w:t>
      </w:r>
      <w:proofErr w:type="spellEnd"/>
      <w:r w:rsidR="00586BDE" w:rsidRPr="00DA6654">
        <w:rPr>
          <w:color w:val="333333"/>
          <w:szCs w:val="24"/>
          <w:lang w:val="es-ES"/>
        </w:rPr>
        <w:t>”.</w:t>
      </w:r>
      <w:r w:rsidR="00DA6654" w:rsidRPr="00DA6654">
        <w:rPr>
          <w:color w:val="333333"/>
          <w:szCs w:val="24"/>
          <w:lang w:val="es-ES"/>
        </w:rPr>
        <w:t xml:space="preserve"> Panamá debe pasar del diagnóstico y de los estudios de factibilidad a la operación establecimiento una ruta clara sobre qué modelo de desarrollo vamos a aplicar para que el sector logístico impacte al resto del país ofreciendo servicios eficientes y crear industrias de valor agregado capaces de competir con los países de la región. No </w:t>
      </w:r>
      <w:r w:rsidR="00DA6654">
        <w:rPr>
          <w:color w:val="333333"/>
          <w:szCs w:val="24"/>
          <w:lang w:val="es-ES"/>
        </w:rPr>
        <w:t xml:space="preserve">se </w:t>
      </w:r>
      <w:r w:rsidR="00DA6654" w:rsidRPr="00DA6654">
        <w:rPr>
          <w:color w:val="333333"/>
          <w:szCs w:val="24"/>
          <w:lang w:val="es-ES"/>
        </w:rPr>
        <w:t xml:space="preserve">debe desperdiciarse el trabajo de casi dos años realizado por el comité logístico que fue un esfuerzo conjunto entre el gobierno y la empresa privada con el apoyo del </w:t>
      </w:r>
      <w:hyperlink r:id="rId9" w:tgtFrame="_blank" w:tooltip="Banco Interamericano de Desarrollo" w:history="1">
        <w:r w:rsidR="00DA6654" w:rsidRPr="00DA6654">
          <w:rPr>
            <w:rStyle w:val="Hyperlink"/>
            <w:color w:val="000000" w:themeColor="text1"/>
            <w:szCs w:val="24"/>
            <w:u w:val="none"/>
            <w:lang w:val="es-ES"/>
          </w:rPr>
          <w:t xml:space="preserve">Banco Interamericano de Desarrollo </w:t>
        </w:r>
      </w:hyperlink>
      <w:r w:rsidR="00DA6654" w:rsidRPr="00DA6654">
        <w:rPr>
          <w:color w:val="000000" w:themeColor="text1"/>
          <w:szCs w:val="24"/>
          <w:lang w:val="es-ES"/>
        </w:rPr>
        <w:t xml:space="preserve">en </w:t>
      </w:r>
      <w:r w:rsidR="00DA6654" w:rsidRPr="00DA6654">
        <w:rPr>
          <w:color w:val="333333"/>
          <w:szCs w:val="24"/>
          <w:lang w:val="es-ES"/>
        </w:rPr>
        <w:t>donde se analizaron las debilidades, amenazas y oportunidades de Panamá y se estableció la necesidad de una estrategia logística, una ley marco para el sector y la creación de un ente coordinador.</w:t>
      </w:r>
      <w:r w:rsidR="00DA6654">
        <w:rPr>
          <w:color w:val="333333"/>
          <w:szCs w:val="24"/>
          <w:lang w:val="es-ES"/>
        </w:rPr>
        <w:t xml:space="preserve"> No hay una evaluación económica ex-post de la primera fase, esta se hará al final de la 3ª fase.</w:t>
      </w:r>
    </w:p>
    <w:p w:rsidR="00465EA8" w:rsidRPr="00CB609D" w:rsidRDefault="001B4FED" w:rsidP="00CB609D">
      <w:pPr>
        <w:pStyle w:val="Paragraph"/>
        <w:widowControl w:val="0"/>
        <w:numPr>
          <w:ilvl w:val="0"/>
          <w:numId w:val="8"/>
        </w:numPr>
        <w:rPr>
          <w:lang w:val="es-BO"/>
        </w:rPr>
      </w:pPr>
      <w:r w:rsidRPr="00CB609D">
        <w:rPr>
          <w:b/>
          <w:spacing w:val="-3"/>
          <w:szCs w:val="24"/>
          <w:lang w:val="es-ES"/>
        </w:rPr>
        <w:t>Indicadores</w:t>
      </w:r>
      <w:r w:rsidRPr="00CB609D">
        <w:rPr>
          <w:b/>
          <w:lang w:val="es-BO"/>
        </w:rPr>
        <w:t xml:space="preserve"> </w:t>
      </w:r>
      <w:r w:rsidR="008874E7">
        <w:rPr>
          <w:b/>
          <w:lang w:val="es-BO"/>
        </w:rPr>
        <w:t xml:space="preserve">principales </w:t>
      </w:r>
      <w:r w:rsidRPr="00CB609D">
        <w:rPr>
          <w:b/>
          <w:lang w:val="es-BO"/>
        </w:rPr>
        <w:t>para la evaluación.</w:t>
      </w:r>
      <w:r w:rsidRPr="00CB609D">
        <w:rPr>
          <w:lang w:val="es-BO"/>
        </w:rPr>
        <w:t xml:space="preserve"> </w:t>
      </w:r>
      <w:r w:rsidR="00465EA8" w:rsidRPr="00CB609D">
        <w:rPr>
          <w:lang w:val="es-BO"/>
        </w:rPr>
        <w:t xml:space="preserve">Los indicadores </w:t>
      </w:r>
      <w:r w:rsidR="00B558D6" w:rsidRPr="00CB609D">
        <w:rPr>
          <w:lang w:val="es-BO"/>
        </w:rPr>
        <w:t xml:space="preserve">principales </w:t>
      </w:r>
      <w:r w:rsidR="00465EA8" w:rsidRPr="00CB609D">
        <w:rPr>
          <w:lang w:val="es-BO"/>
        </w:rPr>
        <w:t xml:space="preserve">considerados </w:t>
      </w:r>
      <w:r w:rsidR="00B558D6">
        <w:rPr>
          <w:lang w:val="es-BO"/>
        </w:rPr>
        <w:t xml:space="preserve">para la evaluación del </w:t>
      </w:r>
      <w:r w:rsidR="00465EA8" w:rsidRPr="00CB609D">
        <w:rPr>
          <w:lang w:val="es-BO"/>
        </w:rPr>
        <w:t xml:space="preserve">programa </w:t>
      </w:r>
      <w:r w:rsidR="00B558D6">
        <w:rPr>
          <w:lang w:val="es-BO"/>
        </w:rPr>
        <w:t>son:</w:t>
      </w:r>
      <w:r w:rsidR="00465EA8" w:rsidRPr="00CB609D">
        <w:rPr>
          <w:lang w:val="es-BO"/>
        </w:rPr>
        <w:t xml:space="preserve"> </w:t>
      </w:r>
    </w:p>
    <w:tbl>
      <w:tblPr>
        <w:tblStyle w:val="TableGrid"/>
        <w:tblW w:w="9188" w:type="dxa"/>
        <w:jc w:val="center"/>
        <w:tblLook w:val="04A0" w:firstRow="1" w:lastRow="0" w:firstColumn="1" w:lastColumn="0" w:noHBand="0" w:noVBand="1"/>
      </w:tblPr>
      <w:tblGrid>
        <w:gridCol w:w="3214"/>
        <w:gridCol w:w="955"/>
        <w:gridCol w:w="956"/>
        <w:gridCol w:w="2610"/>
        <w:gridCol w:w="1453"/>
      </w:tblGrid>
      <w:tr w:rsidR="00B10D6F" w:rsidRPr="002D1B02" w:rsidTr="001933FE">
        <w:trPr>
          <w:jc w:val="center"/>
        </w:trPr>
        <w:tc>
          <w:tcPr>
            <w:tcW w:w="9188" w:type="dxa"/>
            <w:gridSpan w:val="5"/>
            <w:shd w:val="clear" w:color="auto" w:fill="D9D9D9" w:themeFill="background1" w:themeFillShade="D9"/>
          </w:tcPr>
          <w:p w:rsidR="00B10D6F" w:rsidRDefault="00452F78" w:rsidP="00B10D6F">
            <w:pPr>
              <w:pStyle w:val="Default"/>
              <w:ind w:left="90"/>
              <w:contextualSpacing/>
              <w:jc w:val="center"/>
              <w:rPr>
                <w:b/>
                <w:lang w:val="es-ES"/>
              </w:rPr>
            </w:pPr>
            <w:r>
              <w:rPr>
                <w:b/>
                <w:lang w:val="es-ES"/>
              </w:rPr>
              <w:t>Tabla 2</w:t>
            </w:r>
            <w:r w:rsidR="00B10D6F" w:rsidRPr="002D1B02">
              <w:rPr>
                <w:b/>
                <w:lang w:val="es-ES"/>
              </w:rPr>
              <w:t xml:space="preserve">. </w:t>
            </w:r>
            <w:r w:rsidR="00B10D6F">
              <w:rPr>
                <w:b/>
                <w:lang w:val="es-ES"/>
              </w:rPr>
              <w:t>Evaluación Reflexiva</w:t>
            </w:r>
          </w:p>
        </w:tc>
      </w:tr>
      <w:tr w:rsidR="001933FE" w:rsidRPr="002D1B02" w:rsidTr="009B261D">
        <w:trPr>
          <w:trHeight w:val="50"/>
          <w:jc w:val="center"/>
        </w:trPr>
        <w:tc>
          <w:tcPr>
            <w:tcW w:w="3214" w:type="dxa"/>
            <w:vMerge w:val="restart"/>
            <w:shd w:val="clear" w:color="auto" w:fill="FFFF99"/>
            <w:vAlign w:val="center"/>
          </w:tcPr>
          <w:p w:rsidR="001933FE" w:rsidRPr="002D1B02" w:rsidRDefault="001933FE" w:rsidP="00B10D6F">
            <w:pPr>
              <w:pStyle w:val="Default"/>
              <w:contextualSpacing/>
              <w:jc w:val="center"/>
              <w:rPr>
                <w:b/>
                <w:sz w:val="20"/>
                <w:szCs w:val="20"/>
                <w:lang w:val="es-ES"/>
              </w:rPr>
            </w:pPr>
            <w:r w:rsidRPr="002D1B02">
              <w:rPr>
                <w:b/>
                <w:sz w:val="20"/>
                <w:szCs w:val="20"/>
                <w:lang w:val="es-ES"/>
              </w:rPr>
              <w:t>Indicador</w:t>
            </w:r>
          </w:p>
        </w:tc>
        <w:tc>
          <w:tcPr>
            <w:tcW w:w="1911" w:type="dxa"/>
            <w:gridSpan w:val="2"/>
            <w:shd w:val="clear" w:color="auto" w:fill="FFFF99"/>
            <w:vAlign w:val="center"/>
          </w:tcPr>
          <w:p w:rsidR="001933FE" w:rsidRDefault="001933FE" w:rsidP="00B10D6F">
            <w:pPr>
              <w:pStyle w:val="Default"/>
              <w:contextualSpacing/>
              <w:jc w:val="center"/>
              <w:rPr>
                <w:b/>
                <w:sz w:val="20"/>
                <w:szCs w:val="20"/>
                <w:lang w:val="es-ES"/>
              </w:rPr>
            </w:pPr>
            <w:r>
              <w:rPr>
                <w:b/>
                <w:sz w:val="20"/>
                <w:szCs w:val="20"/>
                <w:lang w:val="es-ES"/>
              </w:rPr>
              <w:t>Colecta de Datos y Verificación</w:t>
            </w:r>
            <w:r w:rsidR="009B261D">
              <w:rPr>
                <w:b/>
                <w:sz w:val="20"/>
                <w:szCs w:val="20"/>
                <w:lang w:val="es-ES"/>
              </w:rPr>
              <w:t xml:space="preserve"> das</w:t>
            </w:r>
          </w:p>
          <w:p w:rsidR="009B261D" w:rsidRDefault="009B261D" w:rsidP="00B10D6F">
            <w:pPr>
              <w:pStyle w:val="Default"/>
              <w:contextualSpacing/>
              <w:jc w:val="center"/>
              <w:rPr>
                <w:b/>
                <w:sz w:val="20"/>
                <w:szCs w:val="20"/>
                <w:lang w:val="es-ES"/>
              </w:rPr>
            </w:pPr>
            <w:r>
              <w:rPr>
                <w:b/>
                <w:sz w:val="20"/>
                <w:szCs w:val="20"/>
                <w:lang w:val="es-ES"/>
              </w:rPr>
              <w:t>Metas</w:t>
            </w:r>
          </w:p>
          <w:p w:rsidR="001933FE" w:rsidRPr="002D1B02" w:rsidRDefault="001933FE" w:rsidP="00B10D6F">
            <w:pPr>
              <w:pStyle w:val="Default"/>
              <w:contextualSpacing/>
              <w:jc w:val="center"/>
              <w:rPr>
                <w:b/>
                <w:sz w:val="20"/>
                <w:szCs w:val="20"/>
                <w:lang w:val="es-ES"/>
              </w:rPr>
            </w:pPr>
          </w:p>
        </w:tc>
        <w:tc>
          <w:tcPr>
            <w:tcW w:w="2610" w:type="dxa"/>
            <w:vMerge w:val="restart"/>
            <w:shd w:val="clear" w:color="auto" w:fill="FFFF99"/>
            <w:vAlign w:val="center"/>
          </w:tcPr>
          <w:p w:rsidR="001933FE" w:rsidRPr="002D1B02" w:rsidRDefault="001933FE" w:rsidP="00B10D6F">
            <w:pPr>
              <w:pStyle w:val="Default"/>
              <w:contextualSpacing/>
              <w:jc w:val="center"/>
              <w:rPr>
                <w:b/>
                <w:sz w:val="20"/>
                <w:szCs w:val="20"/>
                <w:lang w:val="es-ES"/>
              </w:rPr>
            </w:pPr>
            <w:r w:rsidRPr="002D1B02">
              <w:rPr>
                <w:b/>
                <w:sz w:val="20"/>
                <w:szCs w:val="20"/>
                <w:lang w:val="es-ES"/>
              </w:rPr>
              <w:t>Medio de Verificación</w:t>
            </w:r>
          </w:p>
        </w:tc>
        <w:tc>
          <w:tcPr>
            <w:tcW w:w="1453" w:type="dxa"/>
            <w:vMerge w:val="restart"/>
            <w:shd w:val="clear" w:color="auto" w:fill="FFFF99"/>
            <w:vAlign w:val="center"/>
          </w:tcPr>
          <w:p w:rsidR="001933FE" w:rsidRPr="002D1B02" w:rsidRDefault="001933FE" w:rsidP="00B10D6F">
            <w:pPr>
              <w:pStyle w:val="Default"/>
              <w:contextualSpacing/>
              <w:jc w:val="center"/>
              <w:rPr>
                <w:b/>
                <w:sz w:val="20"/>
                <w:szCs w:val="20"/>
                <w:lang w:val="es-ES"/>
              </w:rPr>
            </w:pPr>
            <w:r>
              <w:rPr>
                <w:b/>
                <w:sz w:val="20"/>
                <w:szCs w:val="20"/>
                <w:lang w:val="es-ES"/>
              </w:rPr>
              <w:t>Costos y Responsables</w:t>
            </w:r>
          </w:p>
        </w:tc>
      </w:tr>
      <w:tr w:rsidR="001933FE" w:rsidRPr="002D1B02" w:rsidTr="001933FE">
        <w:trPr>
          <w:jc w:val="center"/>
        </w:trPr>
        <w:tc>
          <w:tcPr>
            <w:tcW w:w="3214" w:type="dxa"/>
            <w:vMerge/>
            <w:shd w:val="clear" w:color="auto" w:fill="FFFF99"/>
            <w:vAlign w:val="center"/>
          </w:tcPr>
          <w:p w:rsidR="001933FE" w:rsidRPr="002D1B02" w:rsidRDefault="001933FE" w:rsidP="00B10D6F">
            <w:pPr>
              <w:pStyle w:val="Default"/>
              <w:contextualSpacing/>
              <w:jc w:val="center"/>
              <w:rPr>
                <w:b/>
                <w:sz w:val="20"/>
                <w:szCs w:val="20"/>
                <w:lang w:val="es-ES"/>
              </w:rPr>
            </w:pPr>
          </w:p>
        </w:tc>
        <w:tc>
          <w:tcPr>
            <w:tcW w:w="955" w:type="dxa"/>
            <w:shd w:val="clear" w:color="auto" w:fill="FFFF99"/>
            <w:vAlign w:val="center"/>
          </w:tcPr>
          <w:p w:rsidR="001933FE" w:rsidRDefault="001933FE" w:rsidP="00B10D6F">
            <w:pPr>
              <w:pStyle w:val="Default"/>
              <w:contextualSpacing/>
              <w:jc w:val="center"/>
              <w:rPr>
                <w:b/>
                <w:sz w:val="20"/>
                <w:szCs w:val="20"/>
                <w:lang w:val="es-ES"/>
              </w:rPr>
            </w:pPr>
            <w:r>
              <w:rPr>
                <w:b/>
                <w:sz w:val="20"/>
                <w:szCs w:val="20"/>
                <w:lang w:val="es-ES"/>
              </w:rPr>
              <w:t>2017</w:t>
            </w:r>
          </w:p>
        </w:tc>
        <w:tc>
          <w:tcPr>
            <w:tcW w:w="956" w:type="dxa"/>
            <w:shd w:val="clear" w:color="auto" w:fill="FFFF99"/>
            <w:vAlign w:val="center"/>
          </w:tcPr>
          <w:p w:rsidR="001933FE" w:rsidRDefault="001933FE" w:rsidP="00B10D6F">
            <w:pPr>
              <w:pStyle w:val="Default"/>
              <w:contextualSpacing/>
              <w:jc w:val="center"/>
              <w:rPr>
                <w:b/>
                <w:sz w:val="20"/>
                <w:szCs w:val="20"/>
                <w:lang w:val="es-ES"/>
              </w:rPr>
            </w:pPr>
            <w:r>
              <w:rPr>
                <w:b/>
                <w:sz w:val="20"/>
                <w:szCs w:val="20"/>
                <w:lang w:val="es-ES"/>
              </w:rPr>
              <w:t>2020</w:t>
            </w:r>
          </w:p>
        </w:tc>
        <w:tc>
          <w:tcPr>
            <w:tcW w:w="2610" w:type="dxa"/>
            <w:vMerge/>
            <w:shd w:val="clear" w:color="auto" w:fill="FFFF99"/>
            <w:vAlign w:val="center"/>
          </w:tcPr>
          <w:p w:rsidR="001933FE" w:rsidRPr="002D1B02" w:rsidRDefault="001933FE" w:rsidP="00B10D6F">
            <w:pPr>
              <w:pStyle w:val="Default"/>
              <w:contextualSpacing/>
              <w:jc w:val="center"/>
              <w:rPr>
                <w:b/>
                <w:sz w:val="20"/>
                <w:szCs w:val="20"/>
                <w:lang w:val="es-ES"/>
              </w:rPr>
            </w:pPr>
          </w:p>
        </w:tc>
        <w:tc>
          <w:tcPr>
            <w:tcW w:w="1453" w:type="dxa"/>
            <w:vMerge/>
            <w:shd w:val="clear" w:color="auto" w:fill="FFFF99"/>
            <w:vAlign w:val="center"/>
          </w:tcPr>
          <w:p w:rsidR="001933FE" w:rsidRDefault="001933FE" w:rsidP="00B10D6F">
            <w:pPr>
              <w:pStyle w:val="Default"/>
              <w:contextualSpacing/>
              <w:jc w:val="center"/>
              <w:rPr>
                <w:b/>
                <w:sz w:val="20"/>
                <w:szCs w:val="20"/>
                <w:lang w:val="es-ES"/>
              </w:rPr>
            </w:pPr>
          </w:p>
        </w:tc>
      </w:tr>
      <w:tr w:rsidR="00B10D6F" w:rsidRPr="001E63CD" w:rsidTr="007745D7">
        <w:trPr>
          <w:trHeight w:hRule="exact" w:val="361"/>
          <w:jc w:val="center"/>
        </w:trPr>
        <w:tc>
          <w:tcPr>
            <w:tcW w:w="7735" w:type="dxa"/>
            <w:gridSpan w:val="4"/>
            <w:shd w:val="clear" w:color="auto" w:fill="C6D9F1" w:themeFill="text2" w:themeFillTint="33"/>
            <w:vAlign w:val="center"/>
          </w:tcPr>
          <w:p w:rsidR="00B10D6F" w:rsidRPr="002D1B02" w:rsidRDefault="00B10D6F" w:rsidP="007745D7">
            <w:pPr>
              <w:contextualSpacing/>
              <w:rPr>
                <w:b/>
                <w:sz w:val="20"/>
                <w:szCs w:val="20"/>
                <w:lang w:val="es-ES"/>
              </w:rPr>
            </w:pPr>
            <w:r w:rsidRPr="002D1B02">
              <w:rPr>
                <w:b/>
                <w:sz w:val="20"/>
                <w:szCs w:val="20"/>
                <w:lang w:val="es-ES"/>
              </w:rPr>
              <w:t>IMPACTOS</w:t>
            </w:r>
          </w:p>
        </w:tc>
        <w:tc>
          <w:tcPr>
            <w:tcW w:w="1453" w:type="dxa"/>
            <w:vMerge w:val="restart"/>
            <w:shd w:val="clear" w:color="auto" w:fill="auto"/>
            <w:vAlign w:val="center"/>
          </w:tcPr>
          <w:p w:rsidR="00B10D6F" w:rsidRPr="00B10D6F" w:rsidRDefault="00B10D6F" w:rsidP="008D21A6">
            <w:pPr>
              <w:tabs>
                <w:tab w:val="left" w:pos="3184"/>
              </w:tabs>
              <w:ind w:left="87"/>
              <w:contextualSpacing/>
              <w:rPr>
                <w:b/>
                <w:color w:val="000000"/>
                <w:sz w:val="20"/>
                <w:szCs w:val="20"/>
                <w:lang w:val="es-ES"/>
              </w:rPr>
            </w:pPr>
          </w:p>
          <w:p w:rsidR="00B10D6F" w:rsidRPr="00487E74" w:rsidRDefault="00B10D6F" w:rsidP="00B10D6F">
            <w:pPr>
              <w:tabs>
                <w:tab w:val="left" w:pos="3184"/>
              </w:tabs>
              <w:ind w:left="87"/>
              <w:contextualSpacing/>
              <w:jc w:val="center"/>
              <w:rPr>
                <w:b/>
                <w:color w:val="000000"/>
                <w:sz w:val="20"/>
                <w:szCs w:val="20"/>
                <w:lang w:val="es-ES"/>
              </w:rPr>
            </w:pPr>
            <w:r w:rsidRPr="00487E74">
              <w:rPr>
                <w:b/>
                <w:color w:val="000000"/>
                <w:sz w:val="20"/>
                <w:szCs w:val="20"/>
                <w:lang w:val="es-ES"/>
              </w:rPr>
              <w:t>IDB</w:t>
            </w:r>
          </w:p>
          <w:p w:rsidR="00B10D6F" w:rsidRPr="00487E74" w:rsidRDefault="008D21A6" w:rsidP="00B10D6F">
            <w:pPr>
              <w:tabs>
                <w:tab w:val="left" w:pos="3184"/>
              </w:tabs>
              <w:ind w:left="87"/>
              <w:contextualSpacing/>
              <w:jc w:val="center"/>
              <w:rPr>
                <w:b/>
                <w:color w:val="000000"/>
                <w:sz w:val="20"/>
                <w:szCs w:val="20"/>
                <w:lang w:val="es-ES"/>
              </w:rPr>
            </w:pPr>
            <w:r w:rsidRPr="00487E74">
              <w:rPr>
                <w:b/>
                <w:color w:val="000000"/>
                <w:sz w:val="20"/>
                <w:szCs w:val="20"/>
                <w:lang w:val="es-ES"/>
              </w:rPr>
              <w:t xml:space="preserve">US$ </w:t>
            </w:r>
            <w:r w:rsidR="008E4A17" w:rsidRPr="00487E74">
              <w:rPr>
                <w:b/>
                <w:color w:val="000000"/>
                <w:sz w:val="20"/>
                <w:szCs w:val="20"/>
                <w:lang w:val="es-ES"/>
              </w:rPr>
              <w:t>10</w:t>
            </w:r>
            <w:r w:rsidR="00B10D6F" w:rsidRPr="00487E74">
              <w:rPr>
                <w:b/>
                <w:color w:val="000000"/>
                <w:sz w:val="20"/>
                <w:szCs w:val="20"/>
                <w:lang w:val="es-ES"/>
              </w:rPr>
              <w:t>,000</w:t>
            </w:r>
          </w:p>
          <w:p w:rsidR="00B10D6F" w:rsidRPr="00487E74" w:rsidRDefault="00B10D6F" w:rsidP="00B10D6F">
            <w:pPr>
              <w:tabs>
                <w:tab w:val="left" w:pos="3184"/>
              </w:tabs>
              <w:ind w:left="87"/>
              <w:contextualSpacing/>
              <w:jc w:val="center"/>
              <w:rPr>
                <w:b/>
                <w:color w:val="000000"/>
                <w:sz w:val="20"/>
                <w:szCs w:val="20"/>
                <w:lang w:val="es-ES"/>
              </w:rPr>
            </w:pPr>
            <w:r w:rsidRPr="00487E74">
              <w:rPr>
                <w:b/>
                <w:color w:val="000000"/>
                <w:sz w:val="20"/>
                <w:szCs w:val="20"/>
                <w:lang w:val="es-ES"/>
              </w:rPr>
              <w:t xml:space="preserve">Costos del </w:t>
            </w:r>
            <w:r w:rsidRPr="00487E74">
              <w:rPr>
                <w:b/>
                <w:color w:val="000000"/>
                <w:sz w:val="20"/>
                <w:szCs w:val="20"/>
                <w:lang w:val="es-ES"/>
              </w:rPr>
              <w:lastRenderedPageBreak/>
              <w:t>proyecto</w:t>
            </w:r>
          </w:p>
          <w:p w:rsidR="008E4A17" w:rsidRPr="002736CF" w:rsidRDefault="008E4A17" w:rsidP="00B10D6F">
            <w:pPr>
              <w:tabs>
                <w:tab w:val="left" w:pos="3184"/>
              </w:tabs>
              <w:ind w:left="87"/>
              <w:contextualSpacing/>
              <w:jc w:val="center"/>
              <w:rPr>
                <w:color w:val="000000"/>
                <w:sz w:val="20"/>
                <w:szCs w:val="20"/>
                <w:lang w:val="es-ES"/>
              </w:rPr>
            </w:pPr>
            <w:r w:rsidRPr="00487E74">
              <w:rPr>
                <w:b/>
                <w:color w:val="000000"/>
                <w:sz w:val="20"/>
                <w:szCs w:val="20"/>
                <w:lang w:val="es-ES"/>
              </w:rPr>
              <w:t>(</w:t>
            </w:r>
            <w:r w:rsidR="002736CF" w:rsidRPr="00487E74">
              <w:rPr>
                <w:color w:val="000000"/>
                <w:sz w:val="20"/>
                <w:szCs w:val="20"/>
                <w:lang w:val="es-ES"/>
              </w:rPr>
              <w:t>Informe Intermedio y</w:t>
            </w:r>
            <w:r w:rsidR="002736CF">
              <w:rPr>
                <w:color w:val="000000"/>
                <w:sz w:val="20"/>
                <w:szCs w:val="20"/>
                <w:lang w:val="es-ES"/>
              </w:rPr>
              <w:t xml:space="preserve"> final)</w:t>
            </w:r>
          </w:p>
          <w:p w:rsidR="008E4A17" w:rsidRPr="002D1B02" w:rsidRDefault="008E4A17" w:rsidP="00B10D6F">
            <w:pPr>
              <w:tabs>
                <w:tab w:val="left" w:pos="3184"/>
              </w:tabs>
              <w:ind w:left="87"/>
              <w:contextualSpacing/>
              <w:jc w:val="center"/>
              <w:rPr>
                <w:b/>
                <w:sz w:val="20"/>
                <w:szCs w:val="20"/>
                <w:lang w:val="es-ES"/>
              </w:rPr>
            </w:pPr>
          </w:p>
        </w:tc>
      </w:tr>
      <w:tr w:rsidR="006B5C00" w:rsidRPr="002D1B02" w:rsidTr="009F7F76">
        <w:trPr>
          <w:trHeight w:val="620"/>
          <w:jc w:val="center"/>
        </w:trPr>
        <w:tc>
          <w:tcPr>
            <w:tcW w:w="3214" w:type="dxa"/>
            <w:vAlign w:val="center"/>
          </w:tcPr>
          <w:p w:rsidR="006B5C00" w:rsidRPr="002D1B02" w:rsidRDefault="006B5C00" w:rsidP="008A02B3">
            <w:pPr>
              <w:pStyle w:val="Default"/>
              <w:tabs>
                <w:tab w:val="left" w:pos="3184"/>
              </w:tabs>
              <w:contextualSpacing/>
              <w:jc w:val="both"/>
              <w:rPr>
                <w:sz w:val="20"/>
                <w:szCs w:val="20"/>
                <w:lang w:val="es-ES"/>
              </w:rPr>
            </w:pPr>
            <w:r w:rsidRPr="002D1B02">
              <w:rPr>
                <w:sz w:val="20"/>
                <w:szCs w:val="20"/>
                <w:lang w:val="es-ES"/>
              </w:rPr>
              <w:t>1.Índice de Desempeño en Logística de Panamá (LPI)</w:t>
            </w:r>
          </w:p>
        </w:tc>
        <w:tc>
          <w:tcPr>
            <w:tcW w:w="955" w:type="dxa"/>
            <w:vAlign w:val="center"/>
          </w:tcPr>
          <w:p w:rsidR="006B5C00" w:rsidRPr="002D1B02" w:rsidRDefault="006B5C00" w:rsidP="006B5C00">
            <w:pPr>
              <w:pStyle w:val="Default"/>
              <w:tabs>
                <w:tab w:val="left" w:pos="3184"/>
              </w:tabs>
              <w:contextualSpacing/>
              <w:jc w:val="center"/>
              <w:rPr>
                <w:sz w:val="20"/>
                <w:szCs w:val="20"/>
                <w:lang w:val="es-ES"/>
              </w:rPr>
            </w:pPr>
            <w:r>
              <w:rPr>
                <w:sz w:val="20"/>
                <w:szCs w:val="20"/>
                <w:lang w:val="es-ES"/>
              </w:rPr>
              <w:t>3.30</w:t>
            </w:r>
          </w:p>
        </w:tc>
        <w:tc>
          <w:tcPr>
            <w:tcW w:w="956" w:type="dxa"/>
            <w:vAlign w:val="center"/>
          </w:tcPr>
          <w:p w:rsidR="006B5C00" w:rsidRPr="002D1B02" w:rsidRDefault="006B5C00" w:rsidP="006B5C00">
            <w:pPr>
              <w:pStyle w:val="Default"/>
              <w:tabs>
                <w:tab w:val="left" w:pos="3184"/>
              </w:tabs>
              <w:contextualSpacing/>
              <w:jc w:val="center"/>
              <w:rPr>
                <w:sz w:val="20"/>
                <w:szCs w:val="20"/>
                <w:lang w:val="es-ES"/>
              </w:rPr>
            </w:pPr>
            <w:r>
              <w:rPr>
                <w:sz w:val="20"/>
                <w:szCs w:val="20"/>
                <w:lang w:val="es-ES"/>
              </w:rPr>
              <w:t>3,46</w:t>
            </w:r>
          </w:p>
        </w:tc>
        <w:tc>
          <w:tcPr>
            <w:tcW w:w="2610" w:type="dxa"/>
            <w:vAlign w:val="center"/>
          </w:tcPr>
          <w:p w:rsidR="006B5C00" w:rsidRPr="002D1B02" w:rsidRDefault="006B5C00" w:rsidP="008A02B3">
            <w:pPr>
              <w:tabs>
                <w:tab w:val="left" w:pos="3184"/>
              </w:tabs>
              <w:ind w:left="87"/>
              <w:contextualSpacing/>
              <w:jc w:val="both"/>
              <w:rPr>
                <w:color w:val="000000"/>
                <w:sz w:val="20"/>
                <w:szCs w:val="20"/>
                <w:lang w:val="es-ES"/>
              </w:rPr>
            </w:pPr>
            <w:proofErr w:type="spellStart"/>
            <w:r w:rsidRPr="002D1B02">
              <w:rPr>
                <w:i/>
                <w:color w:val="000000"/>
                <w:sz w:val="20"/>
                <w:szCs w:val="20"/>
                <w:lang w:val="es-ES"/>
              </w:rPr>
              <w:t>Logistics</w:t>
            </w:r>
            <w:proofErr w:type="spellEnd"/>
            <w:r w:rsidRPr="002D1B02">
              <w:rPr>
                <w:i/>
                <w:color w:val="000000"/>
                <w:sz w:val="20"/>
                <w:szCs w:val="20"/>
                <w:lang w:val="es-ES"/>
              </w:rPr>
              <w:t xml:space="preserve"> Performance </w:t>
            </w:r>
            <w:proofErr w:type="spellStart"/>
            <w:r w:rsidRPr="002D1B02">
              <w:rPr>
                <w:i/>
                <w:color w:val="000000"/>
                <w:sz w:val="20"/>
                <w:szCs w:val="20"/>
                <w:lang w:val="es-ES"/>
              </w:rPr>
              <w:t>Index</w:t>
            </w:r>
            <w:proofErr w:type="spellEnd"/>
            <w:r w:rsidRPr="002D1B02">
              <w:rPr>
                <w:i/>
                <w:color w:val="000000"/>
                <w:sz w:val="20"/>
                <w:szCs w:val="20"/>
                <w:lang w:val="es-ES"/>
              </w:rPr>
              <w:t xml:space="preserve"> </w:t>
            </w:r>
            <w:proofErr w:type="spellStart"/>
            <w:r w:rsidRPr="002D1B02">
              <w:rPr>
                <w:i/>
                <w:color w:val="000000"/>
                <w:sz w:val="20"/>
                <w:szCs w:val="20"/>
                <w:lang w:val="es-ES"/>
              </w:rPr>
              <w:t>Report</w:t>
            </w:r>
            <w:proofErr w:type="spellEnd"/>
            <w:r w:rsidRPr="002D1B02">
              <w:rPr>
                <w:color w:val="000000"/>
                <w:sz w:val="20"/>
                <w:szCs w:val="20"/>
                <w:lang w:val="es-ES"/>
              </w:rPr>
              <w:t xml:space="preserve"> LPI– Banco Mundial</w:t>
            </w:r>
          </w:p>
        </w:tc>
        <w:tc>
          <w:tcPr>
            <w:tcW w:w="1453" w:type="dxa"/>
            <w:vMerge/>
            <w:shd w:val="clear" w:color="auto" w:fill="auto"/>
            <w:vAlign w:val="center"/>
          </w:tcPr>
          <w:p w:rsidR="006B5C00" w:rsidRPr="00B10D6F" w:rsidRDefault="006B5C00" w:rsidP="00B10D6F">
            <w:pPr>
              <w:tabs>
                <w:tab w:val="left" w:pos="3184"/>
              </w:tabs>
              <w:ind w:left="87"/>
              <w:contextualSpacing/>
              <w:jc w:val="center"/>
              <w:rPr>
                <w:color w:val="000000"/>
                <w:sz w:val="20"/>
                <w:szCs w:val="20"/>
                <w:lang w:val="es-ES"/>
              </w:rPr>
            </w:pPr>
          </w:p>
        </w:tc>
      </w:tr>
      <w:tr w:rsidR="001933FE" w:rsidRPr="002D1B02" w:rsidTr="001933FE">
        <w:trPr>
          <w:trHeight w:hRule="exact" w:val="730"/>
          <w:jc w:val="center"/>
        </w:trPr>
        <w:tc>
          <w:tcPr>
            <w:tcW w:w="3214" w:type="dxa"/>
            <w:vAlign w:val="center"/>
          </w:tcPr>
          <w:p w:rsidR="001933FE" w:rsidRPr="002D1B02" w:rsidRDefault="006B5C00" w:rsidP="006B5C00">
            <w:pPr>
              <w:pStyle w:val="Default"/>
              <w:tabs>
                <w:tab w:val="left" w:pos="3184"/>
              </w:tabs>
              <w:contextualSpacing/>
              <w:jc w:val="both"/>
              <w:rPr>
                <w:sz w:val="20"/>
                <w:szCs w:val="20"/>
                <w:lang w:val="es-ES"/>
              </w:rPr>
            </w:pPr>
            <w:r>
              <w:rPr>
                <w:sz w:val="20"/>
                <w:szCs w:val="20"/>
                <w:lang w:val="es-ES"/>
              </w:rPr>
              <w:lastRenderedPageBreak/>
              <w:t>2</w:t>
            </w:r>
            <w:r w:rsidR="001933FE" w:rsidRPr="002D1B02">
              <w:rPr>
                <w:sz w:val="20"/>
                <w:szCs w:val="20"/>
                <w:lang w:val="es-ES"/>
              </w:rPr>
              <w:t>. Valor exportaciones de bienes y servicios</w:t>
            </w:r>
            <w:r w:rsidR="001933FE" w:rsidRPr="002D1B02">
              <w:rPr>
                <w:sz w:val="20"/>
                <w:szCs w:val="20"/>
                <w:vertAlign w:val="superscript"/>
                <w:lang w:val="es-ES"/>
              </w:rPr>
              <w:footnoteReference w:id="2"/>
            </w:r>
            <w:r w:rsidR="001933FE" w:rsidRPr="002D1B02">
              <w:rPr>
                <w:sz w:val="20"/>
                <w:szCs w:val="20"/>
                <w:lang w:val="es-ES"/>
              </w:rPr>
              <w:t xml:space="preserve"> / PIB nacional</w:t>
            </w:r>
          </w:p>
        </w:tc>
        <w:tc>
          <w:tcPr>
            <w:tcW w:w="955" w:type="dxa"/>
            <w:vAlign w:val="center"/>
          </w:tcPr>
          <w:p w:rsidR="001933FE" w:rsidRPr="001933FE" w:rsidRDefault="001933FE" w:rsidP="006B5C00">
            <w:pPr>
              <w:pStyle w:val="Default"/>
              <w:tabs>
                <w:tab w:val="left" w:pos="3184"/>
              </w:tabs>
              <w:contextualSpacing/>
              <w:jc w:val="center"/>
              <w:rPr>
                <w:sz w:val="20"/>
                <w:szCs w:val="20"/>
                <w:lang w:val="es-ES"/>
              </w:rPr>
            </w:pPr>
            <w:r>
              <w:rPr>
                <w:sz w:val="20"/>
                <w:szCs w:val="20"/>
                <w:lang w:val="es-ES"/>
              </w:rPr>
              <w:t>79.79%</w:t>
            </w:r>
          </w:p>
        </w:tc>
        <w:tc>
          <w:tcPr>
            <w:tcW w:w="956" w:type="dxa"/>
            <w:vAlign w:val="center"/>
          </w:tcPr>
          <w:p w:rsidR="001933FE" w:rsidRPr="001933FE" w:rsidRDefault="001933FE" w:rsidP="006B5C00">
            <w:pPr>
              <w:pStyle w:val="Default"/>
              <w:tabs>
                <w:tab w:val="left" w:pos="3184"/>
              </w:tabs>
              <w:contextualSpacing/>
              <w:jc w:val="center"/>
              <w:rPr>
                <w:sz w:val="20"/>
                <w:szCs w:val="20"/>
                <w:lang w:val="es-ES"/>
              </w:rPr>
            </w:pPr>
            <w:r>
              <w:rPr>
                <w:sz w:val="20"/>
                <w:szCs w:val="20"/>
                <w:lang w:val="es-ES"/>
              </w:rPr>
              <w:t>84,00%</w:t>
            </w:r>
          </w:p>
        </w:tc>
        <w:tc>
          <w:tcPr>
            <w:tcW w:w="2610" w:type="dxa"/>
            <w:vAlign w:val="center"/>
          </w:tcPr>
          <w:p w:rsidR="001933FE" w:rsidRPr="002D1B02" w:rsidRDefault="001933FE" w:rsidP="006B5C00">
            <w:pPr>
              <w:tabs>
                <w:tab w:val="left" w:pos="3184"/>
              </w:tabs>
              <w:ind w:left="87"/>
              <w:contextualSpacing/>
              <w:jc w:val="both"/>
              <w:rPr>
                <w:color w:val="000000"/>
                <w:sz w:val="20"/>
                <w:szCs w:val="20"/>
                <w:lang w:val="es-ES"/>
              </w:rPr>
            </w:pPr>
            <w:r w:rsidRPr="002D1B02">
              <w:rPr>
                <w:color w:val="000000"/>
                <w:sz w:val="20"/>
                <w:szCs w:val="20"/>
                <w:lang w:val="es-ES"/>
              </w:rPr>
              <w:t xml:space="preserve">Informe anual de Contraloría </w:t>
            </w:r>
          </w:p>
        </w:tc>
        <w:tc>
          <w:tcPr>
            <w:tcW w:w="1453" w:type="dxa"/>
            <w:vMerge/>
            <w:shd w:val="clear" w:color="auto" w:fill="auto"/>
          </w:tcPr>
          <w:p w:rsidR="001933FE" w:rsidRPr="002D1B02" w:rsidRDefault="001933FE" w:rsidP="00833622">
            <w:pPr>
              <w:tabs>
                <w:tab w:val="left" w:pos="3184"/>
              </w:tabs>
              <w:ind w:left="87"/>
              <w:contextualSpacing/>
              <w:rPr>
                <w:color w:val="000000"/>
                <w:sz w:val="20"/>
                <w:szCs w:val="20"/>
                <w:lang w:val="es-ES"/>
              </w:rPr>
            </w:pPr>
          </w:p>
        </w:tc>
      </w:tr>
      <w:tr w:rsidR="00B10D6F" w:rsidRPr="002D1B02" w:rsidTr="001933FE">
        <w:trPr>
          <w:trHeight w:hRule="exact" w:val="397"/>
          <w:jc w:val="center"/>
        </w:trPr>
        <w:tc>
          <w:tcPr>
            <w:tcW w:w="7735" w:type="dxa"/>
            <w:gridSpan w:val="4"/>
            <w:shd w:val="clear" w:color="auto" w:fill="C6D9F1" w:themeFill="text2" w:themeFillTint="33"/>
            <w:vAlign w:val="center"/>
          </w:tcPr>
          <w:p w:rsidR="00B10D6F" w:rsidRPr="006505D5" w:rsidRDefault="00B10D6F" w:rsidP="008A02B3">
            <w:pPr>
              <w:pStyle w:val="Paragraph"/>
              <w:tabs>
                <w:tab w:val="clear" w:pos="1440"/>
              </w:tabs>
              <w:spacing w:before="100" w:after="100"/>
              <w:ind w:left="0" w:firstLine="0"/>
              <w:rPr>
                <w:b/>
                <w:sz w:val="20"/>
                <w:lang w:val="es-ES"/>
              </w:rPr>
            </w:pPr>
            <w:r w:rsidRPr="006505D5">
              <w:rPr>
                <w:b/>
                <w:sz w:val="20"/>
                <w:lang w:val="es-ES"/>
              </w:rPr>
              <w:lastRenderedPageBreak/>
              <w:t>RESULTADOS</w:t>
            </w:r>
          </w:p>
        </w:tc>
        <w:tc>
          <w:tcPr>
            <w:tcW w:w="1453" w:type="dxa"/>
            <w:vMerge/>
            <w:shd w:val="clear" w:color="auto" w:fill="auto"/>
            <w:vAlign w:val="center"/>
          </w:tcPr>
          <w:p w:rsidR="00B10D6F" w:rsidRPr="002D1B02" w:rsidRDefault="00B10D6F" w:rsidP="00B10D6F">
            <w:pPr>
              <w:contextualSpacing/>
              <w:jc w:val="center"/>
              <w:rPr>
                <w:b/>
                <w:sz w:val="20"/>
                <w:szCs w:val="20"/>
                <w:lang w:val="es-ES"/>
              </w:rPr>
            </w:pPr>
          </w:p>
        </w:tc>
      </w:tr>
      <w:tr w:rsidR="001933FE" w:rsidRPr="001E63CD" w:rsidTr="006B5C00">
        <w:trPr>
          <w:trHeight w:hRule="exact" w:val="937"/>
          <w:jc w:val="center"/>
        </w:trPr>
        <w:tc>
          <w:tcPr>
            <w:tcW w:w="3214" w:type="dxa"/>
            <w:vAlign w:val="center"/>
          </w:tcPr>
          <w:p w:rsidR="001933FE" w:rsidRPr="002D1B02" w:rsidRDefault="001933FE" w:rsidP="00B558D6">
            <w:pPr>
              <w:pStyle w:val="Default"/>
              <w:tabs>
                <w:tab w:val="left" w:pos="3184"/>
              </w:tabs>
              <w:ind w:left="-17"/>
              <w:contextualSpacing/>
              <w:rPr>
                <w:sz w:val="20"/>
                <w:szCs w:val="20"/>
                <w:lang w:val="es-ES"/>
              </w:rPr>
            </w:pPr>
            <w:r w:rsidRPr="002D1B02">
              <w:rPr>
                <w:sz w:val="20"/>
                <w:szCs w:val="20"/>
                <w:lang w:val="es-ES"/>
              </w:rPr>
              <w:t xml:space="preserve">1. </w:t>
            </w:r>
            <w:r w:rsidR="006B5C00" w:rsidRPr="006B5C00">
              <w:rPr>
                <w:sz w:val="20"/>
                <w:szCs w:val="20"/>
                <w:lang w:val="es-ES"/>
              </w:rPr>
              <w:t>Porcentaje de la inversión pública ejecutada en el sector de transporte y logística sobre la inversión total ejecutada en el período 2015- 2020.</w:t>
            </w:r>
          </w:p>
        </w:tc>
        <w:tc>
          <w:tcPr>
            <w:tcW w:w="955" w:type="dxa"/>
            <w:vAlign w:val="center"/>
          </w:tcPr>
          <w:p w:rsidR="001933FE" w:rsidRPr="00A147A9" w:rsidRDefault="00117928" w:rsidP="006B5C00">
            <w:pPr>
              <w:jc w:val="center"/>
              <w:rPr>
                <w:sz w:val="20"/>
                <w:szCs w:val="20"/>
                <w:lang w:val="es-ES"/>
              </w:rPr>
            </w:pPr>
            <w:r w:rsidRPr="00A147A9">
              <w:rPr>
                <w:sz w:val="20"/>
                <w:szCs w:val="20"/>
                <w:lang w:val="es-ES"/>
              </w:rPr>
              <w:t>5.9</w:t>
            </w:r>
            <w:r w:rsidR="001933FE" w:rsidRPr="00A147A9">
              <w:rPr>
                <w:sz w:val="20"/>
                <w:szCs w:val="20"/>
                <w:lang w:val="es-ES"/>
              </w:rPr>
              <w:t>%</w:t>
            </w:r>
          </w:p>
        </w:tc>
        <w:tc>
          <w:tcPr>
            <w:tcW w:w="956" w:type="dxa"/>
            <w:vAlign w:val="center"/>
          </w:tcPr>
          <w:p w:rsidR="001933FE" w:rsidRPr="00A147A9" w:rsidRDefault="001933FE" w:rsidP="006B5C00">
            <w:pPr>
              <w:jc w:val="center"/>
              <w:rPr>
                <w:sz w:val="20"/>
                <w:szCs w:val="20"/>
                <w:lang w:val="es-ES"/>
              </w:rPr>
            </w:pPr>
            <w:r w:rsidRPr="00A147A9">
              <w:rPr>
                <w:sz w:val="20"/>
                <w:szCs w:val="20"/>
                <w:lang w:val="es-ES"/>
              </w:rPr>
              <w:t>7.55</w:t>
            </w:r>
          </w:p>
        </w:tc>
        <w:tc>
          <w:tcPr>
            <w:tcW w:w="2610" w:type="dxa"/>
            <w:vAlign w:val="center"/>
          </w:tcPr>
          <w:p w:rsidR="001933FE" w:rsidRPr="002D1B02" w:rsidRDefault="006B5C00" w:rsidP="008A02B3">
            <w:pPr>
              <w:contextualSpacing/>
              <w:jc w:val="both"/>
              <w:rPr>
                <w:sz w:val="20"/>
                <w:szCs w:val="20"/>
                <w:lang w:val="es-ES"/>
              </w:rPr>
            </w:pPr>
            <w:r w:rsidRPr="006B5C00">
              <w:rPr>
                <w:sz w:val="20"/>
                <w:szCs w:val="20"/>
                <w:lang w:val="es-ES"/>
              </w:rPr>
              <w:t>Informes Anuales de la Coordinación Logística con base en el presupuesto Nacional y en el Plan Estratégico de Gobierno</w:t>
            </w:r>
          </w:p>
        </w:tc>
        <w:tc>
          <w:tcPr>
            <w:tcW w:w="1453" w:type="dxa"/>
            <w:vMerge/>
            <w:shd w:val="clear" w:color="auto" w:fill="auto"/>
          </w:tcPr>
          <w:p w:rsidR="001933FE" w:rsidRPr="002D1B02" w:rsidRDefault="001933FE" w:rsidP="00833622">
            <w:pPr>
              <w:contextualSpacing/>
              <w:rPr>
                <w:sz w:val="20"/>
                <w:szCs w:val="20"/>
                <w:lang w:val="es-ES"/>
              </w:rPr>
            </w:pPr>
          </w:p>
        </w:tc>
      </w:tr>
      <w:tr w:rsidR="001933FE" w:rsidRPr="001E63CD" w:rsidTr="006B5C00">
        <w:trPr>
          <w:trHeight w:hRule="exact" w:val="730"/>
          <w:jc w:val="center"/>
        </w:trPr>
        <w:tc>
          <w:tcPr>
            <w:tcW w:w="3214" w:type="dxa"/>
            <w:vAlign w:val="center"/>
          </w:tcPr>
          <w:p w:rsidR="001933FE" w:rsidRPr="002D1B02" w:rsidRDefault="001933FE" w:rsidP="00B558D6">
            <w:pPr>
              <w:pStyle w:val="Default"/>
              <w:tabs>
                <w:tab w:val="left" w:pos="3184"/>
              </w:tabs>
              <w:ind w:left="-17"/>
              <w:contextualSpacing/>
              <w:rPr>
                <w:sz w:val="20"/>
                <w:szCs w:val="20"/>
                <w:lang w:val="es-ES"/>
              </w:rPr>
            </w:pPr>
            <w:r w:rsidRPr="002D1B02">
              <w:rPr>
                <w:sz w:val="20"/>
                <w:szCs w:val="20"/>
                <w:lang w:val="es-ES"/>
              </w:rPr>
              <w:t xml:space="preserve">2. </w:t>
            </w:r>
            <w:r w:rsidR="006B5C00" w:rsidRPr="006B5C00">
              <w:rPr>
                <w:sz w:val="20"/>
                <w:szCs w:val="20"/>
                <w:lang w:val="es-ES"/>
              </w:rPr>
              <w:t>Tiempo de despacho de aduanas promedio para carga en Paso Canoas</w:t>
            </w:r>
          </w:p>
        </w:tc>
        <w:tc>
          <w:tcPr>
            <w:tcW w:w="955" w:type="dxa"/>
            <w:vAlign w:val="center"/>
          </w:tcPr>
          <w:p w:rsidR="001933FE" w:rsidRPr="00A147A9" w:rsidRDefault="004A616F" w:rsidP="006B5C00">
            <w:pPr>
              <w:jc w:val="center"/>
              <w:rPr>
                <w:sz w:val="20"/>
                <w:szCs w:val="20"/>
                <w:lang w:val="es-ES"/>
              </w:rPr>
            </w:pPr>
            <w:r w:rsidRPr="00A147A9">
              <w:rPr>
                <w:sz w:val="20"/>
                <w:szCs w:val="20"/>
                <w:lang w:val="es-ES"/>
              </w:rPr>
              <w:t>15</w:t>
            </w:r>
            <w:r w:rsidR="001933FE" w:rsidRPr="00A147A9">
              <w:rPr>
                <w:sz w:val="20"/>
                <w:szCs w:val="20"/>
                <w:lang w:val="es-ES"/>
              </w:rPr>
              <w:t>h</w:t>
            </w:r>
          </w:p>
        </w:tc>
        <w:tc>
          <w:tcPr>
            <w:tcW w:w="956" w:type="dxa"/>
            <w:vAlign w:val="center"/>
          </w:tcPr>
          <w:p w:rsidR="001933FE" w:rsidRPr="00A147A9" w:rsidRDefault="004A616F" w:rsidP="006B5C00">
            <w:pPr>
              <w:jc w:val="center"/>
              <w:rPr>
                <w:sz w:val="20"/>
                <w:szCs w:val="20"/>
                <w:lang w:val="es-ES"/>
              </w:rPr>
            </w:pPr>
            <w:r w:rsidRPr="00A147A9">
              <w:rPr>
                <w:sz w:val="20"/>
                <w:szCs w:val="20"/>
                <w:lang w:val="es-ES"/>
              </w:rPr>
              <w:t>8:45</w:t>
            </w:r>
            <w:r w:rsidR="001933FE" w:rsidRPr="00A147A9">
              <w:rPr>
                <w:sz w:val="20"/>
                <w:szCs w:val="20"/>
                <w:lang w:val="es-ES"/>
              </w:rPr>
              <w:t>h</w:t>
            </w:r>
          </w:p>
        </w:tc>
        <w:tc>
          <w:tcPr>
            <w:tcW w:w="2610" w:type="dxa"/>
            <w:vAlign w:val="center"/>
          </w:tcPr>
          <w:p w:rsidR="001933FE" w:rsidRPr="002D1B02" w:rsidRDefault="006B5C00" w:rsidP="008A02B3">
            <w:pPr>
              <w:contextualSpacing/>
              <w:jc w:val="both"/>
              <w:rPr>
                <w:sz w:val="20"/>
                <w:szCs w:val="20"/>
                <w:lang w:val="es-ES"/>
              </w:rPr>
            </w:pPr>
            <w:r w:rsidRPr="006B5C00">
              <w:rPr>
                <w:sz w:val="20"/>
                <w:szCs w:val="20"/>
                <w:lang w:val="es-ES"/>
              </w:rPr>
              <w:t>Informe de Gestión de la Autoridad Nacional de  Aduanas (ANA)</w:t>
            </w:r>
          </w:p>
        </w:tc>
        <w:tc>
          <w:tcPr>
            <w:tcW w:w="1453" w:type="dxa"/>
            <w:vMerge/>
            <w:shd w:val="clear" w:color="auto" w:fill="auto"/>
          </w:tcPr>
          <w:p w:rsidR="001933FE" w:rsidRPr="002D1B02" w:rsidRDefault="001933FE" w:rsidP="00833622">
            <w:pPr>
              <w:contextualSpacing/>
              <w:rPr>
                <w:sz w:val="20"/>
                <w:szCs w:val="20"/>
                <w:lang w:val="es-ES"/>
              </w:rPr>
            </w:pPr>
          </w:p>
        </w:tc>
      </w:tr>
      <w:tr w:rsidR="001933FE" w:rsidRPr="001E63CD" w:rsidTr="001933FE">
        <w:trPr>
          <w:trHeight w:hRule="exact" w:val="991"/>
          <w:jc w:val="center"/>
        </w:trPr>
        <w:tc>
          <w:tcPr>
            <w:tcW w:w="3214" w:type="dxa"/>
            <w:vAlign w:val="center"/>
          </w:tcPr>
          <w:p w:rsidR="001933FE" w:rsidRPr="002D1B02" w:rsidRDefault="001933FE" w:rsidP="00B558D6">
            <w:pPr>
              <w:pStyle w:val="Default"/>
              <w:tabs>
                <w:tab w:val="left" w:pos="3184"/>
              </w:tabs>
              <w:ind w:left="-17"/>
              <w:contextualSpacing/>
              <w:rPr>
                <w:sz w:val="20"/>
                <w:szCs w:val="20"/>
                <w:lang w:val="es-ES"/>
              </w:rPr>
            </w:pPr>
            <w:r>
              <w:rPr>
                <w:sz w:val="20"/>
                <w:szCs w:val="20"/>
                <w:lang w:val="es-ES"/>
              </w:rPr>
              <w:t>3</w:t>
            </w:r>
            <w:r w:rsidRPr="002D1B02">
              <w:rPr>
                <w:sz w:val="20"/>
                <w:szCs w:val="20"/>
                <w:lang w:val="es-ES"/>
              </w:rPr>
              <w:t xml:space="preserve">. </w:t>
            </w:r>
            <w:r w:rsidR="006B5C00" w:rsidRPr="006B5C00">
              <w:rPr>
                <w:sz w:val="20"/>
                <w:szCs w:val="20"/>
                <w:lang w:val="es-ES"/>
              </w:rPr>
              <w:t>Porcentaje del total de puertos habilitados para la exportación de productos agrícolas nacionales sobre el total de puertos a nivel nacional.</w:t>
            </w:r>
          </w:p>
        </w:tc>
        <w:tc>
          <w:tcPr>
            <w:tcW w:w="955" w:type="dxa"/>
            <w:vAlign w:val="center"/>
          </w:tcPr>
          <w:p w:rsidR="001933FE" w:rsidRPr="00A147A9" w:rsidRDefault="001933FE" w:rsidP="006B5C00">
            <w:pPr>
              <w:jc w:val="center"/>
              <w:rPr>
                <w:sz w:val="20"/>
                <w:szCs w:val="20"/>
                <w:lang w:val="es-ES"/>
              </w:rPr>
            </w:pPr>
            <w:r w:rsidRPr="00A147A9">
              <w:rPr>
                <w:sz w:val="20"/>
                <w:szCs w:val="20"/>
                <w:lang w:val="es-ES"/>
              </w:rPr>
              <w:t>18%</w:t>
            </w:r>
          </w:p>
        </w:tc>
        <w:tc>
          <w:tcPr>
            <w:tcW w:w="956" w:type="dxa"/>
            <w:vAlign w:val="center"/>
          </w:tcPr>
          <w:p w:rsidR="001933FE" w:rsidRPr="00A147A9" w:rsidRDefault="001933FE" w:rsidP="006B5C00">
            <w:pPr>
              <w:jc w:val="center"/>
              <w:rPr>
                <w:sz w:val="20"/>
                <w:szCs w:val="20"/>
                <w:lang w:val="es-ES"/>
              </w:rPr>
            </w:pPr>
            <w:r w:rsidRPr="00A147A9">
              <w:rPr>
                <w:sz w:val="20"/>
                <w:szCs w:val="20"/>
                <w:lang w:val="es-ES"/>
              </w:rPr>
              <w:t>25%</w:t>
            </w:r>
          </w:p>
        </w:tc>
        <w:tc>
          <w:tcPr>
            <w:tcW w:w="2610" w:type="dxa"/>
            <w:vAlign w:val="center"/>
          </w:tcPr>
          <w:p w:rsidR="001933FE" w:rsidRPr="002D1B02" w:rsidRDefault="001933FE" w:rsidP="008A02B3">
            <w:pPr>
              <w:contextualSpacing/>
              <w:jc w:val="both"/>
              <w:rPr>
                <w:sz w:val="20"/>
                <w:szCs w:val="20"/>
                <w:lang w:val="es-ES"/>
              </w:rPr>
            </w:pPr>
            <w:r w:rsidRPr="002D1B02">
              <w:rPr>
                <w:sz w:val="20"/>
                <w:szCs w:val="20"/>
                <w:lang w:val="es-ES"/>
              </w:rPr>
              <w:t xml:space="preserve">Boletín Estadístico </w:t>
            </w:r>
            <w:r w:rsidR="00117928" w:rsidRPr="00117928">
              <w:rPr>
                <w:sz w:val="20"/>
                <w:szCs w:val="20"/>
                <w:lang w:val="es-ES"/>
              </w:rPr>
              <w:t>Autoridad Marítima de Panamá (AMP)</w:t>
            </w:r>
          </w:p>
        </w:tc>
        <w:tc>
          <w:tcPr>
            <w:tcW w:w="1453" w:type="dxa"/>
            <w:vMerge/>
            <w:shd w:val="clear" w:color="auto" w:fill="auto"/>
          </w:tcPr>
          <w:p w:rsidR="001933FE" w:rsidRPr="002D1B02" w:rsidRDefault="001933FE" w:rsidP="00833622">
            <w:pPr>
              <w:contextualSpacing/>
              <w:rPr>
                <w:sz w:val="20"/>
                <w:szCs w:val="20"/>
                <w:lang w:val="es-ES"/>
              </w:rPr>
            </w:pPr>
          </w:p>
        </w:tc>
      </w:tr>
      <w:tr w:rsidR="001933FE" w:rsidRPr="002D1B02" w:rsidTr="00B558D6">
        <w:trPr>
          <w:trHeight w:val="908"/>
          <w:jc w:val="center"/>
        </w:trPr>
        <w:tc>
          <w:tcPr>
            <w:tcW w:w="3214" w:type="dxa"/>
            <w:vAlign w:val="center"/>
          </w:tcPr>
          <w:p w:rsidR="001933FE" w:rsidRPr="002D1B02" w:rsidRDefault="001933FE" w:rsidP="00B558D6">
            <w:pPr>
              <w:ind w:hanging="18"/>
              <w:rPr>
                <w:sz w:val="20"/>
                <w:szCs w:val="20"/>
                <w:lang w:val="es-ES"/>
              </w:rPr>
            </w:pPr>
            <w:r w:rsidRPr="001933FE">
              <w:rPr>
                <w:sz w:val="20"/>
                <w:szCs w:val="20"/>
                <w:lang w:val="es-ES"/>
              </w:rPr>
              <w:t>4</w:t>
            </w:r>
            <w:r w:rsidRPr="002D1B02">
              <w:rPr>
                <w:sz w:val="20"/>
                <w:szCs w:val="20"/>
                <w:lang w:val="es-ES"/>
              </w:rPr>
              <w:t xml:space="preserve"> </w:t>
            </w:r>
            <w:r w:rsidR="006B5C00" w:rsidRPr="006B5C00">
              <w:rPr>
                <w:sz w:val="20"/>
                <w:szCs w:val="20"/>
                <w:lang w:val="es-ES"/>
              </w:rPr>
              <w:t>Porcentaje de la superficie de logística con actividad real sobre la superficie de logística total disponible en el país.</w:t>
            </w:r>
          </w:p>
        </w:tc>
        <w:tc>
          <w:tcPr>
            <w:tcW w:w="955" w:type="dxa"/>
            <w:vAlign w:val="center"/>
          </w:tcPr>
          <w:p w:rsidR="001933FE" w:rsidRPr="00A147A9" w:rsidRDefault="00117928" w:rsidP="006B5C00">
            <w:pPr>
              <w:jc w:val="center"/>
              <w:rPr>
                <w:sz w:val="20"/>
                <w:szCs w:val="20"/>
                <w:lang w:val="es-ES"/>
              </w:rPr>
            </w:pPr>
            <w:r w:rsidRPr="00A147A9">
              <w:rPr>
                <w:sz w:val="20"/>
                <w:szCs w:val="20"/>
                <w:lang w:val="es-ES"/>
              </w:rPr>
              <w:t>39</w:t>
            </w:r>
            <w:r w:rsidR="0012118F" w:rsidRPr="00A147A9">
              <w:rPr>
                <w:sz w:val="20"/>
                <w:szCs w:val="20"/>
                <w:lang w:val="es-ES"/>
              </w:rPr>
              <w:t>%</w:t>
            </w:r>
          </w:p>
        </w:tc>
        <w:tc>
          <w:tcPr>
            <w:tcW w:w="956" w:type="dxa"/>
            <w:vAlign w:val="center"/>
          </w:tcPr>
          <w:p w:rsidR="001933FE" w:rsidRPr="00A147A9" w:rsidRDefault="0012118F" w:rsidP="006B5C00">
            <w:pPr>
              <w:jc w:val="center"/>
              <w:rPr>
                <w:sz w:val="20"/>
                <w:szCs w:val="20"/>
                <w:lang w:val="es-ES"/>
              </w:rPr>
            </w:pPr>
            <w:r w:rsidRPr="00A147A9">
              <w:rPr>
                <w:sz w:val="20"/>
                <w:szCs w:val="20"/>
                <w:lang w:val="es-ES"/>
              </w:rPr>
              <w:t>80%</w:t>
            </w:r>
          </w:p>
        </w:tc>
        <w:tc>
          <w:tcPr>
            <w:tcW w:w="2610" w:type="dxa"/>
            <w:vAlign w:val="center"/>
          </w:tcPr>
          <w:p w:rsidR="001933FE" w:rsidRPr="002D1B02" w:rsidRDefault="006B5C00" w:rsidP="008A02B3">
            <w:pPr>
              <w:contextualSpacing/>
              <w:jc w:val="both"/>
              <w:rPr>
                <w:color w:val="000000"/>
                <w:sz w:val="20"/>
                <w:szCs w:val="20"/>
                <w:lang w:val="es-ES"/>
              </w:rPr>
            </w:pPr>
            <w:r w:rsidRPr="006B5C00">
              <w:rPr>
                <w:color w:val="000000"/>
                <w:sz w:val="20"/>
                <w:szCs w:val="20"/>
                <w:lang w:val="es-ES"/>
              </w:rPr>
              <w:t>Informes Anuales del Ministerio de Comercio e Industria (MICI).</w:t>
            </w:r>
          </w:p>
        </w:tc>
        <w:tc>
          <w:tcPr>
            <w:tcW w:w="1453" w:type="dxa"/>
            <w:vMerge/>
            <w:shd w:val="clear" w:color="auto" w:fill="auto"/>
          </w:tcPr>
          <w:p w:rsidR="001933FE" w:rsidRPr="002D1B02" w:rsidRDefault="001933FE" w:rsidP="00833622">
            <w:pPr>
              <w:contextualSpacing/>
              <w:rPr>
                <w:color w:val="000000"/>
                <w:sz w:val="20"/>
                <w:szCs w:val="20"/>
                <w:lang w:val="es-ES"/>
              </w:rPr>
            </w:pPr>
          </w:p>
        </w:tc>
      </w:tr>
      <w:tr w:rsidR="001933FE" w:rsidRPr="002D1B02" w:rsidTr="001933FE">
        <w:trPr>
          <w:trHeight w:hRule="exact" w:val="982"/>
          <w:jc w:val="center"/>
        </w:trPr>
        <w:tc>
          <w:tcPr>
            <w:tcW w:w="3214" w:type="dxa"/>
            <w:vAlign w:val="center"/>
          </w:tcPr>
          <w:p w:rsidR="001933FE" w:rsidRPr="002D1B02" w:rsidRDefault="001933FE" w:rsidP="00B558D6">
            <w:pPr>
              <w:ind w:hanging="18"/>
              <w:rPr>
                <w:sz w:val="20"/>
                <w:szCs w:val="20"/>
                <w:lang w:val="es-ES"/>
              </w:rPr>
            </w:pPr>
            <w:r>
              <w:rPr>
                <w:color w:val="000000"/>
                <w:sz w:val="20"/>
                <w:szCs w:val="20"/>
                <w:lang w:val="es-ES"/>
              </w:rPr>
              <w:t>5</w:t>
            </w:r>
            <w:r w:rsidRPr="002D1B02">
              <w:rPr>
                <w:color w:val="000000"/>
                <w:sz w:val="20"/>
                <w:szCs w:val="20"/>
                <w:lang w:val="es-ES"/>
              </w:rPr>
              <w:t xml:space="preserve">. </w:t>
            </w:r>
            <w:r w:rsidR="006B5C00" w:rsidRPr="006B5C00">
              <w:rPr>
                <w:color w:val="000000"/>
                <w:sz w:val="20"/>
                <w:szCs w:val="20"/>
                <w:lang w:val="es-ES"/>
              </w:rPr>
              <w:t>Perfiles ocupacionales en disciplinas de logística  que cuentan con oferta de cursos o certificaciones (universitarias, vocacionales o cursos cortos)</w:t>
            </w:r>
          </w:p>
          <w:p w:rsidR="001933FE" w:rsidRPr="002D1B02" w:rsidRDefault="001933FE" w:rsidP="00B558D6">
            <w:pPr>
              <w:spacing w:before="60" w:after="60"/>
              <w:rPr>
                <w:lang w:val="es-ES"/>
              </w:rPr>
            </w:pPr>
          </w:p>
        </w:tc>
        <w:tc>
          <w:tcPr>
            <w:tcW w:w="955" w:type="dxa"/>
            <w:vAlign w:val="center"/>
          </w:tcPr>
          <w:p w:rsidR="001933FE" w:rsidRPr="00A147A9" w:rsidRDefault="006B5C00" w:rsidP="006B5C00">
            <w:pPr>
              <w:jc w:val="center"/>
              <w:rPr>
                <w:sz w:val="20"/>
                <w:szCs w:val="20"/>
                <w:lang w:val="es-ES"/>
              </w:rPr>
            </w:pPr>
            <w:r w:rsidRPr="00A147A9">
              <w:rPr>
                <w:sz w:val="20"/>
                <w:szCs w:val="20"/>
                <w:lang w:val="es-ES"/>
              </w:rPr>
              <w:t>29</w:t>
            </w:r>
            <w:r w:rsidRPr="00A147A9">
              <w:rPr>
                <w:sz w:val="20"/>
                <w:szCs w:val="20"/>
                <w:vertAlign w:val="superscript"/>
                <w:lang w:val="es-ES"/>
              </w:rPr>
              <w:footnoteReference w:id="3"/>
            </w:r>
          </w:p>
        </w:tc>
        <w:tc>
          <w:tcPr>
            <w:tcW w:w="956" w:type="dxa"/>
            <w:vAlign w:val="center"/>
          </w:tcPr>
          <w:p w:rsidR="001933FE" w:rsidRPr="00A147A9" w:rsidRDefault="006B5C00" w:rsidP="006B5C00">
            <w:pPr>
              <w:jc w:val="center"/>
              <w:rPr>
                <w:sz w:val="20"/>
                <w:szCs w:val="20"/>
                <w:lang w:val="es-ES"/>
              </w:rPr>
            </w:pPr>
            <w:r w:rsidRPr="00A147A9">
              <w:rPr>
                <w:sz w:val="20"/>
                <w:szCs w:val="20"/>
                <w:lang w:val="es-ES"/>
              </w:rPr>
              <w:t>42</w:t>
            </w:r>
          </w:p>
        </w:tc>
        <w:tc>
          <w:tcPr>
            <w:tcW w:w="2610" w:type="dxa"/>
            <w:vAlign w:val="center"/>
          </w:tcPr>
          <w:p w:rsidR="001933FE" w:rsidRPr="002D1B02" w:rsidRDefault="001933FE" w:rsidP="00833622">
            <w:pPr>
              <w:spacing w:before="60" w:after="60"/>
              <w:jc w:val="both"/>
              <w:rPr>
                <w:color w:val="000000"/>
                <w:sz w:val="20"/>
                <w:szCs w:val="20"/>
                <w:lang w:val="es-ES"/>
              </w:rPr>
            </w:pPr>
            <w:r w:rsidRPr="002D1B02">
              <w:rPr>
                <w:color w:val="000000"/>
                <w:sz w:val="20"/>
                <w:szCs w:val="20"/>
                <w:lang w:val="es-ES"/>
              </w:rPr>
              <w:t>Informe del observatorio regional de logística Mesoamérica</w:t>
            </w:r>
          </w:p>
          <w:p w:rsidR="001933FE" w:rsidRPr="002D1B02" w:rsidRDefault="001933FE" w:rsidP="00833622">
            <w:pPr>
              <w:contextualSpacing/>
              <w:jc w:val="both"/>
              <w:rPr>
                <w:color w:val="000000"/>
                <w:sz w:val="20"/>
                <w:szCs w:val="20"/>
                <w:lang w:val="es-ES"/>
              </w:rPr>
            </w:pPr>
          </w:p>
        </w:tc>
        <w:tc>
          <w:tcPr>
            <w:tcW w:w="1453" w:type="dxa"/>
            <w:vMerge/>
            <w:shd w:val="clear" w:color="auto" w:fill="auto"/>
          </w:tcPr>
          <w:p w:rsidR="001933FE" w:rsidRPr="002D1B02" w:rsidRDefault="001933FE" w:rsidP="00833622">
            <w:pPr>
              <w:spacing w:before="60" w:after="60"/>
              <w:jc w:val="both"/>
              <w:rPr>
                <w:color w:val="000000"/>
                <w:sz w:val="20"/>
                <w:szCs w:val="20"/>
                <w:lang w:val="es-ES"/>
              </w:rPr>
            </w:pPr>
          </w:p>
        </w:tc>
      </w:tr>
    </w:tbl>
    <w:p w:rsidR="00406EA6" w:rsidRPr="00B558D6" w:rsidRDefault="00B558D6" w:rsidP="009F6685">
      <w:pPr>
        <w:pStyle w:val="Paragraph"/>
        <w:widowControl w:val="0"/>
        <w:numPr>
          <w:ilvl w:val="0"/>
          <w:numId w:val="8"/>
        </w:numPr>
        <w:ind w:left="0" w:firstLine="0"/>
        <w:rPr>
          <w:szCs w:val="24"/>
          <w:lang w:val="es-ES"/>
        </w:rPr>
      </w:pPr>
      <w:r w:rsidRPr="00B558D6">
        <w:rPr>
          <w:b/>
          <w:szCs w:val="24"/>
          <w:lang w:val="es-ES"/>
        </w:rPr>
        <w:t xml:space="preserve">Metodología de Evaluación. </w:t>
      </w:r>
      <w:r w:rsidRPr="00B558D6">
        <w:rPr>
          <w:szCs w:val="24"/>
          <w:lang w:val="es-ES"/>
        </w:rPr>
        <w:t>La</w:t>
      </w:r>
      <w:r w:rsidR="00466834">
        <w:rPr>
          <w:szCs w:val="24"/>
          <w:lang w:val="es-ES"/>
        </w:rPr>
        <w:t>s</w:t>
      </w:r>
      <w:r w:rsidRPr="00B558D6">
        <w:rPr>
          <w:szCs w:val="24"/>
          <w:lang w:val="es-ES"/>
        </w:rPr>
        <w:t xml:space="preserve"> metodología</w:t>
      </w:r>
      <w:r w:rsidR="00466834">
        <w:rPr>
          <w:szCs w:val="24"/>
          <w:lang w:val="es-ES"/>
        </w:rPr>
        <w:t>s</w:t>
      </w:r>
      <w:r w:rsidRPr="00B558D6">
        <w:rPr>
          <w:szCs w:val="24"/>
          <w:lang w:val="es-ES"/>
        </w:rPr>
        <w:t xml:space="preserve"> propuesta</w:t>
      </w:r>
      <w:r w:rsidR="00466834">
        <w:rPr>
          <w:szCs w:val="24"/>
          <w:lang w:val="es-ES"/>
        </w:rPr>
        <w:t>s</w:t>
      </w:r>
      <w:r w:rsidRPr="00B558D6">
        <w:rPr>
          <w:szCs w:val="24"/>
          <w:lang w:val="es-ES"/>
        </w:rPr>
        <w:t xml:space="preserve"> consiste</w:t>
      </w:r>
      <w:r w:rsidR="00466834">
        <w:rPr>
          <w:szCs w:val="24"/>
          <w:lang w:val="es-ES"/>
        </w:rPr>
        <w:t>n</w:t>
      </w:r>
      <w:r w:rsidRPr="00B558D6">
        <w:rPr>
          <w:szCs w:val="24"/>
          <w:lang w:val="es-ES"/>
        </w:rPr>
        <w:t xml:space="preserve"> en</w:t>
      </w:r>
      <w:r w:rsidR="00466834">
        <w:rPr>
          <w:szCs w:val="24"/>
          <w:lang w:val="es-ES"/>
        </w:rPr>
        <w:t>: i)</w:t>
      </w:r>
      <w:r w:rsidRPr="00B558D6">
        <w:rPr>
          <w:szCs w:val="24"/>
          <w:lang w:val="es-ES"/>
        </w:rPr>
        <w:t xml:space="preserve"> </w:t>
      </w:r>
      <w:r w:rsidR="00466834">
        <w:rPr>
          <w:szCs w:val="24"/>
          <w:lang w:val="es-ES"/>
        </w:rPr>
        <w:t>U</w:t>
      </w:r>
      <w:r w:rsidRPr="00B558D6">
        <w:rPr>
          <w:szCs w:val="24"/>
          <w:lang w:val="es-ES"/>
        </w:rPr>
        <w:t xml:space="preserve">na Evaluación de Impacto </w:t>
      </w:r>
      <w:proofErr w:type="spellStart"/>
      <w:r w:rsidRPr="00B558D6">
        <w:rPr>
          <w:szCs w:val="24"/>
          <w:lang w:val="es-ES"/>
        </w:rPr>
        <w:t>semi</w:t>
      </w:r>
      <w:proofErr w:type="spellEnd"/>
      <w:r w:rsidRPr="00B558D6">
        <w:rPr>
          <w:szCs w:val="24"/>
          <w:lang w:val="es-ES"/>
        </w:rPr>
        <w:t>-experimental, de la forma de control sint</w:t>
      </w:r>
      <w:r w:rsidR="00466834">
        <w:rPr>
          <w:szCs w:val="24"/>
          <w:lang w:val="es-ES"/>
        </w:rPr>
        <w:t xml:space="preserve">ético; ii) </w:t>
      </w:r>
      <w:r w:rsidR="001417F1">
        <w:rPr>
          <w:szCs w:val="24"/>
          <w:lang w:val="es-ES"/>
        </w:rPr>
        <w:t>Un a</w:t>
      </w:r>
      <w:r w:rsidR="00466834">
        <w:rPr>
          <w:szCs w:val="24"/>
          <w:lang w:val="es-ES"/>
        </w:rPr>
        <w:t>nálisis de atribución a partir de indicadores de resultado clave; y iii) U</w:t>
      </w:r>
      <w:r w:rsidRPr="00B558D6">
        <w:rPr>
          <w:szCs w:val="24"/>
          <w:lang w:val="es-ES"/>
        </w:rPr>
        <w:t>n antes – después para medir el alcance de los resultados.</w:t>
      </w:r>
    </w:p>
    <w:p w:rsidR="00EC58FE" w:rsidRPr="008A02B3" w:rsidRDefault="001417F1" w:rsidP="00EC58FE">
      <w:pPr>
        <w:pStyle w:val="Paragraph"/>
        <w:numPr>
          <w:ilvl w:val="1"/>
          <w:numId w:val="10"/>
        </w:numPr>
        <w:spacing w:before="100" w:after="100"/>
        <w:ind w:left="450" w:hanging="450"/>
        <w:rPr>
          <w:lang w:val="es-ES"/>
        </w:rPr>
      </w:pPr>
      <w:r>
        <w:rPr>
          <w:b/>
          <w:color w:val="000000"/>
          <w:lang w:val="es-ES"/>
        </w:rPr>
        <w:t>Evaluación de Impacto.</w:t>
      </w:r>
      <w:r w:rsidR="00EC58FE">
        <w:rPr>
          <w:b/>
          <w:color w:val="000000"/>
          <w:lang w:val="es-ES"/>
        </w:rPr>
        <w:t xml:space="preserve"> </w:t>
      </w:r>
      <w:r w:rsidR="00EC58FE" w:rsidRPr="008A02B3">
        <w:rPr>
          <w:color w:val="000000"/>
          <w:lang w:val="es-ES"/>
        </w:rPr>
        <w:t xml:space="preserve">Se </w:t>
      </w:r>
      <w:r w:rsidR="00EC58FE">
        <w:rPr>
          <w:color w:val="000000"/>
          <w:lang w:val="es-ES"/>
        </w:rPr>
        <w:t xml:space="preserve">propone un </w:t>
      </w:r>
      <w:r w:rsidR="00EC58FE" w:rsidRPr="008A02B3">
        <w:rPr>
          <w:color w:val="000000"/>
          <w:lang w:val="es-ES"/>
        </w:rPr>
        <w:t xml:space="preserve">análisis de impacto con el método de control sintético, que tiene como objetivo </w:t>
      </w:r>
      <w:r w:rsidR="00EC58FE">
        <w:rPr>
          <w:color w:val="000000"/>
          <w:lang w:val="es-ES"/>
        </w:rPr>
        <w:t xml:space="preserve">el </w:t>
      </w:r>
      <w:r w:rsidR="00EC58FE" w:rsidRPr="00223CBC">
        <w:rPr>
          <w:color w:val="000000"/>
          <w:lang w:val="es-ES"/>
        </w:rPr>
        <w:t>verificar el impacto de las acciones de política implementadas por el Gobierno de Panamá tres años después de la implementación de</w:t>
      </w:r>
      <w:r>
        <w:rPr>
          <w:color w:val="000000"/>
          <w:lang w:val="es-ES"/>
        </w:rPr>
        <w:t xml:space="preserve"> </w:t>
      </w:r>
      <w:r w:rsidR="00EC58FE">
        <w:rPr>
          <w:color w:val="000000"/>
          <w:lang w:val="es-ES"/>
        </w:rPr>
        <w:t>l</w:t>
      </w:r>
      <w:r>
        <w:rPr>
          <w:color w:val="000000"/>
          <w:lang w:val="es-ES"/>
        </w:rPr>
        <w:t xml:space="preserve">a tercera fase </w:t>
      </w:r>
      <w:r w:rsidR="009F7F76">
        <w:rPr>
          <w:color w:val="000000"/>
          <w:lang w:val="es-ES"/>
        </w:rPr>
        <w:t>del Programático</w:t>
      </w:r>
      <w:r w:rsidR="00EC58FE" w:rsidRPr="00223CBC">
        <w:rPr>
          <w:color w:val="000000"/>
          <w:lang w:val="es-ES"/>
        </w:rPr>
        <w:t>, el cual está orientado al fortalecimiento del sector de logística</w:t>
      </w:r>
      <w:r w:rsidR="00EC58FE">
        <w:rPr>
          <w:color w:val="000000"/>
          <w:lang w:val="es-ES"/>
        </w:rPr>
        <w:t xml:space="preserve"> (para ver mayor detalle de la metodología y el cálculo </w:t>
      </w:r>
      <w:r w:rsidR="00EC58FE">
        <w:rPr>
          <w:color w:val="000000"/>
          <w:lang w:val="es-ES"/>
        </w:rPr>
        <w:fldChar w:fldCharType="begin"/>
      </w:r>
      <w:r w:rsidR="00EC58FE">
        <w:rPr>
          <w:color w:val="000000"/>
          <w:lang w:val="es-ES"/>
        </w:rPr>
        <w:instrText xml:space="preserve"> REF _Ref442274218 \h </w:instrText>
      </w:r>
      <w:r w:rsidR="00EC58FE">
        <w:rPr>
          <w:color w:val="000000"/>
          <w:lang w:val="es-ES"/>
        </w:rPr>
      </w:r>
      <w:r w:rsidR="00EC58FE">
        <w:rPr>
          <w:color w:val="000000"/>
          <w:lang w:val="es-ES"/>
        </w:rPr>
        <w:fldChar w:fldCharType="separate"/>
      </w:r>
      <w:r w:rsidR="00EC58FE">
        <w:rPr>
          <w:b/>
          <w:color w:val="000000"/>
          <w:lang w:val="es-ES"/>
        </w:rPr>
        <w:t>ver Anex</w:t>
      </w:r>
      <w:r w:rsidR="00EC58FE" w:rsidRPr="009D1982">
        <w:rPr>
          <w:b/>
          <w:color w:val="000000"/>
          <w:lang w:val="es-ES"/>
        </w:rPr>
        <w:t>o</w:t>
      </w:r>
      <w:r w:rsidR="00EC58FE">
        <w:rPr>
          <w:color w:val="000000"/>
          <w:lang w:val="es-ES"/>
        </w:rPr>
        <w:fldChar w:fldCharType="end"/>
      </w:r>
      <w:r w:rsidR="00EC58FE">
        <w:rPr>
          <w:color w:val="000000"/>
          <w:lang w:val="es-ES"/>
        </w:rPr>
        <w:t xml:space="preserve"> I)</w:t>
      </w:r>
      <w:r w:rsidR="00EC58FE" w:rsidRPr="00426750">
        <w:rPr>
          <w:color w:val="000000"/>
          <w:lang w:val="es-ES"/>
        </w:rPr>
        <w:t>.</w:t>
      </w:r>
    </w:p>
    <w:p w:rsidR="00F25C3F" w:rsidRDefault="00EC58FE" w:rsidP="001E63CD">
      <w:pPr>
        <w:pStyle w:val="Paragraph"/>
        <w:numPr>
          <w:ilvl w:val="1"/>
          <w:numId w:val="10"/>
        </w:numPr>
        <w:spacing w:before="100" w:after="100"/>
        <w:ind w:left="450" w:hanging="450"/>
        <w:rPr>
          <w:color w:val="000000"/>
          <w:lang w:val="es-ES"/>
        </w:rPr>
      </w:pPr>
      <w:r w:rsidRPr="009F7F76">
        <w:rPr>
          <w:color w:val="000000"/>
          <w:lang w:val="es-ES"/>
        </w:rPr>
        <w:t xml:space="preserve"> </w:t>
      </w:r>
      <w:r w:rsidR="00466834" w:rsidRPr="00F25C3F">
        <w:rPr>
          <w:b/>
          <w:color w:val="000000"/>
          <w:lang w:val="es-ES"/>
        </w:rPr>
        <w:t xml:space="preserve">El análisis de </w:t>
      </w:r>
      <w:r w:rsidRPr="00F25C3F">
        <w:rPr>
          <w:b/>
          <w:color w:val="000000"/>
          <w:lang w:val="es-ES"/>
        </w:rPr>
        <w:t>atribuciones</w:t>
      </w:r>
      <w:r w:rsidRPr="00F25C3F">
        <w:rPr>
          <w:rStyle w:val="FootnoteReference"/>
          <w:b/>
          <w:color w:val="000000"/>
          <w:lang w:val="es-ES"/>
        </w:rPr>
        <w:footnoteReference w:id="4"/>
      </w:r>
      <w:r w:rsidR="009F7F76" w:rsidRPr="00F25C3F">
        <w:rPr>
          <w:b/>
          <w:color w:val="000000"/>
          <w:lang w:val="es-ES"/>
        </w:rPr>
        <w:t>.</w:t>
      </w:r>
      <w:r w:rsidR="009F7F76" w:rsidRPr="009F7F76">
        <w:rPr>
          <w:color w:val="000000"/>
          <w:lang w:val="es-ES"/>
        </w:rPr>
        <w:t xml:space="preserve"> D</w:t>
      </w:r>
      <w:r w:rsidRPr="009F7F76">
        <w:rPr>
          <w:color w:val="000000"/>
          <w:lang w:val="es-ES"/>
        </w:rPr>
        <w:t xml:space="preserve">espués de concluida la evaluación ex–post, </w:t>
      </w:r>
      <w:r w:rsidR="00466834" w:rsidRPr="009F7F76">
        <w:rPr>
          <w:color w:val="000000"/>
          <w:lang w:val="es-ES"/>
        </w:rPr>
        <w:t xml:space="preserve">se propone conducir a través de la </w:t>
      </w:r>
      <w:r w:rsidRPr="009F7F76">
        <w:rPr>
          <w:color w:val="000000"/>
          <w:lang w:val="es-ES"/>
        </w:rPr>
        <w:t>comparación de la performance de: (i) los indicadores de control; y (ii) de los indicadores de la matriz de resultados con la variable de interés de la evaluación, con la finalidad de identificar con mejor precisión los efectos de las intervenciones del programa en los indicadores utilizados, posibles causalidades, así como sus inter-relaciones</w:t>
      </w:r>
      <w:r w:rsidR="009F7F76" w:rsidRPr="009F7F76">
        <w:rPr>
          <w:color w:val="000000"/>
          <w:lang w:val="es-ES"/>
        </w:rPr>
        <w:t xml:space="preserve">, a través de la </w:t>
      </w:r>
      <w:r w:rsidR="00F25C3F" w:rsidRPr="00F25C3F">
        <w:rPr>
          <w:color w:val="000000"/>
          <w:lang w:val="es-ES"/>
        </w:rPr>
        <w:t>c</w:t>
      </w:r>
      <w:r w:rsidRPr="00F25C3F">
        <w:rPr>
          <w:color w:val="000000"/>
          <w:lang w:val="es-ES"/>
        </w:rPr>
        <w:t>omparación de la performance de los indicadores del programa con la variable de interés</w:t>
      </w:r>
      <w:r w:rsidRPr="009F7F76">
        <w:rPr>
          <w:color w:val="000000"/>
          <w:lang w:val="es-ES"/>
        </w:rPr>
        <w:t xml:space="preserve">. </w:t>
      </w:r>
    </w:p>
    <w:p w:rsidR="00EC58FE" w:rsidRPr="009F7F76" w:rsidRDefault="00EC58FE" w:rsidP="001E63CD">
      <w:pPr>
        <w:pStyle w:val="Paragraph"/>
        <w:numPr>
          <w:ilvl w:val="1"/>
          <w:numId w:val="10"/>
        </w:numPr>
        <w:spacing w:before="100" w:after="100"/>
        <w:ind w:left="450" w:hanging="450"/>
        <w:rPr>
          <w:color w:val="000000"/>
          <w:lang w:val="es-ES"/>
        </w:rPr>
      </w:pPr>
      <w:r w:rsidRPr="009F7F76">
        <w:rPr>
          <w:color w:val="000000"/>
          <w:lang w:val="es-ES"/>
        </w:rPr>
        <w:lastRenderedPageBreak/>
        <w:t xml:space="preserve">Se recomienda preparar una tabla con los 17 indicadores de controle utilizados en la evaluación de impacto, además de los indicadores contemplados en la matriz de resultados, incluyendo sus líneas de base (2014) y sus valores en la ocasión de la medición. Calcular los porcentajes de evolución (aumento/disminución) de estos indicadores y compararlos con el porcentaje de evolución presentado por la variable de interés. En caso se encuentre grandes discrepancias en la relación de la performance de estos indicadores con la variable de interés, se deberá proceder a un análisis detallado de lo ocurrido, verificando caso a caso los indicadores con performance diferenciadas. Las conclusiones de este análisis servirán de importante insumo para la toma de decisiones en el sector logístico, a partir del conocimiento con más seguridad de la inter-relación entre indicadores, las causalidades que puedan tener ocurrido, así como ayudará a mejorar los insumos para futuras evaluaciones en el sector. Conclusiones como conocer mejor el peso de una variable en relación a un impacto, son de extrema importancia en una evaluación; </w:t>
      </w:r>
    </w:p>
    <w:p w:rsidR="007745D7" w:rsidRPr="001417F1" w:rsidRDefault="001417F1" w:rsidP="00B558D6">
      <w:pPr>
        <w:pStyle w:val="Paragraph"/>
        <w:numPr>
          <w:ilvl w:val="1"/>
          <w:numId w:val="10"/>
        </w:numPr>
        <w:spacing w:before="100" w:after="100"/>
        <w:ind w:left="450" w:hanging="450"/>
        <w:rPr>
          <w:b/>
          <w:szCs w:val="24"/>
          <w:lang w:val="es-ES"/>
        </w:rPr>
      </w:pPr>
      <w:r w:rsidRPr="001417F1">
        <w:rPr>
          <w:b/>
          <w:szCs w:val="24"/>
          <w:lang w:val="es-ES"/>
        </w:rPr>
        <w:t>Método</w:t>
      </w:r>
      <w:r>
        <w:rPr>
          <w:b/>
          <w:szCs w:val="24"/>
          <w:lang w:val="es-ES"/>
        </w:rPr>
        <w:t xml:space="preserve"> antes – </w:t>
      </w:r>
      <w:r w:rsidR="00CB609D">
        <w:rPr>
          <w:b/>
          <w:szCs w:val="24"/>
          <w:lang w:val="es-ES"/>
        </w:rPr>
        <w:t>después</w:t>
      </w:r>
      <w:r>
        <w:rPr>
          <w:b/>
          <w:szCs w:val="24"/>
          <w:lang w:val="es-ES"/>
        </w:rPr>
        <w:t xml:space="preserve">. </w:t>
      </w:r>
      <w:r>
        <w:rPr>
          <w:szCs w:val="24"/>
          <w:lang w:val="es-ES"/>
        </w:rPr>
        <w:t xml:space="preserve">Para definir si los resultados se han alcanzado, se realizara una medición antes – </w:t>
      </w:r>
      <w:r w:rsidR="00CB609D">
        <w:rPr>
          <w:szCs w:val="24"/>
          <w:lang w:val="es-ES"/>
        </w:rPr>
        <w:t>después</w:t>
      </w:r>
      <w:r>
        <w:rPr>
          <w:szCs w:val="24"/>
          <w:lang w:val="es-ES"/>
        </w:rPr>
        <w:t>, en función a los indicadores de impacto y resultado establecidos en la matriz</w:t>
      </w:r>
      <w:r>
        <w:rPr>
          <w:b/>
          <w:szCs w:val="24"/>
          <w:lang w:val="es-ES"/>
        </w:rPr>
        <w:t xml:space="preserve">, y </w:t>
      </w:r>
      <w:r w:rsidRPr="001417F1">
        <w:rPr>
          <w:szCs w:val="24"/>
          <w:lang w:val="es-ES"/>
        </w:rPr>
        <w:t>que se detallan a con</w:t>
      </w:r>
      <w:r>
        <w:rPr>
          <w:szCs w:val="24"/>
          <w:lang w:val="es-ES"/>
        </w:rPr>
        <w:t>tinuación.</w:t>
      </w:r>
    </w:p>
    <w:tbl>
      <w:tblPr>
        <w:tblStyle w:val="TableGrid"/>
        <w:tblW w:w="9180" w:type="dxa"/>
        <w:tblInd w:w="-162" w:type="dxa"/>
        <w:tblLook w:val="04A0" w:firstRow="1" w:lastRow="0" w:firstColumn="1" w:lastColumn="0" w:noHBand="0" w:noVBand="1"/>
      </w:tblPr>
      <w:tblGrid>
        <w:gridCol w:w="1700"/>
        <w:gridCol w:w="7480"/>
      </w:tblGrid>
      <w:tr w:rsidR="009F6685" w:rsidRPr="001E63CD" w:rsidTr="009F6685">
        <w:trPr>
          <w:trHeight w:val="368"/>
        </w:trPr>
        <w:tc>
          <w:tcPr>
            <w:tcW w:w="9180" w:type="dxa"/>
            <w:gridSpan w:val="2"/>
            <w:shd w:val="clear" w:color="auto" w:fill="BFBFBF" w:themeFill="background1" w:themeFillShade="BF"/>
          </w:tcPr>
          <w:p w:rsidR="009F6685" w:rsidRPr="00C92DE3" w:rsidRDefault="00B558D6" w:rsidP="009F6685">
            <w:pPr>
              <w:pStyle w:val="Paragraph"/>
              <w:widowControl w:val="0"/>
              <w:tabs>
                <w:tab w:val="clear" w:pos="1440"/>
              </w:tabs>
              <w:ind w:left="0" w:firstLine="0"/>
              <w:jc w:val="center"/>
              <w:rPr>
                <w:b/>
                <w:sz w:val="20"/>
                <w:lang w:val="es-ES"/>
              </w:rPr>
            </w:pPr>
            <w:r>
              <w:rPr>
                <w:b/>
                <w:sz w:val="20"/>
                <w:lang w:val="es-ES"/>
              </w:rPr>
              <w:t xml:space="preserve">Tabla 3. </w:t>
            </w:r>
            <w:r w:rsidR="009F6685" w:rsidRPr="00C92DE3">
              <w:rPr>
                <w:b/>
                <w:sz w:val="20"/>
                <w:lang w:val="es-ES"/>
              </w:rPr>
              <w:t>Descripción / Cálculo / Línea de base / Monitoreo de los Impactos y Resultados</w:t>
            </w:r>
          </w:p>
        </w:tc>
      </w:tr>
      <w:tr w:rsidR="009F6685" w:rsidRPr="001E63CD" w:rsidTr="00B558D6">
        <w:trPr>
          <w:trHeight w:val="1790"/>
        </w:trPr>
        <w:tc>
          <w:tcPr>
            <w:tcW w:w="1700" w:type="dxa"/>
            <w:vMerge w:val="restart"/>
          </w:tcPr>
          <w:p w:rsidR="009F6685" w:rsidRPr="009F6685" w:rsidRDefault="009F6685" w:rsidP="007745D7">
            <w:pPr>
              <w:pStyle w:val="Paragraph"/>
              <w:widowControl w:val="0"/>
              <w:tabs>
                <w:tab w:val="clear" w:pos="1440"/>
              </w:tabs>
              <w:ind w:left="0" w:firstLine="0"/>
              <w:jc w:val="left"/>
              <w:rPr>
                <w:sz w:val="20"/>
                <w:lang w:val="es-ES"/>
              </w:rPr>
            </w:pPr>
            <w:r w:rsidRPr="00A147A9">
              <w:rPr>
                <w:b/>
                <w:spacing w:val="-3"/>
                <w:sz w:val="20"/>
                <w:lang w:val="es-ES"/>
              </w:rPr>
              <w:t>Impacto 1</w:t>
            </w:r>
            <w:r w:rsidRPr="009F6685">
              <w:rPr>
                <w:spacing w:val="-3"/>
                <w:sz w:val="20"/>
                <w:lang w:val="es-ES"/>
              </w:rPr>
              <w:t xml:space="preserve">: </w:t>
            </w:r>
            <w:r w:rsidRPr="009F6685">
              <w:rPr>
                <w:sz w:val="20"/>
                <w:lang w:val="es-ES"/>
              </w:rPr>
              <w:t>Índice de Desempeño en Logística de Panamá (LPI)</w:t>
            </w:r>
          </w:p>
        </w:tc>
        <w:tc>
          <w:tcPr>
            <w:tcW w:w="7480" w:type="dxa"/>
          </w:tcPr>
          <w:p w:rsidR="009F6685" w:rsidRPr="009F6685" w:rsidRDefault="009F6685" w:rsidP="009F6685">
            <w:pPr>
              <w:pStyle w:val="Paragraph"/>
              <w:widowControl w:val="0"/>
              <w:tabs>
                <w:tab w:val="clear" w:pos="1440"/>
              </w:tabs>
              <w:ind w:left="0" w:firstLine="0"/>
              <w:rPr>
                <w:sz w:val="20"/>
                <w:lang w:val="es-ES"/>
              </w:rPr>
            </w:pPr>
            <w:r w:rsidRPr="009F6685">
              <w:rPr>
                <w:b/>
                <w:sz w:val="20"/>
                <w:lang w:val="es-ES"/>
              </w:rPr>
              <w:t>Descripción:</w:t>
            </w:r>
            <w:r w:rsidRPr="009F6685">
              <w:rPr>
                <w:sz w:val="20"/>
                <w:lang w:val="es-ES"/>
              </w:rPr>
              <w:t xml:space="preserve"> El Índice de Desempeño en Logística es una herramienta de benchmarking creada por el Banco Mundial que permite identificar los retos y oportunidades en el sector de logística en los países. El indicador consiste en medidas cualitativas y cuantitativas de desempeño de 160 países en las cadenas de valor en el sector de logística en los países. </w:t>
            </w:r>
          </w:p>
          <w:p w:rsidR="009F6685" w:rsidRPr="009F6685" w:rsidRDefault="009F6685" w:rsidP="009F6685">
            <w:pPr>
              <w:pStyle w:val="Paragraph"/>
              <w:widowControl w:val="0"/>
              <w:tabs>
                <w:tab w:val="clear" w:pos="1440"/>
              </w:tabs>
              <w:ind w:left="0" w:firstLine="0"/>
              <w:rPr>
                <w:sz w:val="20"/>
                <w:lang w:val="es-ES"/>
              </w:rPr>
            </w:pPr>
            <w:r w:rsidRPr="009F6685">
              <w:rPr>
                <w:sz w:val="20"/>
                <w:lang w:val="es-ES"/>
              </w:rPr>
              <w:t>El índice de Desempeño Logístico Internacional cualifica 160 países en seis dimensiones de comercio:</w:t>
            </w:r>
          </w:p>
          <w:p w:rsidR="009F6685" w:rsidRPr="009F6685" w:rsidRDefault="009F6685" w:rsidP="009F6685">
            <w:pPr>
              <w:pStyle w:val="Paragraph"/>
              <w:widowControl w:val="0"/>
              <w:tabs>
                <w:tab w:val="clear" w:pos="1440"/>
              </w:tabs>
              <w:ind w:left="0" w:firstLine="0"/>
              <w:rPr>
                <w:sz w:val="20"/>
                <w:lang w:val="es-ES"/>
              </w:rPr>
            </w:pPr>
            <w:r w:rsidRPr="009F6685">
              <w:rPr>
                <w:sz w:val="20"/>
                <w:lang w:val="es-ES"/>
              </w:rPr>
              <w:t>•</w:t>
            </w:r>
            <w:r w:rsidRPr="009F6685">
              <w:rPr>
                <w:sz w:val="20"/>
                <w:lang w:val="es-ES"/>
              </w:rPr>
              <w:tab/>
              <w:t xml:space="preserve">Aduanas: Eficiencia de las aduanas y gestión de despacho aduanero en las fronteras </w:t>
            </w:r>
          </w:p>
          <w:p w:rsidR="009F6685" w:rsidRPr="009F6685" w:rsidRDefault="009F6685" w:rsidP="009F6685">
            <w:pPr>
              <w:pStyle w:val="Paragraph"/>
              <w:widowControl w:val="0"/>
              <w:tabs>
                <w:tab w:val="clear" w:pos="1440"/>
              </w:tabs>
              <w:ind w:left="0" w:firstLine="0"/>
              <w:rPr>
                <w:sz w:val="20"/>
                <w:lang w:val="es-ES"/>
              </w:rPr>
            </w:pPr>
            <w:r w:rsidRPr="009F6685">
              <w:rPr>
                <w:sz w:val="20"/>
                <w:lang w:val="es-ES"/>
              </w:rPr>
              <w:t>•</w:t>
            </w:r>
            <w:r w:rsidRPr="009F6685">
              <w:rPr>
                <w:sz w:val="20"/>
                <w:lang w:val="es-ES"/>
              </w:rPr>
              <w:tab/>
              <w:t>Infraestructura: Calidad en infraestructura de comercio y transporte</w:t>
            </w:r>
          </w:p>
          <w:p w:rsidR="009F6685" w:rsidRPr="009F6685" w:rsidRDefault="009F6685" w:rsidP="009F6685">
            <w:pPr>
              <w:pStyle w:val="Paragraph"/>
              <w:widowControl w:val="0"/>
              <w:tabs>
                <w:tab w:val="clear" w:pos="1440"/>
              </w:tabs>
              <w:ind w:left="0" w:firstLine="0"/>
              <w:rPr>
                <w:sz w:val="20"/>
                <w:lang w:val="es-ES"/>
              </w:rPr>
            </w:pPr>
            <w:r w:rsidRPr="009F6685">
              <w:rPr>
                <w:sz w:val="20"/>
                <w:lang w:val="es-ES"/>
              </w:rPr>
              <w:t>•</w:t>
            </w:r>
            <w:r w:rsidRPr="009F6685">
              <w:rPr>
                <w:sz w:val="20"/>
                <w:lang w:val="es-ES"/>
              </w:rPr>
              <w:tab/>
              <w:t xml:space="preserve"> Facilidad en envío de mercancías a precios competitivos </w:t>
            </w:r>
          </w:p>
          <w:p w:rsidR="009F6685" w:rsidRPr="009F6685" w:rsidRDefault="009F6685" w:rsidP="009F6685">
            <w:pPr>
              <w:pStyle w:val="Paragraph"/>
              <w:widowControl w:val="0"/>
              <w:tabs>
                <w:tab w:val="clear" w:pos="1440"/>
              </w:tabs>
              <w:ind w:left="0" w:firstLine="0"/>
              <w:rPr>
                <w:sz w:val="20"/>
                <w:lang w:val="es-ES"/>
              </w:rPr>
            </w:pPr>
            <w:r w:rsidRPr="009F6685">
              <w:rPr>
                <w:sz w:val="20"/>
                <w:lang w:val="es-ES"/>
              </w:rPr>
              <w:t>•</w:t>
            </w:r>
            <w:r w:rsidRPr="009F6685">
              <w:rPr>
                <w:sz w:val="20"/>
                <w:lang w:val="es-ES"/>
              </w:rPr>
              <w:tab/>
              <w:t>Calidad de los servicios logísticos: competencia y calidad de los servicios logísticos, como transporte fletado, agencias de transporte y operadores logísticos.</w:t>
            </w:r>
          </w:p>
          <w:p w:rsidR="009F6685" w:rsidRPr="009F6685" w:rsidRDefault="009F6685" w:rsidP="009F6685">
            <w:pPr>
              <w:pStyle w:val="Paragraph"/>
              <w:widowControl w:val="0"/>
              <w:tabs>
                <w:tab w:val="clear" w:pos="1440"/>
              </w:tabs>
              <w:ind w:left="0" w:firstLine="0"/>
              <w:rPr>
                <w:sz w:val="20"/>
                <w:lang w:val="es-ES"/>
              </w:rPr>
            </w:pPr>
            <w:r w:rsidRPr="009F6685">
              <w:rPr>
                <w:sz w:val="20"/>
                <w:lang w:val="es-ES"/>
              </w:rPr>
              <w:t>•</w:t>
            </w:r>
            <w:r w:rsidRPr="009F6685">
              <w:rPr>
                <w:sz w:val="20"/>
                <w:lang w:val="es-ES"/>
              </w:rPr>
              <w:tab/>
              <w:t>Rastreo y seguimiento: habilidad en rastrear y dar seguimiento a los envíos comerciales</w:t>
            </w:r>
          </w:p>
          <w:p w:rsidR="009F6685" w:rsidRPr="009F6685" w:rsidRDefault="009F6685" w:rsidP="009F6685">
            <w:pPr>
              <w:pStyle w:val="Paragraph"/>
              <w:widowControl w:val="0"/>
              <w:tabs>
                <w:tab w:val="clear" w:pos="1440"/>
              </w:tabs>
              <w:ind w:left="0" w:firstLine="0"/>
              <w:rPr>
                <w:sz w:val="20"/>
                <w:lang w:val="es-ES"/>
              </w:rPr>
            </w:pPr>
            <w:r w:rsidRPr="009F6685">
              <w:rPr>
                <w:sz w:val="20"/>
                <w:lang w:val="es-ES"/>
              </w:rPr>
              <w:t>•</w:t>
            </w:r>
            <w:r w:rsidRPr="009F6685">
              <w:rPr>
                <w:sz w:val="20"/>
                <w:lang w:val="es-ES"/>
              </w:rPr>
              <w:tab/>
              <w:t xml:space="preserve">Tiempo de transacción comercial: Frecuencia en que los envíos comerciales alcanzan sus clientes en el tiempo esperado.  </w:t>
            </w:r>
          </w:p>
          <w:p w:rsidR="009F6685" w:rsidRPr="009F6685" w:rsidRDefault="009F6685" w:rsidP="009F6685">
            <w:pPr>
              <w:pStyle w:val="Paragraph"/>
              <w:widowControl w:val="0"/>
              <w:tabs>
                <w:tab w:val="clear" w:pos="1440"/>
              </w:tabs>
              <w:ind w:left="0" w:firstLine="0"/>
              <w:rPr>
                <w:sz w:val="20"/>
                <w:lang w:val="es-ES"/>
              </w:rPr>
            </w:pPr>
            <w:r w:rsidRPr="009F6685">
              <w:rPr>
                <w:sz w:val="20"/>
                <w:lang w:val="es-ES"/>
              </w:rPr>
              <w:t>Atendiendo las reformas de sistematización de los procesos de comercio exterior, implantación de la ventanilla única, de planificación de las obras de infraestructura logística y homologación de los acuerdos intrarregionales en facilitación comercial, el país contribuirá para la reducción de los tiempos de los despachos aduaneros, para la gestión aduanera en fronteras y para la mejora de la infraestructura de logística, impactando, por lo tanto, en la mejora del desempeño logístico de Panamá.</w:t>
            </w:r>
          </w:p>
        </w:tc>
      </w:tr>
      <w:tr w:rsidR="009F6685" w:rsidRPr="009F6685" w:rsidTr="00B558D6">
        <w:trPr>
          <w:trHeight w:val="322"/>
        </w:trPr>
        <w:tc>
          <w:tcPr>
            <w:tcW w:w="1700" w:type="dxa"/>
            <w:vMerge/>
          </w:tcPr>
          <w:p w:rsidR="009F6685" w:rsidRPr="009F6685" w:rsidRDefault="009F6685" w:rsidP="006B5C00">
            <w:pPr>
              <w:pStyle w:val="Paragraph"/>
              <w:widowControl w:val="0"/>
              <w:tabs>
                <w:tab w:val="clear" w:pos="1440"/>
              </w:tabs>
              <w:ind w:left="0" w:firstLine="0"/>
              <w:rPr>
                <w:spacing w:val="-3"/>
                <w:sz w:val="20"/>
                <w:lang w:val="es-ES"/>
              </w:rPr>
            </w:pPr>
          </w:p>
        </w:tc>
        <w:tc>
          <w:tcPr>
            <w:tcW w:w="7480" w:type="dxa"/>
          </w:tcPr>
          <w:p w:rsidR="009F6685" w:rsidRPr="009F6685" w:rsidRDefault="009F6685" w:rsidP="009F6685">
            <w:pPr>
              <w:pStyle w:val="Paragraph"/>
              <w:widowControl w:val="0"/>
              <w:tabs>
                <w:tab w:val="clear" w:pos="1440"/>
              </w:tabs>
              <w:ind w:left="0" w:firstLine="0"/>
              <w:rPr>
                <w:sz w:val="20"/>
                <w:lang w:val="es-ES"/>
              </w:rPr>
            </w:pPr>
            <w:r w:rsidRPr="009F6685">
              <w:rPr>
                <w:b/>
                <w:sz w:val="20"/>
                <w:lang w:val="es-ES"/>
              </w:rPr>
              <w:t>Metodología de Cálculo:</w:t>
            </w:r>
            <w:r w:rsidRPr="009F6685">
              <w:rPr>
                <w:sz w:val="20"/>
                <w:u w:val="single"/>
                <w:lang w:val="es-ES"/>
              </w:rPr>
              <w:t xml:space="preserve"> </w:t>
            </w:r>
            <w:r w:rsidRPr="009F6685">
              <w:rPr>
                <w:sz w:val="20"/>
                <w:lang w:val="es-ES"/>
              </w:rPr>
              <w:t xml:space="preserve">El Índice agregado sigue métodos estadísticos previstos por el Banco Mundial, que consolida una calificación de 1 – 5, siendo 1 nivel más bajo en el agregado de las seis categorías y 5 el más alto en el agregado de las seis categorías.  Para más informaciones, consultar </w:t>
            </w:r>
            <w:hyperlink r:id="rId10" w:history="1">
              <w:r w:rsidRPr="009F6685">
                <w:rPr>
                  <w:rStyle w:val="Hyperlink"/>
                  <w:sz w:val="20"/>
                  <w:lang w:val="es-ES"/>
                </w:rPr>
                <w:t>http://lpi.worldbank.org/</w:t>
              </w:r>
            </w:hyperlink>
            <w:r w:rsidRPr="009F6685">
              <w:rPr>
                <w:sz w:val="20"/>
                <w:lang w:val="es-ES"/>
              </w:rPr>
              <w:t>.</w:t>
            </w:r>
          </w:p>
        </w:tc>
      </w:tr>
      <w:tr w:rsidR="009F6685" w:rsidRPr="001E63CD" w:rsidTr="00B558D6">
        <w:trPr>
          <w:trHeight w:val="543"/>
        </w:trPr>
        <w:tc>
          <w:tcPr>
            <w:tcW w:w="1700" w:type="dxa"/>
            <w:vMerge/>
          </w:tcPr>
          <w:p w:rsidR="009F6685" w:rsidRPr="009F6685" w:rsidRDefault="009F6685" w:rsidP="006B5C00">
            <w:pPr>
              <w:pStyle w:val="Paragraph"/>
              <w:widowControl w:val="0"/>
              <w:tabs>
                <w:tab w:val="clear" w:pos="1440"/>
              </w:tabs>
              <w:ind w:left="0" w:firstLine="0"/>
              <w:rPr>
                <w:spacing w:val="-3"/>
                <w:sz w:val="20"/>
                <w:lang w:val="es-ES"/>
              </w:rPr>
            </w:pPr>
          </w:p>
        </w:tc>
        <w:tc>
          <w:tcPr>
            <w:tcW w:w="7480" w:type="dxa"/>
          </w:tcPr>
          <w:p w:rsidR="009F6685" w:rsidRPr="009F6685" w:rsidRDefault="009F6685" w:rsidP="006B5C00">
            <w:pPr>
              <w:pStyle w:val="Paragraph"/>
              <w:widowControl w:val="0"/>
              <w:tabs>
                <w:tab w:val="clear" w:pos="1440"/>
              </w:tabs>
              <w:ind w:left="0" w:firstLine="0"/>
              <w:rPr>
                <w:sz w:val="20"/>
                <w:lang w:val="es-ES"/>
              </w:rPr>
            </w:pPr>
            <w:r w:rsidRPr="009F6685">
              <w:rPr>
                <w:b/>
                <w:sz w:val="20"/>
                <w:lang w:val="es-ES"/>
              </w:rPr>
              <w:t>Línea de Base</w:t>
            </w:r>
            <w:r>
              <w:rPr>
                <w:sz w:val="20"/>
                <w:lang w:val="es-ES"/>
              </w:rPr>
              <w:t xml:space="preserve">: </w:t>
            </w:r>
            <w:r w:rsidRPr="009F6685">
              <w:rPr>
                <w:sz w:val="20"/>
                <w:lang w:val="es-ES"/>
              </w:rPr>
              <w:t xml:space="preserve">El índice es calculado con la periodicidad de dos años por el Banco Mundial. La Línea Base corresponde al LPI de 2014, en el </w:t>
            </w:r>
            <w:hyperlink r:id="rId11" w:history="1">
              <w:r w:rsidRPr="009F6685">
                <w:rPr>
                  <w:rStyle w:val="Hyperlink"/>
                  <w:sz w:val="20"/>
                  <w:lang w:val="es-ES"/>
                </w:rPr>
                <w:t xml:space="preserve">Reporte de Desempeño </w:t>
              </w:r>
              <w:r w:rsidRPr="009F6685">
                <w:rPr>
                  <w:rStyle w:val="Hyperlink"/>
                  <w:sz w:val="20"/>
                  <w:lang w:val="es-ES"/>
                </w:rPr>
                <w:lastRenderedPageBreak/>
                <w:t>Logístico</w:t>
              </w:r>
            </w:hyperlink>
            <w:r w:rsidRPr="009F6685">
              <w:rPr>
                <w:sz w:val="20"/>
                <w:lang w:val="es-ES"/>
              </w:rPr>
              <w:t>.</w:t>
            </w:r>
            <w:r w:rsidR="00406B8C">
              <w:rPr>
                <w:sz w:val="20"/>
                <w:lang w:val="es-ES"/>
              </w:rPr>
              <w:t xml:space="preserve"> </w:t>
            </w:r>
          </w:p>
          <w:p w:rsidR="009F6685" w:rsidRPr="009F6685" w:rsidRDefault="009F6685" w:rsidP="006B5C00">
            <w:pPr>
              <w:pStyle w:val="Paragraph"/>
              <w:widowControl w:val="0"/>
              <w:tabs>
                <w:tab w:val="clear" w:pos="1440"/>
              </w:tabs>
              <w:ind w:left="0" w:firstLine="0"/>
              <w:rPr>
                <w:sz w:val="20"/>
                <w:lang w:val="es-ES"/>
              </w:rPr>
            </w:pPr>
            <w:r w:rsidRPr="009F6685">
              <w:rPr>
                <w:sz w:val="20"/>
                <w:lang w:val="es-ES"/>
              </w:rPr>
              <w:t xml:space="preserve">Fuente:  </w:t>
            </w:r>
            <w:hyperlink r:id="rId12" w:anchor="chartarea" w:history="1">
              <w:r w:rsidRPr="009F6685">
                <w:rPr>
                  <w:rStyle w:val="Hyperlink"/>
                  <w:sz w:val="20"/>
                  <w:lang w:val="es-ES"/>
                </w:rPr>
                <w:t>http://lpi.worldbank.org/international/scorecard/radar/254/C/PAN/2014#chartarea</w:t>
              </w:r>
            </w:hyperlink>
          </w:p>
        </w:tc>
      </w:tr>
      <w:tr w:rsidR="009F6685" w:rsidRPr="001E63CD" w:rsidTr="00B558D6">
        <w:trPr>
          <w:trHeight w:val="542"/>
        </w:trPr>
        <w:tc>
          <w:tcPr>
            <w:tcW w:w="1700" w:type="dxa"/>
            <w:vMerge/>
          </w:tcPr>
          <w:p w:rsidR="009F6685" w:rsidRPr="009F6685" w:rsidRDefault="009F6685" w:rsidP="006B5C00">
            <w:pPr>
              <w:pStyle w:val="Paragraph"/>
              <w:widowControl w:val="0"/>
              <w:tabs>
                <w:tab w:val="clear" w:pos="1440"/>
              </w:tabs>
              <w:ind w:left="0" w:firstLine="0"/>
              <w:rPr>
                <w:spacing w:val="-3"/>
                <w:sz w:val="20"/>
                <w:lang w:val="es-ES"/>
              </w:rPr>
            </w:pPr>
          </w:p>
        </w:tc>
        <w:tc>
          <w:tcPr>
            <w:tcW w:w="7480" w:type="dxa"/>
          </w:tcPr>
          <w:p w:rsidR="009F6685" w:rsidRPr="00B04502" w:rsidRDefault="009F6685" w:rsidP="006B5C00">
            <w:pPr>
              <w:pStyle w:val="Paragraph"/>
              <w:widowControl w:val="0"/>
              <w:tabs>
                <w:tab w:val="clear" w:pos="1440"/>
              </w:tabs>
              <w:ind w:left="0" w:firstLine="0"/>
              <w:rPr>
                <w:sz w:val="20"/>
                <w:lang w:val="es-ES"/>
              </w:rPr>
            </w:pPr>
            <w:r w:rsidRPr="00B04502">
              <w:rPr>
                <w:b/>
                <w:sz w:val="20"/>
                <w:lang w:val="es-ES"/>
              </w:rPr>
              <w:t>Aspectos de Monitoreo y Evaluación:</w:t>
            </w:r>
            <w:r w:rsidRPr="00B04502">
              <w:rPr>
                <w:sz w:val="20"/>
                <w:lang w:val="es-ES"/>
              </w:rPr>
              <w:t xml:space="preserve"> Este indicador será evaluado por la Coordinación Logística (CL), con el insumo del Reporte del Índice del Desempeño Logístico 2020 del Banco Mundial. </w:t>
            </w:r>
          </w:p>
        </w:tc>
      </w:tr>
      <w:tr w:rsidR="009F6685" w:rsidRPr="001E63CD" w:rsidTr="00B558D6">
        <w:trPr>
          <w:trHeight w:val="111"/>
        </w:trPr>
        <w:tc>
          <w:tcPr>
            <w:tcW w:w="1700" w:type="dxa"/>
            <w:vMerge w:val="restart"/>
          </w:tcPr>
          <w:p w:rsidR="009F6685" w:rsidRPr="009F6685" w:rsidRDefault="009F6685" w:rsidP="007745D7">
            <w:pPr>
              <w:pStyle w:val="Paragraph"/>
              <w:widowControl w:val="0"/>
              <w:tabs>
                <w:tab w:val="clear" w:pos="1440"/>
              </w:tabs>
              <w:ind w:left="0" w:firstLine="0"/>
              <w:jc w:val="left"/>
              <w:rPr>
                <w:spacing w:val="-3"/>
                <w:sz w:val="20"/>
                <w:lang w:val="es-ES"/>
              </w:rPr>
            </w:pPr>
            <w:r w:rsidRPr="00A147A9">
              <w:rPr>
                <w:b/>
                <w:spacing w:val="-3"/>
                <w:sz w:val="20"/>
                <w:lang w:val="es-ES"/>
              </w:rPr>
              <w:t>Impacto 2</w:t>
            </w:r>
            <w:r w:rsidRPr="009F6685">
              <w:rPr>
                <w:spacing w:val="-3"/>
                <w:sz w:val="20"/>
                <w:lang w:val="es-ES"/>
              </w:rPr>
              <w:t>: Relación del Valor exportaciones de bienes y servicios / PIB nacional</w:t>
            </w:r>
          </w:p>
          <w:p w:rsidR="009F6685" w:rsidRPr="009F6685" w:rsidRDefault="009F6685" w:rsidP="006B5C00">
            <w:pPr>
              <w:pStyle w:val="Paragraph"/>
              <w:widowControl w:val="0"/>
              <w:tabs>
                <w:tab w:val="clear" w:pos="1440"/>
              </w:tabs>
              <w:ind w:left="0" w:firstLine="0"/>
              <w:rPr>
                <w:sz w:val="20"/>
                <w:lang w:val="es-ES"/>
              </w:rPr>
            </w:pPr>
          </w:p>
        </w:tc>
        <w:tc>
          <w:tcPr>
            <w:tcW w:w="7480" w:type="dxa"/>
          </w:tcPr>
          <w:p w:rsidR="00B04502" w:rsidRPr="00B04502" w:rsidRDefault="00B04502" w:rsidP="00B04502">
            <w:pPr>
              <w:pStyle w:val="Paragraph"/>
              <w:widowControl w:val="0"/>
              <w:tabs>
                <w:tab w:val="clear" w:pos="1440"/>
              </w:tabs>
              <w:ind w:left="0" w:firstLine="0"/>
              <w:rPr>
                <w:sz w:val="20"/>
                <w:lang w:val="es-ES"/>
              </w:rPr>
            </w:pPr>
            <w:r w:rsidRPr="00B04502">
              <w:rPr>
                <w:b/>
                <w:spacing w:val="-3"/>
                <w:sz w:val="20"/>
                <w:lang w:val="es-ES"/>
              </w:rPr>
              <w:t>Descripción:</w:t>
            </w:r>
            <w:r w:rsidRPr="00B04502">
              <w:rPr>
                <w:spacing w:val="-3"/>
                <w:sz w:val="20"/>
                <w:lang w:val="es-ES"/>
              </w:rPr>
              <w:t xml:space="preserve"> </w:t>
            </w:r>
            <w:r w:rsidRPr="00B04502">
              <w:rPr>
                <w:sz w:val="20"/>
                <w:lang w:val="es-ES"/>
              </w:rPr>
              <w:t>Las exportaciones de bienes y servicios representan el valor de todos los bienes y otros servicios de mercado prestados al resto del mundo. Incluyen el valor de las mercancías, fletes, seguros, transporte, viajes, regalías, derechos de licencia y otros servicios, tales como la comunicación, la construcción, financiero, información, negocio, personal y servicios del gobierno. Excluyen la remuneración de los empleados y los ingresos por inversiones (anteriormente denominados servicios de los factores) y los pagos de transferencia.</w:t>
            </w:r>
          </w:p>
          <w:p w:rsidR="009F6685" w:rsidRPr="00B04502" w:rsidRDefault="00B04502" w:rsidP="006B5C00">
            <w:pPr>
              <w:pStyle w:val="Paragraph"/>
              <w:widowControl w:val="0"/>
              <w:tabs>
                <w:tab w:val="clear" w:pos="1440"/>
              </w:tabs>
              <w:ind w:left="0" w:firstLine="0"/>
              <w:rPr>
                <w:sz w:val="20"/>
                <w:lang w:val="es-ES"/>
              </w:rPr>
            </w:pPr>
            <w:r w:rsidRPr="00B04502">
              <w:rPr>
                <w:color w:val="000000"/>
                <w:sz w:val="20"/>
                <w:lang w:val="es-ES"/>
              </w:rPr>
              <w:t xml:space="preserve">A partir de la implementación de: (i) La Estrategia Nacional de Logística, que contempla entre sus objetivos principales promover la expansión del uso de </w:t>
            </w:r>
            <w:proofErr w:type="spellStart"/>
            <w:r w:rsidRPr="00B04502">
              <w:rPr>
                <w:color w:val="000000"/>
                <w:sz w:val="20"/>
                <w:lang w:val="es-ES"/>
              </w:rPr>
              <w:t>hubs</w:t>
            </w:r>
            <w:proofErr w:type="spellEnd"/>
            <w:r w:rsidRPr="00B04502">
              <w:rPr>
                <w:color w:val="000000"/>
                <w:sz w:val="20"/>
                <w:lang w:val="es-ES"/>
              </w:rPr>
              <w:t xml:space="preserve"> logísticos con la introducción de servicios de valor agregado y (ii) del Plan Maestro de Transporte y logística, que promueve las inversiones en la infraestructura para la creación de los corredores de exportación, se espera un impacto en el crecimiento de las exportaciones de bienes y servicios en relación al PIB nacional. Con esto, se atenderá de forma más eficaz y eficiente la demanda logística generada por los usuarios internacionales, los sectores productivos nacionales, el consumo interno y el comercio exterior del país, creando condiciones que generen oportunidades de nuevas actividades económicas para el país, lo que también ayudará a mitigar el importante déficit en la balanza comercial que enfrenta el país.</w:t>
            </w:r>
          </w:p>
        </w:tc>
      </w:tr>
      <w:tr w:rsidR="009F6685" w:rsidRPr="001E63CD" w:rsidTr="00B558D6">
        <w:trPr>
          <w:trHeight w:val="111"/>
        </w:trPr>
        <w:tc>
          <w:tcPr>
            <w:tcW w:w="1700" w:type="dxa"/>
            <w:vMerge/>
          </w:tcPr>
          <w:p w:rsidR="009F6685" w:rsidRPr="009F6685" w:rsidRDefault="009F6685" w:rsidP="006B5C00">
            <w:pPr>
              <w:pStyle w:val="Paragraph"/>
              <w:widowControl w:val="0"/>
              <w:tabs>
                <w:tab w:val="clear" w:pos="1440"/>
              </w:tabs>
              <w:ind w:left="0" w:firstLine="0"/>
              <w:rPr>
                <w:sz w:val="20"/>
                <w:lang w:val="es-ES"/>
              </w:rPr>
            </w:pPr>
          </w:p>
        </w:tc>
        <w:tc>
          <w:tcPr>
            <w:tcW w:w="7480" w:type="dxa"/>
          </w:tcPr>
          <w:p w:rsidR="00B04502" w:rsidRPr="00B04502" w:rsidRDefault="00B04502" w:rsidP="00B04502">
            <w:pPr>
              <w:pStyle w:val="Paragraph"/>
              <w:widowControl w:val="0"/>
              <w:tabs>
                <w:tab w:val="clear" w:pos="1440"/>
              </w:tabs>
              <w:ind w:left="0" w:firstLine="0"/>
              <w:rPr>
                <w:spacing w:val="-3"/>
                <w:sz w:val="20"/>
                <w:lang w:val="es-ES"/>
              </w:rPr>
            </w:pPr>
            <w:r>
              <w:rPr>
                <w:b/>
                <w:spacing w:val="-3"/>
                <w:sz w:val="20"/>
                <w:lang w:val="es-ES"/>
              </w:rPr>
              <w:t xml:space="preserve">Metodología de Cálculo: </w:t>
            </w:r>
            <w:r w:rsidRPr="00B04502">
              <w:rPr>
                <w:spacing w:val="-3"/>
                <w:sz w:val="20"/>
                <w:lang w:val="es-ES"/>
              </w:rPr>
              <w:t>El cálculo se base en la relación entre todos los bienes y servicios de mercados y el PIB nacional por la fórmula:</w:t>
            </w:r>
          </w:p>
          <w:p w:rsidR="009F6685" w:rsidRPr="00B04502" w:rsidRDefault="00B04502" w:rsidP="006B5C00">
            <w:pPr>
              <w:pStyle w:val="Paragraph"/>
              <w:widowControl w:val="0"/>
              <w:tabs>
                <w:tab w:val="clear" w:pos="1440"/>
              </w:tabs>
              <w:ind w:left="0" w:firstLine="0"/>
              <w:rPr>
                <w:spacing w:val="-3"/>
                <w:sz w:val="20"/>
                <w:lang w:val="es-ES"/>
              </w:rPr>
            </w:pPr>
            <w:r w:rsidRPr="00B04502">
              <w:rPr>
                <w:spacing w:val="-3"/>
                <w:sz w:val="20"/>
                <w:lang w:val="es-ES"/>
              </w:rPr>
              <w:t>Valor exportaciones de bienes y servicios / PIB nacional</w:t>
            </w:r>
            <w:r>
              <w:rPr>
                <w:spacing w:val="-3"/>
                <w:sz w:val="20"/>
                <w:lang w:val="es-ES"/>
              </w:rPr>
              <w:t xml:space="preserve"> (%)</w:t>
            </w:r>
          </w:p>
        </w:tc>
      </w:tr>
      <w:tr w:rsidR="009F6685" w:rsidRPr="009F6685" w:rsidTr="00C9366B">
        <w:trPr>
          <w:trHeight w:val="260"/>
        </w:trPr>
        <w:tc>
          <w:tcPr>
            <w:tcW w:w="1700" w:type="dxa"/>
            <w:vMerge/>
          </w:tcPr>
          <w:p w:rsidR="009F6685" w:rsidRPr="009F6685" w:rsidRDefault="009F6685" w:rsidP="006B5C00">
            <w:pPr>
              <w:pStyle w:val="Paragraph"/>
              <w:widowControl w:val="0"/>
              <w:tabs>
                <w:tab w:val="clear" w:pos="1440"/>
              </w:tabs>
              <w:ind w:left="0" w:firstLine="0"/>
              <w:rPr>
                <w:sz w:val="20"/>
                <w:lang w:val="es-ES"/>
              </w:rPr>
            </w:pPr>
          </w:p>
        </w:tc>
        <w:tc>
          <w:tcPr>
            <w:tcW w:w="7480" w:type="dxa"/>
          </w:tcPr>
          <w:p w:rsidR="00B04502" w:rsidRPr="00B04502" w:rsidRDefault="00B04502" w:rsidP="00B04502">
            <w:pPr>
              <w:pStyle w:val="Paragraph"/>
              <w:widowControl w:val="0"/>
              <w:tabs>
                <w:tab w:val="clear" w:pos="1440"/>
              </w:tabs>
              <w:ind w:left="0" w:firstLine="0"/>
              <w:rPr>
                <w:b/>
                <w:spacing w:val="-3"/>
                <w:sz w:val="20"/>
                <w:lang w:val="es-ES"/>
              </w:rPr>
            </w:pPr>
            <w:r w:rsidRPr="00B04502">
              <w:rPr>
                <w:b/>
                <w:spacing w:val="-3"/>
                <w:sz w:val="20"/>
                <w:lang w:val="es-ES"/>
              </w:rPr>
              <w:t>Línea de Base</w:t>
            </w:r>
            <w:r>
              <w:rPr>
                <w:b/>
                <w:spacing w:val="-3"/>
                <w:sz w:val="20"/>
                <w:lang w:val="es-ES"/>
              </w:rPr>
              <w:t xml:space="preserve">: </w:t>
            </w:r>
            <w:r w:rsidRPr="00B04502">
              <w:rPr>
                <w:spacing w:val="-3"/>
                <w:sz w:val="20"/>
                <w:lang w:val="es-ES"/>
              </w:rPr>
              <w:t>La línea de base fue determinada por el indicador de mismo nombre compilado por el Banco Mundial (</w:t>
            </w:r>
            <w:hyperlink r:id="rId13" w:history="1">
              <w:r w:rsidRPr="00B04502">
                <w:rPr>
                  <w:spacing w:val="-3"/>
                  <w:sz w:val="20"/>
                  <w:lang w:val="es-ES"/>
                </w:rPr>
                <w:t>http://www.bancomundial.org/es/country/panama</w:t>
              </w:r>
            </w:hyperlink>
            <w:r w:rsidRPr="00B04502">
              <w:rPr>
                <w:spacing w:val="-3"/>
                <w:sz w:val="20"/>
                <w:lang w:val="es-ES"/>
              </w:rPr>
              <w:t>):</w:t>
            </w:r>
          </w:p>
          <w:p w:rsidR="00B04502" w:rsidRPr="00B04502" w:rsidRDefault="00B04502" w:rsidP="00B04502">
            <w:pPr>
              <w:pStyle w:val="Paragraph"/>
              <w:widowControl w:val="0"/>
              <w:tabs>
                <w:tab w:val="clear" w:pos="1440"/>
              </w:tabs>
              <w:ind w:left="0" w:firstLine="0"/>
              <w:rPr>
                <w:spacing w:val="-3"/>
                <w:sz w:val="20"/>
                <w:lang w:val="es-ES"/>
              </w:rPr>
            </w:pPr>
            <w:r w:rsidRPr="00B04502">
              <w:rPr>
                <w:spacing w:val="-3"/>
                <w:sz w:val="20"/>
                <w:lang w:val="es-ES"/>
              </w:rPr>
              <w:t>Valor exportaciones de bienes y servicios = US$36.87 mil millones</w:t>
            </w:r>
          </w:p>
          <w:p w:rsidR="00B04502" w:rsidRPr="00B04502" w:rsidRDefault="00B04502" w:rsidP="00B04502">
            <w:pPr>
              <w:pStyle w:val="Paragraph"/>
              <w:widowControl w:val="0"/>
              <w:tabs>
                <w:tab w:val="clear" w:pos="1440"/>
              </w:tabs>
              <w:ind w:left="0" w:firstLine="0"/>
              <w:rPr>
                <w:spacing w:val="-3"/>
                <w:sz w:val="20"/>
                <w:lang w:val="es-ES"/>
              </w:rPr>
            </w:pPr>
            <w:r w:rsidRPr="00B04502">
              <w:rPr>
                <w:spacing w:val="-3"/>
                <w:sz w:val="20"/>
                <w:lang w:val="es-ES"/>
              </w:rPr>
              <w:t>PIB nacional= US$46.21 mil millones</w:t>
            </w:r>
            <w:r w:rsidRPr="00B04502">
              <w:rPr>
                <w:spacing w:val="-3"/>
                <w:sz w:val="20"/>
                <w:lang w:val="es-ES"/>
              </w:rPr>
              <w:footnoteReference w:id="5"/>
            </w:r>
            <w:r w:rsidRPr="00B04502">
              <w:rPr>
                <w:spacing w:val="-3"/>
                <w:sz w:val="20"/>
                <w:lang w:val="es-ES"/>
              </w:rPr>
              <w:t xml:space="preserve"> </w:t>
            </w:r>
          </w:p>
          <w:p w:rsidR="009F6685" w:rsidRPr="009F6685" w:rsidRDefault="00B04502" w:rsidP="00B04502">
            <w:pPr>
              <w:pStyle w:val="Paragraph"/>
              <w:widowControl w:val="0"/>
              <w:tabs>
                <w:tab w:val="clear" w:pos="1440"/>
              </w:tabs>
              <w:ind w:left="0" w:firstLine="0"/>
              <w:rPr>
                <w:sz w:val="20"/>
                <w:lang w:val="es-ES"/>
              </w:rPr>
            </w:pPr>
            <w:r w:rsidRPr="00B04502">
              <w:rPr>
                <w:spacing w:val="-3"/>
                <w:sz w:val="20"/>
                <w:lang w:val="es-ES"/>
              </w:rPr>
              <w:t>Línea de Base = 79,79%</w:t>
            </w:r>
          </w:p>
        </w:tc>
      </w:tr>
      <w:tr w:rsidR="009F6685" w:rsidRPr="001E63CD" w:rsidTr="00B558D6">
        <w:trPr>
          <w:trHeight w:val="199"/>
        </w:trPr>
        <w:tc>
          <w:tcPr>
            <w:tcW w:w="1700" w:type="dxa"/>
            <w:vMerge/>
          </w:tcPr>
          <w:p w:rsidR="009F6685" w:rsidRPr="009F6685" w:rsidRDefault="009F6685" w:rsidP="006B5C00">
            <w:pPr>
              <w:pStyle w:val="Paragraph"/>
              <w:widowControl w:val="0"/>
              <w:tabs>
                <w:tab w:val="clear" w:pos="1440"/>
              </w:tabs>
              <w:ind w:left="0" w:firstLine="0"/>
              <w:rPr>
                <w:sz w:val="20"/>
                <w:lang w:val="es-ES"/>
              </w:rPr>
            </w:pPr>
          </w:p>
        </w:tc>
        <w:tc>
          <w:tcPr>
            <w:tcW w:w="7480" w:type="dxa"/>
          </w:tcPr>
          <w:p w:rsidR="009F6685" w:rsidRPr="009F6685" w:rsidRDefault="00B04502" w:rsidP="006B5C00">
            <w:pPr>
              <w:pStyle w:val="Paragraph"/>
              <w:widowControl w:val="0"/>
              <w:tabs>
                <w:tab w:val="clear" w:pos="1440"/>
              </w:tabs>
              <w:ind w:left="0" w:firstLine="0"/>
              <w:rPr>
                <w:sz w:val="20"/>
                <w:lang w:val="es-ES"/>
              </w:rPr>
            </w:pPr>
            <w:r w:rsidRPr="00B04502">
              <w:rPr>
                <w:b/>
                <w:sz w:val="20"/>
                <w:lang w:val="es-ES"/>
              </w:rPr>
              <w:t>Aspectos de Monitoreo y Evaluación:</w:t>
            </w:r>
            <w:r w:rsidRPr="00B04502">
              <w:rPr>
                <w:sz w:val="20"/>
                <w:lang w:val="es-ES"/>
              </w:rPr>
              <w:t xml:space="preserve"> Este indicador será evaluado por medio de un análisis de impacto de control sintético. Para información de los detalles de metodología, verificar la sección de evaluación y anexo de análisis de impacto. </w:t>
            </w:r>
          </w:p>
        </w:tc>
      </w:tr>
      <w:tr w:rsidR="00FC0EE7" w:rsidRPr="001E63CD" w:rsidTr="00B558D6">
        <w:trPr>
          <w:trHeight w:val="1619"/>
        </w:trPr>
        <w:tc>
          <w:tcPr>
            <w:tcW w:w="1700" w:type="dxa"/>
            <w:vMerge w:val="restart"/>
          </w:tcPr>
          <w:p w:rsidR="00FC0EE7" w:rsidRPr="009F6685" w:rsidRDefault="00FC0EE7" w:rsidP="007745D7">
            <w:pPr>
              <w:pStyle w:val="Paragraph"/>
              <w:widowControl w:val="0"/>
              <w:tabs>
                <w:tab w:val="clear" w:pos="1440"/>
              </w:tabs>
              <w:ind w:left="0" w:firstLine="0"/>
              <w:jc w:val="left"/>
              <w:rPr>
                <w:sz w:val="20"/>
                <w:lang w:val="es-ES"/>
              </w:rPr>
            </w:pPr>
            <w:r w:rsidRPr="00A147A9">
              <w:rPr>
                <w:b/>
                <w:spacing w:val="-3"/>
                <w:sz w:val="20"/>
                <w:lang w:val="es-ES"/>
              </w:rPr>
              <w:t xml:space="preserve">Indicador de Resultado 1: </w:t>
            </w:r>
            <w:r w:rsidR="00B00245" w:rsidRPr="00A147A9">
              <w:rPr>
                <w:spacing w:val="-3"/>
                <w:sz w:val="20"/>
                <w:lang w:val="es-ES"/>
              </w:rPr>
              <w:t xml:space="preserve">Porcentaje de la inversión </w:t>
            </w:r>
            <w:r w:rsidR="00CB609D" w:rsidRPr="00A147A9">
              <w:rPr>
                <w:spacing w:val="-3"/>
                <w:sz w:val="20"/>
                <w:lang w:val="es-ES"/>
              </w:rPr>
              <w:t>pública ejecutada</w:t>
            </w:r>
            <w:r w:rsidR="00B00245" w:rsidRPr="00A147A9">
              <w:rPr>
                <w:spacing w:val="-3"/>
                <w:sz w:val="20"/>
                <w:lang w:val="es-ES"/>
              </w:rPr>
              <w:t xml:space="preserve"> en el sector de transporte y </w:t>
            </w:r>
            <w:r w:rsidR="00B00245" w:rsidRPr="00A147A9">
              <w:rPr>
                <w:spacing w:val="-3"/>
                <w:sz w:val="20"/>
                <w:lang w:val="es-ES"/>
              </w:rPr>
              <w:lastRenderedPageBreak/>
              <w:t xml:space="preserve">logística sobre la inversión total </w:t>
            </w:r>
            <w:r w:rsidR="00CB609D" w:rsidRPr="00A147A9">
              <w:rPr>
                <w:spacing w:val="-3"/>
                <w:sz w:val="20"/>
                <w:lang w:val="es-ES"/>
              </w:rPr>
              <w:t>ejecutada en</w:t>
            </w:r>
            <w:r w:rsidR="00B00245" w:rsidRPr="00A147A9">
              <w:rPr>
                <w:spacing w:val="-3"/>
                <w:sz w:val="20"/>
                <w:lang w:val="es-ES"/>
              </w:rPr>
              <w:t xml:space="preserve"> el período 2015- 2020.</w:t>
            </w:r>
            <w:r w:rsidR="00B00245" w:rsidRPr="00A147A9">
              <w:rPr>
                <w:b/>
                <w:spacing w:val="-3"/>
                <w:sz w:val="20"/>
                <w:lang w:val="es-ES"/>
              </w:rPr>
              <w:t xml:space="preserve"> </w:t>
            </w:r>
          </w:p>
        </w:tc>
        <w:tc>
          <w:tcPr>
            <w:tcW w:w="7480" w:type="dxa"/>
          </w:tcPr>
          <w:p w:rsidR="00FC0EE7" w:rsidRPr="00FC0EE7" w:rsidRDefault="00B21909" w:rsidP="00546746">
            <w:pPr>
              <w:pStyle w:val="Paragraph"/>
              <w:widowControl w:val="0"/>
              <w:ind w:left="0" w:firstLine="0"/>
              <w:rPr>
                <w:spacing w:val="-3"/>
                <w:sz w:val="20"/>
                <w:lang w:val="es-ES"/>
              </w:rPr>
            </w:pPr>
            <w:r w:rsidRPr="00B21909">
              <w:rPr>
                <w:b/>
                <w:spacing w:val="-3"/>
                <w:sz w:val="20"/>
                <w:lang w:val="es-ES"/>
              </w:rPr>
              <w:lastRenderedPageBreak/>
              <w:t>Descripción:</w:t>
            </w:r>
            <w:r>
              <w:rPr>
                <w:spacing w:val="-3"/>
                <w:sz w:val="20"/>
                <w:lang w:val="es-ES"/>
              </w:rPr>
              <w:t xml:space="preserve"> Este indicador mide </w:t>
            </w:r>
            <w:r w:rsidR="000E583F">
              <w:rPr>
                <w:spacing w:val="-3"/>
                <w:sz w:val="20"/>
                <w:lang w:val="es-ES"/>
              </w:rPr>
              <w:t xml:space="preserve">una mejora en la </w:t>
            </w:r>
            <w:r w:rsidR="00CB609D">
              <w:rPr>
                <w:spacing w:val="-3"/>
                <w:sz w:val="20"/>
                <w:lang w:val="es-ES"/>
              </w:rPr>
              <w:t>ejecución de</w:t>
            </w:r>
            <w:r w:rsidR="000E583F">
              <w:rPr>
                <w:spacing w:val="-3"/>
                <w:sz w:val="20"/>
                <w:lang w:val="es-ES"/>
              </w:rPr>
              <w:t xml:space="preserve"> la inversión pública en el sector de transporte y logística, debido a la planificación del sector, por medio de los planes maestros de transporte y de la zona interoceánica, y de la definición de una estrategia de largo plazo para logística. La relación entre la inversión pública ejecutada en el sector en relación a la inversión pública total ejecutada aumenta, ya que la planificación identifica proyectos con presupuesto estimado, propone mecanismo de gobernanza para la implementación y abarca actividades para el fortalecimiento institucional en temas de ejecución presupuestaria. </w:t>
            </w:r>
          </w:p>
        </w:tc>
      </w:tr>
      <w:tr w:rsidR="00FC0EE7" w:rsidRPr="001E63CD" w:rsidTr="00C9366B">
        <w:trPr>
          <w:trHeight w:val="1421"/>
        </w:trPr>
        <w:tc>
          <w:tcPr>
            <w:tcW w:w="1700" w:type="dxa"/>
            <w:vMerge/>
          </w:tcPr>
          <w:p w:rsidR="00FC0EE7" w:rsidRPr="009F6685" w:rsidRDefault="00FC0EE7" w:rsidP="006B5C00">
            <w:pPr>
              <w:pStyle w:val="Paragraph"/>
              <w:widowControl w:val="0"/>
              <w:tabs>
                <w:tab w:val="clear" w:pos="1440"/>
              </w:tabs>
              <w:ind w:left="0" w:firstLine="0"/>
              <w:rPr>
                <w:sz w:val="20"/>
                <w:lang w:val="es-ES"/>
              </w:rPr>
            </w:pPr>
          </w:p>
        </w:tc>
        <w:tc>
          <w:tcPr>
            <w:tcW w:w="7480" w:type="dxa"/>
          </w:tcPr>
          <w:p w:rsidR="0057086D" w:rsidRPr="0057086D" w:rsidRDefault="0057086D" w:rsidP="0057086D">
            <w:pPr>
              <w:pStyle w:val="Paragraph"/>
              <w:widowControl w:val="0"/>
              <w:ind w:left="0" w:firstLine="0"/>
              <w:rPr>
                <w:spacing w:val="-3"/>
                <w:sz w:val="20"/>
                <w:lang w:val="es-ES"/>
              </w:rPr>
            </w:pPr>
            <w:r w:rsidRPr="0057086D">
              <w:rPr>
                <w:b/>
                <w:spacing w:val="-3"/>
                <w:sz w:val="20"/>
                <w:lang w:val="es-ES"/>
              </w:rPr>
              <w:t xml:space="preserve">Metodología de Cálculo: </w:t>
            </w:r>
            <w:r w:rsidRPr="0057086D">
              <w:rPr>
                <w:spacing w:val="-3"/>
                <w:sz w:val="20"/>
                <w:lang w:val="es-ES"/>
              </w:rPr>
              <w:t xml:space="preserve">El cálculo se base en la relación </w:t>
            </w:r>
            <w:r>
              <w:rPr>
                <w:spacing w:val="-3"/>
                <w:sz w:val="20"/>
                <w:lang w:val="es-ES"/>
              </w:rPr>
              <w:t xml:space="preserve">entre lo </w:t>
            </w:r>
            <w:r w:rsidR="00295D75">
              <w:rPr>
                <w:spacing w:val="-3"/>
                <w:sz w:val="20"/>
                <w:lang w:val="es-ES"/>
              </w:rPr>
              <w:t>que fue ejecutado en el sector de transporte y logística sobre la inversión total ejecutada en el período 2015-2020, por la fórmula:</w:t>
            </w:r>
          </w:p>
          <w:p w:rsidR="00FC0EE7" w:rsidRPr="00FC0EE7" w:rsidRDefault="00295D75" w:rsidP="0057086D">
            <w:pPr>
              <w:pStyle w:val="Paragraph"/>
              <w:widowControl w:val="0"/>
              <w:ind w:left="0" w:firstLine="0"/>
              <w:rPr>
                <w:spacing w:val="-3"/>
                <w:sz w:val="20"/>
                <w:lang w:val="es-ES"/>
              </w:rPr>
            </w:pPr>
            <w:r w:rsidRPr="00A147A9">
              <w:rPr>
                <w:spacing w:val="-3"/>
                <w:sz w:val="20"/>
                <w:lang w:val="es-ES"/>
              </w:rPr>
              <w:t>Inversión pública ejecutada en el sector de transporte y logística / inversión pública total ejecutada en el período de análisis</w:t>
            </w:r>
            <w:r>
              <w:rPr>
                <w:spacing w:val="-3"/>
                <w:sz w:val="20"/>
                <w:lang w:val="es-ES"/>
              </w:rPr>
              <w:t>.</w:t>
            </w:r>
          </w:p>
        </w:tc>
      </w:tr>
      <w:tr w:rsidR="00FC0EE7" w:rsidRPr="001E63CD" w:rsidTr="00B558D6">
        <w:trPr>
          <w:trHeight w:val="1079"/>
        </w:trPr>
        <w:tc>
          <w:tcPr>
            <w:tcW w:w="1700" w:type="dxa"/>
            <w:vMerge/>
          </w:tcPr>
          <w:p w:rsidR="00FC0EE7" w:rsidRPr="009F6685" w:rsidRDefault="00FC0EE7" w:rsidP="006B5C00">
            <w:pPr>
              <w:pStyle w:val="Paragraph"/>
              <w:widowControl w:val="0"/>
              <w:tabs>
                <w:tab w:val="clear" w:pos="1440"/>
              </w:tabs>
              <w:ind w:left="0" w:firstLine="0"/>
              <w:rPr>
                <w:sz w:val="20"/>
                <w:lang w:val="es-ES"/>
              </w:rPr>
            </w:pPr>
          </w:p>
        </w:tc>
        <w:tc>
          <w:tcPr>
            <w:tcW w:w="7480" w:type="dxa"/>
          </w:tcPr>
          <w:p w:rsidR="00295D75" w:rsidRDefault="0057086D">
            <w:pPr>
              <w:pStyle w:val="Paragraph"/>
              <w:widowControl w:val="0"/>
              <w:ind w:left="0" w:firstLine="0"/>
              <w:rPr>
                <w:b/>
                <w:spacing w:val="-3"/>
                <w:sz w:val="20"/>
                <w:lang w:val="es-ES"/>
              </w:rPr>
            </w:pPr>
            <w:r w:rsidRPr="0057086D">
              <w:rPr>
                <w:b/>
                <w:spacing w:val="-3"/>
                <w:sz w:val="20"/>
                <w:lang w:val="es-ES"/>
              </w:rPr>
              <w:t xml:space="preserve">Línea de Base: </w:t>
            </w:r>
          </w:p>
          <w:p w:rsidR="00295D75" w:rsidRPr="00A147A9" w:rsidRDefault="00295D75">
            <w:pPr>
              <w:pStyle w:val="Paragraph"/>
              <w:widowControl w:val="0"/>
              <w:ind w:left="0" w:firstLine="0"/>
              <w:rPr>
                <w:spacing w:val="-3"/>
                <w:sz w:val="20"/>
                <w:lang w:val="es-ES"/>
              </w:rPr>
            </w:pPr>
            <w:r w:rsidRPr="00A147A9">
              <w:rPr>
                <w:spacing w:val="-3"/>
                <w:sz w:val="20"/>
                <w:lang w:val="es-ES"/>
              </w:rPr>
              <w:t>Ejecución de la inversión pública total: B/. 17.762.905.404,00.</w:t>
            </w:r>
          </w:p>
          <w:p w:rsidR="00FC0EE7" w:rsidRPr="0057086D" w:rsidRDefault="00295D75">
            <w:pPr>
              <w:pStyle w:val="Paragraph"/>
              <w:widowControl w:val="0"/>
              <w:ind w:left="0" w:firstLine="0"/>
              <w:rPr>
                <w:spacing w:val="-3"/>
                <w:sz w:val="20"/>
                <w:lang w:val="es-ES"/>
              </w:rPr>
            </w:pPr>
            <w:r w:rsidRPr="00A147A9">
              <w:rPr>
                <w:spacing w:val="-3"/>
                <w:sz w:val="20"/>
                <w:lang w:val="es-ES"/>
              </w:rPr>
              <w:t xml:space="preserve"> Ejecución de la inversión pública en el sector de logística y transporte: B/. 1.045.024.258,89.</w:t>
            </w:r>
          </w:p>
        </w:tc>
      </w:tr>
      <w:tr w:rsidR="00FC0EE7" w:rsidRPr="001E63CD" w:rsidTr="00B558D6">
        <w:trPr>
          <w:trHeight w:val="83"/>
        </w:trPr>
        <w:tc>
          <w:tcPr>
            <w:tcW w:w="1700" w:type="dxa"/>
            <w:vMerge/>
          </w:tcPr>
          <w:p w:rsidR="00FC0EE7" w:rsidRPr="009F6685" w:rsidRDefault="00FC0EE7" w:rsidP="006B5C00">
            <w:pPr>
              <w:pStyle w:val="Paragraph"/>
              <w:widowControl w:val="0"/>
              <w:tabs>
                <w:tab w:val="clear" w:pos="1440"/>
              </w:tabs>
              <w:ind w:left="0" w:firstLine="0"/>
              <w:rPr>
                <w:sz w:val="20"/>
                <w:lang w:val="es-ES"/>
              </w:rPr>
            </w:pPr>
          </w:p>
        </w:tc>
        <w:tc>
          <w:tcPr>
            <w:tcW w:w="7480" w:type="dxa"/>
          </w:tcPr>
          <w:p w:rsidR="00FC0EE7" w:rsidRPr="00FC0EE7" w:rsidRDefault="00546746" w:rsidP="00546746">
            <w:pPr>
              <w:pStyle w:val="Paragraph"/>
              <w:widowControl w:val="0"/>
              <w:ind w:left="0" w:firstLine="0"/>
              <w:rPr>
                <w:spacing w:val="-3"/>
                <w:sz w:val="20"/>
                <w:lang w:val="es-ES"/>
              </w:rPr>
            </w:pPr>
            <w:r w:rsidRPr="00546746">
              <w:rPr>
                <w:b/>
                <w:spacing w:val="-3"/>
                <w:sz w:val="20"/>
                <w:lang w:val="es-ES"/>
              </w:rPr>
              <w:t>Aspectos de Monitoreo y Evaluación:</w:t>
            </w:r>
            <w:r w:rsidRPr="00546746">
              <w:rPr>
                <w:spacing w:val="-3"/>
                <w:sz w:val="20"/>
                <w:lang w:val="es-ES"/>
              </w:rPr>
              <w:t xml:space="preserve"> Este indicador será determinado en coordinación con </w:t>
            </w:r>
            <w:r>
              <w:rPr>
                <w:spacing w:val="-3"/>
                <w:sz w:val="20"/>
                <w:lang w:val="es-ES"/>
              </w:rPr>
              <w:t>Coordinación de logística</w:t>
            </w:r>
            <w:r w:rsidRPr="00546746">
              <w:rPr>
                <w:spacing w:val="-3"/>
                <w:sz w:val="20"/>
                <w:lang w:val="es-ES"/>
              </w:rPr>
              <w:t xml:space="preserve">, por medio de la evaluación reflexiva y </w:t>
            </w:r>
            <w:r>
              <w:rPr>
                <w:spacing w:val="-3"/>
                <w:sz w:val="20"/>
                <w:lang w:val="es-ES"/>
              </w:rPr>
              <w:t xml:space="preserve">de </w:t>
            </w:r>
            <w:r w:rsidRPr="00546746">
              <w:rPr>
                <w:spacing w:val="-3"/>
                <w:sz w:val="20"/>
                <w:lang w:val="es-ES"/>
              </w:rPr>
              <w:t>la evaluación de atribución</w:t>
            </w:r>
            <w:r w:rsidR="000E583F">
              <w:rPr>
                <w:spacing w:val="-3"/>
                <w:sz w:val="20"/>
                <w:lang w:val="es-ES"/>
              </w:rPr>
              <w:t xml:space="preserve">, usando los insumos de los reportes oficiales del Ministerio de Economía y Finanzas. </w:t>
            </w:r>
          </w:p>
        </w:tc>
      </w:tr>
      <w:tr w:rsidR="00B21909" w:rsidRPr="001E63CD" w:rsidTr="00B558D6">
        <w:trPr>
          <w:trHeight w:val="84"/>
        </w:trPr>
        <w:tc>
          <w:tcPr>
            <w:tcW w:w="1700" w:type="dxa"/>
            <w:vMerge w:val="restart"/>
          </w:tcPr>
          <w:p w:rsidR="00B21909" w:rsidRPr="00FC0EE7" w:rsidRDefault="00B21909" w:rsidP="007745D7">
            <w:pPr>
              <w:pStyle w:val="Paragraph"/>
              <w:widowControl w:val="0"/>
              <w:tabs>
                <w:tab w:val="clear" w:pos="1440"/>
              </w:tabs>
              <w:ind w:left="0" w:firstLine="0"/>
              <w:jc w:val="left"/>
              <w:rPr>
                <w:spacing w:val="-3"/>
                <w:sz w:val="20"/>
                <w:lang w:val="es-ES"/>
              </w:rPr>
            </w:pPr>
            <w:r w:rsidRPr="00A147A9">
              <w:rPr>
                <w:b/>
                <w:spacing w:val="-3"/>
                <w:sz w:val="20"/>
                <w:lang w:val="es-ES"/>
              </w:rPr>
              <w:t>Indicador de Resultado 2</w:t>
            </w:r>
            <w:r w:rsidRPr="00C92DE3">
              <w:rPr>
                <w:spacing w:val="-3"/>
                <w:sz w:val="20"/>
                <w:lang w:val="es-ES"/>
              </w:rPr>
              <w:t>: Tiempo de despacho de aduanas promedio para carga en Paso Canoas</w:t>
            </w:r>
          </w:p>
        </w:tc>
        <w:tc>
          <w:tcPr>
            <w:tcW w:w="7480" w:type="dxa"/>
          </w:tcPr>
          <w:p w:rsidR="00B21909" w:rsidRPr="00FC0EE7" w:rsidRDefault="00B21909" w:rsidP="00B21909">
            <w:pPr>
              <w:pStyle w:val="Paragraph"/>
              <w:widowControl w:val="0"/>
              <w:ind w:left="0" w:firstLine="0"/>
              <w:rPr>
                <w:spacing w:val="-3"/>
                <w:sz w:val="20"/>
                <w:lang w:val="es-ES"/>
              </w:rPr>
            </w:pPr>
            <w:r w:rsidRPr="00C92DE3">
              <w:rPr>
                <w:b/>
                <w:spacing w:val="-3"/>
                <w:sz w:val="20"/>
                <w:lang w:val="es-ES"/>
              </w:rPr>
              <w:t>Descripción:</w:t>
            </w:r>
            <w:r>
              <w:rPr>
                <w:spacing w:val="-3"/>
                <w:sz w:val="20"/>
                <w:lang w:val="es-ES"/>
              </w:rPr>
              <w:t xml:space="preserve"> </w:t>
            </w:r>
            <w:r w:rsidRPr="00C92DE3">
              <w:rPr>
                <w:spacing w:val="-3"/>
                <w:sz w:val="20"/>
                <w:lang w:val="es-ES"/>
              </w:rPr>
              <w:t>El tiempo de despacho de aduanas es un indicador que mide básicamente la eficiencia de la gestión aduanera en los despachos de las mercancías y en el tránsito entrada-salida. Se espera una reducción del tiempo de despacho de aduanas, por medio de las reformas de armonización de los códigos aduaneros, de homologación de los acuerdos de facilitación comercial y la implantación de la ventanilla, que son reformas previstas en el PBL. Se usa como benchmarking de resultado Paso Canoas por concentrar más de 80% de exportación e importación de carga terrestre del país.</w:t>
            </w:r>
          </w:p>
        </w:tc>
      </w:tr>
      <w:tr w:rsidR="00B21909" w:rsidRPr="001E63CD" w:rsidTr="00B558D6">
        <w:trPr>
          <w:trHeight w:val="83"/>
        </w:trPr>
        <w:tc>
          <w:tcPr>
            <w:tcW w:w="1700" w:type="dxa"/>
            <w:vMerge/>
          </w:tcPr>
          <w:p w:rsidR="00B21909" w:rsidRPr="00FC0EE7" w:rsidRDefault="00B21909" w:rsidP="00B21909">
            <w:pPr>
              <w:pStyle w:val="Paragraph"/>
              <w:widowControl w:val="0"/>
              <w:tabs>
                <w:tab w:val="clear" w:pos="1440"/>
              </w:tabs>
              <w:ind w:left="0" w:firstLine="0"/>
              <w:rPr>
                <w:spacing w:val="-3"/>
                <w:sz w:val="20"/>
                <w:lang w:val="es-ES"/>
              </w:rPr>
            </w:pPr>
          </w:p>
        </w:tc>
        <w:tc>
          <w:tcPr>
            <w:tcW w:w="7480" w:type="dxa"/>
          </w:tcPr>
          <w:p w:rsidR="00B21909" w:rsidRPr="00C92DE3" w:rsidRDefault="00B21909" w:rsidP="00B21909">
            <w:pPr>
              <w:pStyle w:val="Paragraph"/>
              <w:widowControl w:val="0"/>
              <w:ind w:left="0" w:firstLine="0"/>
              <w:rPr>
                <w:spacing w:val="-3"/>
                <w:sz w:val="20"/>
                <w:lang w:val="es-ES"/>
              </w:rPr>
            </w:pPr>
            <w:r w:rsidRPr="00C92DE3">
              <w:rPr>
                <w:b/>
                <w:spacing w:val="-3"/>
                <w:sz w:val="20"/>
                <w:lang w:val="es-ES"/>
              </w:rPr>
              <w:t>Metodología de Cálculo:</w:t>
            </w:r>
            <w:r>
              <w:rPr>
                <w:spacing w:val="-3"/>
                <w:sz w:val="20"/>
                <w:lang w:val="es-ES"/>
              </w:rPr>
              <w:t xml:space="preserve"> </w:t>
            </w:r>
            <w:r w:rsidRPr="00C92DE3">
              <w:rPr>
                <w:spacing w:val="-3"/>
                <w:sz w:val="20"/>
                <w:lang w:val="es-ES"/>
              </w:rPr>
              <w:t xml:space="preserve">Se calcula como Σ de tiempos de exportación, importación, tránsitos entrada-salida y vacíos (entrada-salida) de mercancías. </w:t>
            </w:r>
          </w:p>
          <w:p w:rsidR="00B21909" w:rsidRPr="00FC0EE7" w:rsidRDefault="00B21909" w:rsidP="00B21909">
            <w:pPr>
              <w:pStyle w:val="Paragraph"/>
              <w:widowControl w:val="0"/>
              <w:tabs>
                <w:tab w:val="clear" w:pos="1440"/>
              </w:tabs>
              <w:ind w:left="0" w:firstLine="0"/>
              <w:rPr>
                <w:spacing w:val="-3"/>
                <w:sz w:val="20"/>
                <w:lang w:val="es-ES"/>
              </w:rPr>
            </w:pPr>
            <w:r w:rsidRPr="00C92DE3">
              <w:rPr>
                <w:spacing w:val="-3"/>
                <w:sz w:val="20"/>
                <w:lang w:val="es-ES"/>
              </w:rPr>
              <w:t>Este indicador incluye el tiempo promedio que tarda una unidad de transporte en atravesar el puesto fronterizo incluyendo todos los controles y esperas inherentes. El indicador toma en cuenta desde el momento en que la UT se integra a la fila del primer control existente hasta que obtiene el permiso por parte de aduanas para abandonar la zona primaria y continuar hacia su destino.</w:t>
            </w:r>
          </w:p>
        </w:tc>
      </w:tr>
      <w:tr w:rsidR="00B21909" w:rsidRPr="001E63CD" w:rsidTr="00B558D6">
        <w:trPr>
          <w:trHeight w:val="83"/>
        </w:trPr>
        <w:tc>
          <w:tcPr>
            <w:tcW w:w="1700" w:type="dxa"/>
            <w:vMerge/>
          </w:tcPr>
          <w:p w:rsidR="00B21909" w:rsidRPr="00FC0EE7" w:rsidRDefault="00B21909" w:rsidP="00B21909">
            <w:pPr>
              <w:pStyle w:val="Paragraph"/>
              <w:widowControl w:val="0"/>
              <w:tabs>
                <w:tab w:val="clear" w:pos="1440"/>
              </w:tabs>
              <w:ind w:left="0" w:firstLine="0"/>
              <w:rPr>
                <w:spacing w:val="-3"/>
                <w:sz w:val="20"/>
                <w:lang w:val="es-ES"/>
              </w:rPr>
            </w:pPr>
          </w:p>
        </w:tc>
        <w:tc>
          <w:tcPr>
            <w:tcW w:w="7480" w:type="dxa"/>
          </w:tcPr>
          <w:p w:rsidR="00B21909" w:rsidRPr="00FC0EE7" w:rsidRDefault="00B21909">
            <w:pPr>
              <w:pStyle w:val="Paragraph"/>
              <w:widowControl w:val="0"/>
              <w:ind w:left="0" w:firstLine="0"/>
              <w:rPr>
                <w:spacing w:val="-3"/>
                <w:sz w:val="20"/>
                <w:lang w:val="es-ES"/>
              </w:rPr>
            </w:pPr>
            <w:r w:rsidRPr="00C92DE3">
              <w:rPr>
                <w:b/>
                <w:spacing w:val="-3"/>
                <w:sz w:val="20"/>
                <w:lang w:val="es-ES"/>
              </w:rPr>
              <w:t>Línea de Base:</w:t>
            </w:r>
            <w:r>
              <w:rPr>
                <w:spacing w:val="-3"/>
                <w:sz w:val="20"/>
                <w:lang w:val="es-ES"/>
              </w:rPr>
              <w:t xml:space="preserve"> </w:t>
            </w:r>
            <w:r w:rsidRPr="00C92DE3">
              <w:rPr>
                <w:spacing w:val="-3"/>
                <w:sz w:val="20"/>
                <w:lang w:val="es-ES"/>
              </w:rPr>
              <w:t xml:space="preserve">La línea de base fue determinada </w:t>
            </w:r>
            <w:r w:rsidR="007A5866">
              <w:rPr>
                <w:spacing w:val="-3"/>
                <w:sz w:val="20"/>
                <w:lang w:val="es-ES"/>
              </w:rPr>
              <w:t xml:space="preserve">por la Autoridad Nacional de Aduanas, que indica que el tiempo medio que toma liberar la mercancía desde el registro de la declaración es de 15 horas. </w:t>
            </w:r>
          </w:p>
        </w:tc>
      </w:tr>
      <w:tr w:rsidR="00B21909" w:rsidRPr="001E63CD" w:rsidTr="00B558D6">
        <w:trPr>
          <w:trHeight w:val="83"/>
        </w:trPr>
        <w:tc>
          <w:tcPr>
            <w:tcW w:w="1700" w:type="dxa"/>
            <w:vMerge/>
          </w:tcPr>
          <w:p w:rsidR="00B21909" w:rsidRPr="00FC0EE7" w:rsidRDefault="00B21909" w:rsidP="00B21909">
            <w:pPr>
              <w:pStyle w:val="Paragraph"/>
              <w:widowControl w:val="0"/>
              <w:tabs>
                <w:tab w:val="clear" w:pos="1440"/>
              </w:tabs>
              <w:ind w:left="0" w:firstLine="0"/>
              <w:rPr>
                <w:spacing w:val="-3"/>
                <w:sz w:val="20"/>
                <w:lang w:val="es-ES"/>
              </w:rPr>
            </w:pPr>
          </w:p>
        </w:tc>
        <w:tc>
          <w:tcPr>
            <w:tcW w:w="7480" w:type="dxa"/>
          </w:tcPr>
          <w:p w:rsidR="00B21909" w:rsidRDefault="00B21909" w:rsidP="00B21909">
            <w:pPr>
              <w:pStyle w:val="Paragraph"/>
              <w:widowControl w:val="0"/>
              <w:ind w:left="0" w:firstLine="0"/>
              <w:rPr>
                <w:spacing w:val="-3"/>
                <w:sz w:val="20"/>
                <w:lang w:val="es-ES"/>
              </w:rPr>
            </w:pPr>
            <w:r w:rsidRPr="00C92DE3">
              <w:rPr>
                <w:b/>
                <w:spacing w:val="-3"/>
                <w:sz w:val="20"/>
                <w:lang w:val="es-ES"/>
              </w:rPr>
              <w:t>Aspectos de Monitoreo y Evaluación:</w:t>
            </w:r>
            <w:r>
              <w:rPr>
                <w:spacing w:val="-3"/>
                <w:sz w:val="20"/>
                <w:lang w:val="es-ES"/>
              </w:rPr>
              <w:t xml:space="preserve"> </w:t>
            </w:r>
            <w:r w:rsidRPr="00B21909">
              <w:rPr>
                <w:spacing w:val="-3"/>
                <w:sz w:val="20"/>
                <w:lang w:val="es-ES"/>
              </w:rPr>
              <w:t xml:space="preserve">Este indicador será determinado </w:t>
            </w:r>
            <w:r>
              <w:rPr>
                <w:spacing w:val="-3"/>
                <w:sz w:val="20"/>
                <w:lang w:val="es-ES"/>
              </w:rPr>
              <w:t xml:space="preserve">en coordinación con ANA, </w:t>
            </w:r>
            <w:r w:rsidRPr="00B21909">
              <w:rPr>
                <w:spacing w:val="-3"/>
                <w:sz w:val="20"/>
                <w:lang w:val="es-ES"/>
              </w:rPr>
              <w:t xml:space="preserve">por medio de la evaluación reflexiva y </w:t>
            </w:r>
            <w:r w:rsidR="00546746">
              <w:rPr>
                <w:spacing w:val="-3"/>
                <w:sz w:val="20"/>
                <w:lang w:val="es-ES"/>
              </w:rPr>
              <w:t xml:space="preserve">de </w:t>
            </w:r>
            <w:r w:rsidRPr="00B21909">
              <w:rPr>
                <w:spacing w:val="-3"/>
                <w:sz w:val="20"/>
                <w:lang w:val="es-ES"/>
              </w:rPr>
              <w:t>la evaluación de atribución</w:t>
            </w:r>
            <w:r w:rsidR="007A5866">
              <w:rPr>
                <w:spacing w:val="-3"/>
                <w:sz w:val="20"/>
                <w:lang w:val="es-ES"/>
              </w:rPr>
              <w:t xml:space="preserve">. </w:t>
            </w:r>
          </w:p>
          <w:p w:rsidR="007A5866" w:rsidRPr="00A147A9" w:rsidRDefault="007A5866" w:rsidP="00B21909">
            <w:pPr>
              <w:pStyle w:val="Paragraph"/>
              <w:widowControl w:val="0"/>
              <w:ind w:left="0" w:firstLine="0"/>
              <w:rPr>
                <w:spacing w:val="-3"/>
                <w:sz w:val="20"/>
                <w:lang w:val="es-ES_tradnl"/>
              </w:rPr>
            </w:pPr>
            <w:r w:rsidRPr="00A147A9">
              <w:rPr>
                <w:spacing w:val="-3"/>
                <w:sz w:val="20"/>
                <w:lang w:val="es-ES"/>
              </w:rPr>
              <w:t>Según el estudio de Pasos de Frontera para Paso Canoas (EPYPSA 2013) la reducción promedia en el despacho de cargas tras la mejora en infraestructura y procesos del paso de frontera sería del 87%. Considerando que la mitad de esta reducción es consecuencia de la armonización con los códigos aduaneros regionales se obtendría una reducción del tiempo de despacho de aduanas del 43.5%.</w:t>
            </w:r>
          </w:p>
        </w:tc>
      </w:tr>
      <w:tr w:rsidR="00FC0EE7" w:rsidRPr="001E63CD" w:rsidTr="00B558D6">
        <w:trPr>
          <w:trHeight w:val="84"/>
        </w:trPr>
        <w:tc>
          <w:tcPr>
            <w:tcW w:w="1700" w:type="dxa"/>
            <w:vMerge w:val="restart"/>
          </w:tcPr>
          <w:p w:rsidR="00FC0EE7" w:rsidRPr="00FC0EE7" w:rsidRDefault="00C92DE3" w:rsidP="007745D7">
            <w:pPr>
              <w:pStyle w:val="Paragraph"/>
              <w:widowControl w:val="0"/>
              <w:tabs>
                <w:tab w:val="clear" w:pos="1440"/>
              </w:tabs>
              <w:ind w:left="0" w:firstLine="0"/>
              <w:jc w:val="left"/>
              <w:rPr>
                <w:spacing w:val="-3"/>
                <w:sz w:val="20"/>
                <w:lang w:val="es-ES"/>
              </w:rPr>
            </w:pPr>
            <w:r w:rsidRPr="00A147A9">
              <w:rPr>
                <w:b/>
                <w:spacing w:val="-3"/>
                <w:sz w:val="20"/>
                <w:lang w:val="es-ES"/>
              </w:rPr>
              <w:t>Indicador de resultado 3</w:t>
            </w:r>
            <w:r w:rsidR="00F25C3F" w:rsidRPr="00C92DE3">
              <w:rPr>
                <w:spacing w:val="-3"/>
                <w:sz w:val="20"/>
                <w:lang w:val="es-ES"/>
              </w:rPr>
              <w:t xml:space="preserve">: </w:t>
            </w:r>
            <w:r w:rsidR="00F25C3F">
              <w:rPr>
                <w:rFonts w:ascii="Arial" w:hAnsi="Arial" w:cs="Arial"/>
                <w:sz w:val="20"/>
                <w:lang w:val="es-ES_tradnl"/>
              </w:rPr>
              <w:t>Porcentaje</w:t>
            </w:r>
            <w:r w:rsidR="007745D7" w:rsidRPr="007745D7">
              <w:rPr>
                <w:spacing w:val="-3"/>
                <w:sz w:val="20"/>
                <w:lang w:val="es-ES"/>
              </w:rPr>
              <w:t xml:space="preserve"> del total de puertos habilitados para la exportación de productos agrícolas nacionales sobre el total de puertos a </w:t>
            </w:r>
            <w:r w:rsidR="007745D7" w:rsidRPr="007745D7">
              <w:rPr>
                <w:spacing w:val="-3"/>
                <w:sz w:val="20"/>
                <w:lang w:val="es-ES"/>
              </w:rPr>
              <w:lastRenderedPageBreak/>
              <w:t>nivel nacional.</w:t>
            </w:r>
          </w:p>
        </w:tc>
        <w:tc>
          <w:tcPr>
            <w:tcW w:w="7480" w:type="dxa"/>
          </w:tcPr>
          <w:p w:rsidR="00FC0EE7" w:rsidRPr="00FC0EE7" w:rsidRDefault="00FF7B99" w:rsidP="00F25C3F">
            <w:pPr>
              <w:pStyle w:val="Paragraph"/>
              <w:widowControl w:val="0"/>
              <w:ind w:left="0" w:firstLine="0"/>
              <w:rPr>
                <w:spacing w:val="-3"/>
                <w:sz w:val="20"/>
                <w:lang w:val="es-ES"/>
              </w:rPr>
            </w:pPr>
            <w:r w:rsidRPr="00FF7B99">
              <w:rPr>
                <w:b/>
                <w:spacing w:val="-3"/>
                <w:sz w:val="20"/>
                <w:lang w:val="es-ES"/>
              </w:rPr>
              <w:lastRenderedPageBreak/>
              <w:t>Descripción:</w:t>
            </w:r>
            <w:r>
              <w:rPr>
                <w:spacing w:val="-3"/>
                <w:sz w:val="20"/>
                <w:lang w:val="es-ES"/>
              </w:rPr>
              <w:t xml:space="preserve"> </w:t>
            </w:r>
            <w:r w:rsidRPr="00FF7B99">
              <w:rPr>
                <w:spacing w:val="-3"/>
                <w:sz w:val="20"/>
                <w:lang w:val="es-ES"/>
              </w:rPr>
              <w:t>Los puertos son puerta de salida y entrada de productos importados y exportados por Panamá. Panamá posee 32 terminales portuarias, pero solamente 6 están habilitadas a hacer transacciones comerciales por conteiner, lo que significa, básicamente, servir de puerta de entrada y salida de productos</w:t>
            </w:r>
            <w:r w:rsidR="00160777">
              <w:rPr>
                <w:spacing w:val="-3"/>
                <w:sz w:val="20"/>
                <w:lang w:val="es-ES"/>
              </w:rPr>
              <w:t xml:space="preserve"> </w:t>
            </w:r>
            <w:r w:rsidR="00F25C3F">
              <w:rPr>
                <w:spacing w:val="-3"/>
                <w:sz w:val="20"/>
                <w:lang w:val="es-ES"/>
              </w:rPr>
              <w:t>(agricultura, industria y servicios</w:t>
            </w:r>
            <w:r w:rsidR="00160777">
              <w:rPr>
                <w:spacing w:val="-3"/>
                <w:sz w:val="20"/>
                <w:lang w:val="es-ES"/>
              </w:rPr>
              <w:t>)</w:t>
            </w:r>
            <w:r w:rsidRPr="00FF7B99">
              <w:rPr>
                <w:spacing w:val="-3"/>
                <w:sz w:val="20"/>
                <w:lang w:val="es-ES"/>
              </w:rPr>
              <w:t>. Las reformas de planificación de la infraestructura de transporte contemplan la inversión en infraestructura portuaria, con el objetivo de ampliar el número de puertos con c</w:t>
            </w:r>
            <w:r w:rsidR="00406B8C">
              <w:rPr>
                <w:spacing w:val="-3"/>
                <w:sz w:val="20"/>
                <w:lang w:val="es-ES"/>
              </w:rPr>
              <w:t xml:space="preserve">apacidad de recibir conteiner. </w:t>
            </w:r>
          </w:p>
        </w:tc>
      </w:tr>
      <w:tr w:rsidR="00FC0EE7" w:rsidRPr="001E63CD" w:rsidTr="00B558D6">
        <w:trPr>
          <w:trHeight w:val="83"/>
        </w:trPr>
        <w:tc>
          <w:tcPr>
            <w:tcW w:w="1700" w:type="dxa"/>
            <w:vMerge/>
          </w:tcPr>
          <w:p w:rsidR="00FC0EE7" w:rsidRPr="00FC0EE7" w:rsidRDefault="00FC0EE7" w:rsidP="006B5C00">
            <w:pPr>
              <w:pStyle w:val="Paragraph"/>
              <w:widowControl w:val="0"/>
              <w:tabs>
                <w:tab w:val="clear" w:pos="1440"/>
              </w:tabs>
              <w:ind w:left="0" w:firstLine="0"/>
              <w:rPr>
                <w:spacing w:val="-3"/>
                <w:sz w:val="20"/>
                <w:lang w:val="es-ES"/>
              </w:rPr>
            </w:pPr>
          </w:p>
        </w:tc>
        <w:tc>
          <w:tcPr>
            <w:tcW w:w="7480" w:type="dxa"/>
          </w:tcPr>
          <w:p w:rsidR="00FC0EE7" w:rsidRPr="00FC0EE7" w:rsidRDefault="00406B8C" w:rsidP="00406B8C">
            <w:pPr>
              <w:pStyle w:val="Paragraph"/>
              <w:widowControl w:val="0"/>
              <w:ind w:left="0" w:firstLine="0"/>
              <w:rPr>
                <w:spacing w:val="-3"/>
                <w:sz w:val="20"/>
                <w:lang w:val="es-ES"/>
              </w:rPr>
            </w:pPr>
            <w:r w:rsidRPr="00406B8C">
              <w:rPr>
                <w:b/>
                <w:spacing w:val="-3"/>
                <w:sz w:val="20"/>
                <w:lang w:val="es-ES"/>
              </w:rPr>
              <w:t>Metodología de Cálculo:</w:t>
            </w:r>
            <w:r>
              <w:rPr>
                <w:spacing w:val="-3"/>
                <w:sz w:val="20"/>
                <w:lang w:val="es-ES"/>
              </w:rPr>
              <w:t xml:space="preserve"> </w:t>
            </w:r>
            <w:r w:rsidRPr="00FF7B99">
              <w:rPr>
                <w:spacing w:val="-3"/>
                <w:sz w:val="20"/>
                <w:lang w:val="es-ES"/>
              </w:rPr>
              <w:t xml:space="preserve">La fórmula utilizada es: </w:t>
            </w:r>
            <w:r>
              <w:rPr>
                <w:spacing w:val="-3"/>
                <w:sz w:val="20"/>
                <w:lang w:val="es-ES"/>
              </w:rPr>
              <w:t>Número</w:t>
            </w:r>
            <w:r w:rsidRPr="00FF7B99">
              <w:rPr>
                <w:spacing w:val="-3"/>
                <w:sz w:val="20"/>
                <w:lang w:val="es-ES"/>
              </w:rPr>
              <w:t xml:space="preserve"> de puertos habilitados para la exportación de productos na</w:t>
            </w:r>
            <w:r>
              <w:rPr>
                <w:spacing w:val="-3"/>
                <w:sz w:val="20"/>
                <w:lang w:val="es-ES"/>
              </w:rPr>
              <w:t>cionales / Total de puertos (%)</w:t>
            </w:r>
          </w:p>
        </w:tc>
      </w:tr>
      <w:tr w:rsidR="00FC0EE7" w:rsidRPr="001E63CD" w:rsidTr="00B558D6">
        <w:trPr>
          <w:trHeight w:val="83"/>
        </w:trPr>
        <w:tc>
          <w:tcPr>
            <w:tcW w:w="1700" w:type="dxa"/>
            <w:vMerge/>
          </w:tcPr>
          <w:p w:rsidR="00FC0EE7" w:rsidRPr="00FC0EE7" w:rsidRDefault="00FC0EE7" w:rsidP="006B5C00">
            <w:pPr>
              <w:pStyle w:val="Paragraph"/>
              <w:widowControl w:val="0"/>
              <w:tabs>
                <w:tab w:val="clear" w:pos="1440"/>
              </w:tabs>
              <w:ind w:left="0" w:firstLine="0"/>
              <w:rPr>
                <w:spacing w:val="-3"/>
                <w:sz w:val="20"/>
                <w:lang w:val="es-ES"/>
              </w:rPr>
            </w:pPr>
          </w:p>
        </w:tc>
        <w:tc>
          <w:tcPr>
            <w:tcW w:w="7480" w:type="dxa"/>
          </w:tcPr>
          <w:p w:rsidR="00406B8C" w:rsidRPr="00FF7B99" w:rsidRDefault="00406B8C" w:rsidP="00406B8C">
            <w:pPr>
              <w:pStyle w:val="Paragraph"/>
              <w:widowControl w:val="0"/>
              <w:ind w:left="0" w:firstLine="0"/>
              <w:rPr>
                <w:spacing w:val="-3"/>
                <w:sz w:val="20"/>
                <w:lang w:val="es-ES"/>
              </w:rPr>
            </w:pPr>
            <w:r w:rsidRPr="00406B8C">
              <w:rPr>
                <w:b/>
                <w:spacing w:val="-3"/>
                <w:sz w:val="20"/>
                <w:lang w:val="es-ES"/>
              </w:rPr>
              <w:t>Línea de Base:</w:t>
            </w:r>
            <w:r>
              <w:rPr>
                <w:spacing w:val="-3"/>
                <w:sz w:val="20"/>
                <w:lang w:val="es-ES"/>
              </w:rPr>
              <w:t xml:space="preserve"> </w:t>
            </w:r>
            <w:r w:rsidRPr="00FF7B99">
              <w:rPr>
                <w:spacing w:val="-3"/>
                <w:sz w:val="20"/>
                <w:lang w:val="es-ES"/>
              </w:rPr>
              <w:t xml:space="preserve">La línea de base fue definida por: </w:t>
            </w:r>
          </w:p>
          <w:p w:rsidR="00406B8C" w:rsidRPr="00FF7B99" w:rsidRDefault="00406B8C" w:rsidP="00406B8C">
            <w:pPr>
              <w:pStyle w:val="Paragraph"/>
              <w:widowControl w:val="0"/>
              <w:rPr>
                <w:spacing w:val="-3"/>
                <w:sz w:val="20"/>
                <w:lang w:val="es-ES"/>
              </w:rPr>
            </w:pPr>
            <w:r w:rsidRPr="00FF7B99">
              <w:rPr>
                <w:spacing w:val="-3"/>
                <w:sz w:val="20"/>
                <w:lang w:val="es-ES"/>
              </w:rPr>
              <w:t>1.</w:t>
            </w:r>
            <w:r w:rsidRPr="00FF7B99">
              <w:rPr>
                <w:spacing w:val="-3"/>
                <w:sz w:val="20"/>
                <w:lang w:val="es-ES"/>
              </w:rPr>
              <w:tab/>
              <w:t>El número de puertos habilitados para recibir conteiner: 6</w:t>
            </w:r>
          </w:p>
          <w:p w:rsidR="00406B8C" w:rsidRPr="00FF7B99" w:rsidRDefault="00406B8C" w:rsidP="00406B8C">
            <w:pPr>
              <w:pStyle w:val="Paragraph"/>
              <w:widowControl w:val="0"/>
              <w:rPr>
                <w:spacing w:val="-3"/>
                <w:sz w:val="20"/>
                <w:lang w:val="es-ES"/>
              </w:rPr>
            </w:pPr>
            <w:r w:rsidRPr="00FF7B99">
              <w:rPr>
                <w:spacing w:val="-3"/>
                <w:sz w:val="20"/>
                <w:lang w:val="es-ES"/>
              </w:rPr>
              <w:t>2.</w:t>
            </w:r>
            <w:r w:rsidRPr="00FF7B99">
              <w:rPr>
                <w:spacing w:val="-3"/>
                <w:sz w:val="20"/>
                <w:lang w:val="es-ES"/>
              </w:rPr>
              <w:tab/>
              <w:t>El número de puertos totales de Panamá: 32</w:t>
            </w:r>
          </w:p>
          <w:p w:rsidR="00FC0EE7" w:rsidRPr="00FC0EE7" w:rsidRDefault="00406B8C" w:rsidP="00406B8C">
            <w:pPr>
              <w:pStyle w:val="Paragraph"/>
              <w:widowControl w:val="0"/>
              <w:tabs>
                <w:tab w:val="clear" w:pos="1440"/>
              </w:tabs>
              <w:ind w:left="0" w:firstLine="0"/>
              <w:rPr>
                <w:spacing w:val="-3"/>
                <w:sz w:val="20"/>
                <w:lang w:val="es-ES"/>
              </w:rPr>
            </w:pPr>
            <w:r w:rsidRPr="00FF7B99">
              <w:rPr>
                <w:spacing w:val="-3"/>
                <w:sz w:val="20"/>
                <w:lang w:val="es-ES"/>
              </w:rPr>
              <w:t xml:space="preserve">La fuente se encuentra en Boletines Estadísticos de la Autoridad Marítima de Panamá (AMP) y consolidada por </w:t>
            </w:r>
            <w:proofErr w:type="spellStart"/>
            <w:r w:rsidRPr="00FF7B99">
              <w:rPr>
                <w:spacing w:val="-3"/>
                <w:sz w:val="20"/>
                <w:lang w:val="es-ES"/>
              </w:rPr>
              <w:t>GeorgiaTech</w:t>
            </w:r>
            <w:proofErr w:type="spellEnd"/>
            <w:r w:rsidRPr="00FF7B99">
              <w:rPr>
                <w:spacing w:val="-3"/>
                <w:sz w:val="20"/>
                <w:lang w:val="es-ES"/>
              </w:rPr>
              <w:t xml:space="preserve"> (http://logistics.gatech.pa</w:t>
            </w:r>
            <w:r>
              <w:rPr>
                <w:spacing w:val="-3"/>
                <w:sz w:val="20"/>
                <w:lang w:val="es-ES"/>
              </w:rPr>
              <w:t>/es/assets/seaports/all</w:t>
            </w:r>
            <w:r w:rsidR="007A5866">
              <w:rPr>
                <w:spacing w:val="-3"/>
                <w:sz w:val="20"/>
                <w:lang w:val="es-ES"/>
              </w:rPr>
              <w:t>)</w:t>
            </w:r>
          </w:p>
        </w:tc>
      </w:tr>
      <w:tr w:rsidR="00FC0EE7" w:rsidRPr="001E63CD" w:rsidTr="00B558D6">
        <w:trPr>
          <w:trHeight w:val="179"/>
        </w:trPr>
        <w:tc>
          <w:tcPr>
            <w:tcW w:w="1700" w:type="dxa"/>
            <w:vMerge/>
          </w:tcPr>
          <w:p w:rsidR="00FC0EE7" w:rsidRPr="00FC0EE7" w:rsidRDefault="00FC0EE7" w:rsidP="006B5C00">
            <w:pPr>
              <w:pStyle w:val="Paragraph"/>
              <w:widowControl w:val="0"/>
              <w:tabs>
                <w:tab w:val="clear" w:pos="1440"/>
              </w:tabs>
              <w:ind w:left="0" w:firstLine="0"/>
              <w:rPr>
                <w:spacing w:val="-3"/>
                <w:sz w:val="20"/>
                <w:lang w:val="es-ES"/>
              </w:rPr>
            </w:pPr>
          </w:p>
        </w:tc>
        <w:tc>
          <w:tcPr>
            <w:tcW w:w="7480" w:type="dxa"/>
          </w:tcPr>
          <w:p w:rsidR="00FC0EE7" w:rsidRPr="00FC0EE7" w:rsidRDefault="00FF7B99" w:rsidP="00FF7B99">
            <w:pPr>
              <w:pStyle w:val="Paragraph"/>
              <w:widowControl w:val="0"/>
              <w:ind w:left="0" w:firstLine="0"/>
              <w:rPr>
                <w:spacing w:val="-3"/>
                <w:sz w:val="20"/>
                <w:lang w:val="es-ES"/>
              </w:rPr>
            </w:pPr>
            <w:r w:rsidRPr="00FF7B99">
              <w:rPr>
                <w:b/>
                <w:spacing w:val="-3"/>
                <w:sz w:val="20"/>
                <w:lang w:val="es-ES"/>
              </w:rPr>
              <w:t>Aspectos de Monitoreo y Evaluación</w:t>
            </w:r>
            <w:r>
              <w:rPr>
                <w:spacing w:val="-3"/>
                <w:sz w:val="20"/>
                <w:lang w:val="es-ES"/>
              </w:rPr>
              <w:t xml:space="preserve">: </w:t>
            </w:r>
            <w:r w:rsidRPr="00FF7B99">
              <w:rPr>
                <w:spacing w:val="-3"/>
                <w:sz w:val="20"/>
                <w:lang w:val="es-ES"/>
              </w:rPr>
              <w:t>El indicador será evaluado por la Coordinación Logística (CL), por medio del apoyo de la Autoridad Marítima de Panamá (</w:t>
            </w:r>
            <w:r w:rsidR="00406B8C">
              <w:rPr>
                <w:spacing w:val="-3"/>
                <w:sz w:val="20"/>
                <w:lang w:val="es-ES"/>
              </w:rPr>
              <w:t>AMP)</w:t>
            </w:r>
            <w:r w:rsidR="007A5866">
              <w:rPr>
                <w:spacing w:val="-3"/>
                <w:sz w:val="20"/>
                <w:lang w:val="es-ES"/>
              </w:rPr>
              <w:t>.</w:t>
            </w:r>
          </w:p>
        </w:tc>
      </w:tr>
      <w:tr w:rsidR="00FC0EE7" w:rsidRPr="001E63CD" w:rsidTr="00B558D6">
        <w:trPr>
          <w:trHeight w:val="84"/>
        </w:trPr>
        <w:tc>
          <w:tcPr>
            <w:tcW w:w="1700" w:type="dxa"/>
            <w:vMerge w:val="restart"/>
          </w:tcPr>
          <w:p w:rsidR="00FC0EE7" w:rsidRPr="00FC0EE7" w:rsidRDefault="00406B8C" w:rsidP="00160777">
            <w:pPr>
              <w:pStyle w:val="Paragraph"/>
              <w:widowControl w:val="0"/>
              <w:tabs>
                <w:tab w:val="clear" w:pos="1440"/>
              </w:tabs>
              <w:ind w:left="0" w:firstLine="0"/>
              <w:jc w:val="left"/>
              <w:rPr>
                <w:spacing w:val="-3"/>
                <w:sz w:val="20"/>
                <w:lang w:val="es-ES"/>
              </w:rPr>
            </w:pPr>
            <w:r w:rsidRPr="00A147A9">
              <w:rPr>
                <w:b/>
                <w:spacing w:val="-3"/>
                <w:sz w:val="20"/>
                <w:lang w:val="es-ES"/>
              </w:rPr>
              <w:t>Indicador de  Resultado 4</w:t>
            </w:r>
            <w:r w:rsidRPr="00406B8C">
              <w:rPr>
                <w:spacing w:val="-3"/>
                <w:sz w:val="20"/>
                <w:lang w:val="es-ES"/>
              </w:rPr>
              <w:t xml:space="preserve">: </w:t>
            </w:r>
            <w:r w:rsidR="00160777">
              <w:rPr>
                <w:spacing w:val="-3"/>
                <w:sz w:val="20"/>
                <w:lang w:val="es-ES"/>
              </w:rPr>
              <w:t xml:space="preserve"> </w:t>
            </w:r>
            <w:r w:rsidR="00160777" w:rsidRPr="00160777">
              <w:rPr>
                <w:spacing w:val="-3"/>
                <w:sz w:val="20"/>
                <w:lang w:val="es-ES"/>
              </w:rPr>
              <w:t>Porcentaje de la superficie de logística con actividad real sobre la superficie de logística total disponible en el país</w:t>
            </w:r>
          </w:p>
        </w:tc>
        <w:tc>
          <w:tcPr>
            <w:tcW w:w="7480" w:type="dxa"/>
          </w:tcPr>
          <w:p w:rsidR="00FC0EE7" w:rsidRPr="00FC0EE7" w:rsidRDefault="00406B8C" w:rsidP="00406B8C">
            <w:pPr>
              <w:pStyle w:val="Paragraph"/>
              <w:widowControl w:val="0"/>
              <w:ind w:left="0" w:firstLine="0"/>
              <w:rPr>
                <w:spacing w:val="-3"/>
                <w:sz w:val="20"/>
                <w:lang w:val="es-ES"/>
              </w:rPr>
            </w:pPr>
            <w:r w:rsidRPr="00406B8C">
              <w:rPr>
                <w:b/>
                <w:spacing w:val="-3"/>
                <w:sz w:val="20"/>
                <w:lang w:val="es-ES"/>
              </w:rPr>
              <w:t>Descripción:</w:t>
            </w:r>
            <w:r>
              <w:rPr>
                <w:spacing w:val="-3"/>
                <w:sz w:val="20"/>
                <w:lang w:val="es-ES"/>
              </w:rPr>
              <w:t xml:space="preserve"> </w:t>
            </w:r>
            <w:r w:rsidRPr="00406B8C">
              <w:rPr>
                <w:spacing w:val="-3"/>
                <w:sz w:val="20"/>
                <w:lang w:val="es-ES"/>
              </w:rPr>
              <w:t>La ampliación de los espacios logísticos en Panamá es esencial para brindar el país de una oferta logística de clase mundial para el establecimiento de servicios en este sector. El espacio logístico significa toda el área de zonas dentro de las terminales portuarias, superficie dentro de áreas especiales, superficie de áreas de almacenamiento en la Ciudad de Panamá y tierras identificadas bajo la jurisdicción de la Unidad de Bienes Revertidos (UBR) donde hay potencial de establecer empresas de servicios logísticos. El Plan Maestro de Logística ordenará la expansión de estas áreas y, conjugado a un plan de inversión y atracción de empresas del sector, se espera ampliar el uso real de esta superficie habilitada.</w:t>
            </w:r>
          </w:p>
        </w:tc>
      </w:tr>
      <w:tr w:rsidR="00FC0EE7" w:rsidRPr="001E63CD" w:rsidTr="00B558D6">
        <w:trPr>
          <w:trHeight w:val="83"/>
        </w:trPr>
        <w:tc>
          <w:tcPr>
            <w:tcW w:w="1700" w:type="dxa"/>
            <w:vMerge/>
          </w:tcPr>
          <w:p w:rsidR="00FC0EE7" w:rsidRPr="00FC0EE7" w:rsidRDefault="00FC0EE7" w:rsidP="006B5C00">
            <w:pPr>
              <w:pStyle w:val="Paragraph"/>
              <w:widowControl w:val="0"/>
              <w:tabs>
                <w:tab w:val="clear" w:pos="1440"/>
              </w:tabs>
              <w:ind w:left="0" w:firstLine="0"/>
              <w:rPr>
                <w:spacing w:val="-3"/>
                <w:sz w:val="20"/>
                <w:lang w:val="es-ES"/>
              </w:rPr>
            </w:pPr>
          </w:p>
        </w:tc>
        <w:tc>
          <w:tcPr>
            <w:tcW w:w="7480" w:type="dxa"/>
          </w:tcPr>
          <w:p w:rsidR="00406B8C" w:rsidRPr="00406B8C" w:rsidRDefault="00406B8C" w:rsidP="00406B8C">
            <w:pPr>
              <w:pStyle w:val="Paragraph"/>
              <w:widowControl w:val="0"/>
              <w:ind w:left="0" w:firstLine="0"/>
              <w:rPr>
                <w:b/>
                <w:spacing w:val="-3"/>
                <w:sz w:val="20"/>
                <w:lang w:val="es-ES"/>
              </w:rPr>
            </w:pPr>
            <w:r w:rsidRPr="00406B8C">
              <w:rPr>
                <w:b/>
                <w:spacing w:val="-3"/>
                <w:sz w:val="20"/>
                <w:lang w:val="es-ES"/>
              </w:rPr>
              <w:t>Metodología de Cálculo</w:t>
            </w:r>
            <w:r w:rsidR="007A5866">
              <w:rPr>
                <w:b/>
                <w:spacing w:val="-3"/>
                <w:sz w:val="20"/>
                <w:lang w:val="es-ES"/>
              </w:rPr>
              <w:t xml:space="preserve">. </w:t>
            </w:r>
            <w:r w:rsidRPr="00A147A9">
              <w:rPr>
                <w:spacing w:val="-3"/>
                <w:sz w:val="20"/>
                <w:lang w:val="es-ES"/>
              </w:rPr>
              <w:t>El indicador fue calculado por:</w:t>
            </w:r>
          </w:p>
          <w:p w:rsidR="00406B8C" w:rsidRPr="00406B8C" w:rsidRDefault="00406B8C" w:rsidP="008874E7">
            <w:pPr>
              <w:pStyle w:val="Paragraph"/>
              <w:widowControl w:val="0"/>
              <w:tabs>
                <w:tab w:val="clear" w:pos="1440"/>
                <w:tab w:val="num" w:pos="352"/>
              </w:tabs>
              <w:ind w:left="352" w:hanging="180"/>
              <w:rPr>
                <w:spacing w:val="-3"/>
                <w:sz w:val="20"/>
                <w:lang w:val="es-ES"/>
              </w:rPr>
            </w:pPr>
            <w:r w:rsidRPr="00406B8C">
              <w:rPr>
                <w:spacing w:val="-3"/>
                <w:sz w:val="20"/>
                <w:lang w:val="es-ES"/>
              </w:rPr>
              <w:t>•</w:t>
            </w:r>
            <w:r w:rsidRPr="00406B8C">
              <w:rPr>
                <w:spacing w:val="-3"/>
                <w:sz w:val="20"/>
                <w:lang w:val="es-ES"/>
              </w:rPr>
              <w:tab/>
              <w:t>Superficie de logística con actividad real: suma de las superficies utilizadas por empresas del área logística en zonas especiales, terminales portuarias, tierras de UBR y áreas de almacenamiento – 836 has</w:t>
            </w:r>
          </w:p>
          <w:p w:rsidR="00406B8C" w:rsidRPr="00406B8C" w:rsidRDefault="00406B8C" w:rsidP="008874E7">
            <w:pPr>
              <w:pStyle w:val="Paragraph"/>
              <w:widowControl w:val="0"/>
              <w:tabs>
                <w:tab w:val="clear" w:pos="1440"/>
                <w:tab w:val="num" w:pos="352"/>
              </w:tabs>
              <w:ind w:left="352" w:hanging="180"/>
              <w:rPr>
                <w:spacing w:val="-3"/>
                <w:sz w:val="20"/>
                <w:lang w:val="es-ES"/>
              </w:rPr>
            </w:pPr>
            <w:r w:rsidRPr="00406B8C">
              <w:rPr>
                <w:spacing w:val="-3"/>
                <w:sz w:val="20"/>
                <w:lang w:val="es-ES"/>
              </w:rPr>
              <w:t>•</w:t>
            </w:r>
            <w:r w:rsidRPr="00406B8C">
              <w:rPr>
                <w:spacing w:val="-3"/>
                <w:sz w:val="20"/>
                <w:lang w:val="es-ES"/>
              </w:rPr>
              <w:tab/>
              <w:t>Superficie logística total disponible: superficie logística potencial de Panamá, según los planes de expansión – 2.100 has.</w:t>
            </w:r>
          </w:p>
          <w:p w:rsidR="00FC0EE7" w:rsidRPr="00FC0EE7" w:rsidRDefault="00406B8C" w:rsidP="00406B8C">
            <w:pPr>
              <w:pStyle w:val="Paragraph"/>
              <w:widowControl w:val="0"/>
              <w:tabs>
                <w:tab w:val="clear" w:pos="1440"/>
              </w:tabs>
              <w:ind w:left="0" w:firstLine="0"/>
              <w:rPr>
                <w:spacing w:val="-3"/>
                <w:sz w:val="20"/>
                <w:lang w:val="es-ES"/>
              </w:rPr>
            </w:pPr>
            <w:r w:rsidRPr="00406B8C">
              <w:rPr>
                <w:spacing w:val="-3"/>
                <w:sz w:val="20"/>
                <w:lang w:val="es-ES"/>
              </w:rPr>
              <w:t>Superficie de logística con actividad real / superficie logística total disponible * 100</w:t>
            </w:r>
          </w:p>
        </w:tc>
      </w:tr>
      <w:tr w:rsidR="00FC0EE7" w:rsidRPr="001E63CD" w:rsidTr="00B558D6">
        <w:trPr>
          <w:trHeight w:val="83"/>
        </w:trPr>
        <w:tc>
          <w:tcPr>
            <w:tcW w:w="1700" w:type="dxa"/>
            <w:vMerge/>
          </w:tcPr>
          <w:p w:rsidR="00FC0EE7" w:rsidRPr="00FC0EE7" w:rsidRDefault="00FC0EE7" w:rsidP="006B5C00">
            <w:pPr>
              <w:pStyle w:val="Paragraph"/>
              <w:widowControl w:val="0"/>
              <w:tabs>
                <w:tab w:val="clear" w:pos="1440"/>
              </w:tabs>
              <w:ind w:left="0" w:firstLine="0"/>
              <w:rPr>
                <w:spacing w:val="-3"/>
                <w:sz w:val="20"/>
                <w:lang w:val="es-ES"/>
              </w:rPr>
            </w:pPr>
          </w:p>
        </w:tc>
        <w:tc>
          <w:tcPr>
            <w:tcW w:w="7480" w:type="dxa"/>
          </w:tcPr>
          <w:p w:rsidR="00406B8C" w:rsidRPr="00406B8C" w:rsidRDefault="00406B8C" w:rsidP="00406B8C">
            <w:pPr>
              <w:pStyle w:val="Paragraph"/>
              <w:widowControl w:val="0"/>
              <w:ind w:left="0" w:firstLine="0"/>
              <w:rPr>
                <w:spacing w:val="-3"/>
                <w:sz w:val="20"/>
                <w:lang w:val="es-ES"/>
              </w:rPr>
            </w:pPr>
            <w:r w:rsidRPr="00406B8C">
              <w:rPr>
                <w:b/>
                <w:spacing w:val="-3"/>
                <w:sz w:val="20"/>
                <w:lang w:val="es-ES"/>
              </w:rPr>
              <w:t>Línea de Base:</w:t>
            </w:r>
            <w:r>
              <w:rPr>
                <w:spacing w:val="-3"/>
                <w:sz w:val="20"/>
                <w:lang w:val="es-ES"/>
              </w:rPr>
              <w:t xml:space="preserve"> </w:t>
            </w:r>
            <w:r w:rsidRPr="00406B8C">
              <w:rPr>
                <w:spacing w:val="-3"/>
                <w:sz w:val="20"/>
                <w:lang w:val="es-ES"/>
              </w:rPr>
              <w:t>Se calcula por la fórmula:</w:t>
            </w:r>
          </w:p>
          <w:p w:rsidR="00FC0EE7" w:rsidRPr="00FC0EE7" w:rsidRDefault="00406B8C" w:rsidP="00406B8C">
            <w:pPr>
              <w:pStyle w:val="Paragraph"/>
              <w:widowControl w:val="0"/>
              <w:tabs>
                <w:tab w:val="clear" w:pos="1440"/>
              </w:tabs>
              <w:ind w:left="0" w:firstLine="0"/>
              <w:rPr>
                <w:spacing w:val="-3"/>
                <w:sz w:val="20"/>
                <w:lang w:val="es-ES"/>
              </w:rPr>
            </w:pPr>
            <w:r w:rsidRPr="00406B8C">
              <w:rPr>
                <w:spacing w:val="-3"/>
                <w:sz w:val="20"/>
                <w:lang w:val="es-ES"/>
              </w:rPr>
              <w:t>Superficie de logística con actividad real (836 has) / superficie logística total disponible (2.100) * 100 = 39%.</w:t>
            </w:r>
          </w:p>
        </w:tc>
      </w:tr>
      <w:tr w:rsidR="00FC0EE7" w:rsidRPr="001E63CD" w:rsidTr="00B558D6">
        <w:trPr>
          <w:trHeight w:val="83"/>
        </w:trPr>
        <w:tc>
          <w:tcPr>
            <w:tcW w:w="1700" w:type="dxa"/>
            <w:vMerge/>
          </w:tcPr>
          <w:p w:rsidR="00FC0EE7" w:rsidRPr="00FC0EE7" w:rsidRDefault="00FC0EE7" w:rsidP="006B5C00">
            <w:pPr>
              <w:pStyle w:val="Paragraph"/>
              <w:widowControl w:val="0"/>
              <w:tabs>
                <w:tab w:val="clear" w:pos="1440"/>
              </w:tabs>
              <w:ind w:left="0" w:firstLine="0"/>
              <w:rPr>
                <w:spacing w:val="-3"/>
                <w:sz w:val="20"/>
                <w:lang w:val="es-ES"/>
              </w:rPr>
            </w:pPr>
          </w:p>
        </w:tc>
        <w:tc>
          <w:tcPr>
            <w:tcW w:w="7480" w:type="dxa"/>
          </w:tcPr>
          <w:p w:rsidR="00FC0EE7" w:rsidRPr="00FC0EE7" w:rsidRDefault="00406B8C" w:rsidP="00406B8C">
            <w:pPr>
              <w:pStyle w:val="Paragraph"/>
              <w:widowControl w:val="0"/>
              <w:ind w:left="0" w:firstLine="0"/>
              <w:rPr>
                <w:spacing w:val="-3"/>
                <w:sz w:val="20"/>
                <w:lang w:val="es-ES"/>
              </w:rPr>
            </w:pPr>
            <w:r w:rsidRPr="00406B8C">
              <w:rPr>
                <w:b/>
                <w:spacing w:val="-3"/>
                <w:sz w:val="20"/>
                <w:lang w:val="es-ES"/>
              </w:rPr>
              <w:t>Aspectos de Monitoreo y Evaluación:</w:t>
            </w:r>
            <w:r>
              <w:rPr>
                <w:spacing w:val="-3"/>
                <w:sz w:val="20"/>
                <w:lang w:val="es-ES"/>
              </w:rPr>
              <w:t xml:space="preserve"> </w:t>
            </w:r>
            <w:r w:rsidRPr="00406B8C">
              <w:rPr>
                <w:spacing w:val="-3"/>
                <w:sz w:val="20"/>
                <w:lang w:val="es-ES"/>
              </w:rPr>
              <w:t>El indicador va a ser evaluado con el apoyo de la Coordinación Logística, a partir de los insumos del Informe del Ministerio de Comercio e Industria.</w:t>
            </w:r>
          </w:p>
        </w:tc>
      </w:tr>
      <w:tr w:rsidR="00FC0EE7" w:rsidRPr="001E63CD" w:rsidTr="00B558D6">
        <w:trPr>
          <w:trHeight w:val="84"/>
        </w:trPr>
        <w:tc>
          <w:tcPr>
            <w:tcW w:w="1700" w:type="dxa"/>
            <w:vMerge w:val="restart"/>
          </w:tcPr>
          <w:p w:rsidR="00FC0EE7" w:rsidRPr="00FC0EE7" w:rsidRDefault="006A3C1E" w:rsidP="00CB609D">
            <w:pPr>
              <w:pStyle w:val="Paragraph"/>
              <w:widowControl w:val="0"/>
              <w:tabs>
                <w:tab w:val="clear" w:pos="1440"/>
              </w:tabs>
              <w:ind w:left="0" w:firstLine="0"/>
              <w:jc w:val="left"/>
              <w:rPr>
                <w:spacing w:val="-3"/>
                <w:sz w:val="20"/>
                <w:lang w:val="es-ES"/>
              </w:rPr>
            </w:pPr>
            <w:r w:rsidRPr="00A147A9">
              <w:rPr>
                <w:b/>
                <w:spacing w:val="-3"/>
                <w:sz w:val="20"/>
                <w:lang w:val="es-ES"/>
              </w:rPr>
              <w:t>Indicador de Resultado 5</w:t>
            </w:r>
            <w:r w:rsidRPr="006A3C1E">
              <w:rPr>
                <w:spacing w:val="-3"/>
                <w:sz w:val="20"/>
                <w:lang w:val="es-ES"/>
              </w:rPr>
              <w:t xml:space="preserve">: </w:t>
            </w:r>
            <w:r w:rsidR="008874E7" w:rsidRPr="008874E7">
              <w:rPr>
                <w:spacing w:val="-3"/>
                <w:sz w:val="20"/>
                <w:lang w:val="es-ES"/>
              </w:rPr>
              <w:t>Perfiles ocupacionales en disciplinas de logística que cuentan con oferta de cursos o certificaciones (universitarias, vocacionales o cursos cortos)</w:t>
            </w:r>
          </w:p>
        </w:tc>
        <w:tc>
          <w:tcPr>
            <w:tcW w:w="7480" w:type="dxa"/>
          </w:tcPr>
          <w:p w:rsidR="00FC0EE7" w:rsidRPr="00FC0EE7" w:rsidRDefault="00C10BB5" w:rsidP="008874E7">
            <w:pPr>
              <w:pStyle w:val="Paragraph"/>
              <w:widowControl w:val="0"/>
              <w:ind w:left="0" w:firstLine="0"/>
              <w:rPr>
                <w:spacing w:val="-3"/>
                <w:sz w:val="20"/>
                <w:lang w:val="es-ES"/>
              </w:rPr>
            </w:pPr>
            <w:r w:rsidRPr="00C10BB5">
              <w:rPr>
                <w:b/>
                <w:spacing w:val="-3"/>
                <w:sz w:val="20"/>
                <w:lang w:val="es-ES"/>
              </w:rPr>
              <w:t>Descripción:</w:t>
            </w:r>
            <w:r>
              <w:rPr>
                <w:spacing w:val="-3"/>
                <w:sz w:val="20"/>
                <w:lang w:val="es-ES"/>
              </w:rPr>
              <w:t xml:space="preserve"> E</w:t>
            </w:r>
            <w:r w:rsidRPr="00C10BB5">
              <w:rPr>
                <w:spacing w:val="-3"/>
                <w:sz w:val="20"/>
                <w:lang w:val="es-ES"/>
              </w:rPr>
              <w:t>l indicador refleja el aumento del número de</w:t>
            </w:r>
            <w:r w:rsidR="008874E7">
              <w:rPr>
                <w:spacing w:val="-3"/>
                <w:sz w:val="20"/>
                <w:lang w:val="es-ES"/>
              </w:rPr>
              <w:t xml:space="preserve"> perfiles de las</w:t>
            </w:r>
            <w:r w:rsidRPr="00C10BB5">
              <w:rPr>
                <w:spacing w:val="-3"/>
                <w:sz w:val="20"/>
                <w:lang w:val="es-ES"/>
              </w:rPr>
              <w:t xml:space="preserve"> disciplinas logísticas demandadas por el sector que </w:t>
            </w:r>
            <w:r w:rsidR="008874E7">
              <w:rPr>
                <w:spacing w:val="-3"/>
                <w:sz w:val="20"/>
                <w:lang w:val="es-ES"/>
              </w:rPr>
              <w:t xml:space="preserve">cuentan con oferta </w:t>
            </w:r>
            <w:r w:rsidRPr="00C10BB5">
              <w:rPr>
                <w:spacing w:val="-3"/>
                <w:sz w:val="20"/>
                <w:lang w:val="es-ES"/>
              </w:rPr>
              <w:t>en Panamá, lo que impacta en la ampliación de la oferta de cursos de capacitación a nivel técnico y académico en el país. La definición e implementación de un Plan de Capacitación en Logística, que abarcan disciplinas técnicas y académicas, resultará en esta ampliación esperada en la oferta.</w:t>
            </w:r>
          </w:p>
        </w:tc>
      </w:tr>
      <w:tr w:rsidR="00FC0EE7" w:rsidRPr="001E63CD" w:rsidTr="00B558D6">
        <w:trPr>
          <w:trHeight w:val="83"/>
        </w:trPr>
        <w:tc>
          <w:tcPr>
            <w:tcW w:w="1700" w:type="dxa"/>
            <w:vMerge/>
          </w:tcPr>
          <w:p w:rsidR="00FC0EE7" w:rsidRPr="00FC0EE7" w:rsidRDefault="00FC0EE7" w:rsidP="006B5C00">
            <w:pPr>
              <w:pStyle w:val="Paragraph"/>
              <w:widowControl w:val="0"/>
              <w:tabs>
                <w:tab w:val="clear" w:pos="1440"/>
              </w:tabs>
              <w:ind w:left="0" w:firstLine="0"/>
              <w:rPr>
                <w:spacing w:val="-3"/>
                <w:sz w:val="20"/>
                <w:lang w:val="es-ES"/>
              </w:rPr>
            </w:pPr>
          </w:p>
        </w:tc>
        <w:tc>
          <w:tcPr>
            <w:tcW w:w="7480" w:type="dxa"/>
          </w:tcPr>
          <w:p w:rsidR="00C10BB5" w:rsidRPr="00C10BB5" w:rsidRDefault="00C10BB5" w:rsidP="00C10BB5">
            <w:pPr>
              <w:pStyle w:val="Paragraph"/>
              <w:widowControl w:val="0"/>
              <w:ind w:left="0" w:firstLine="0"/>
              <w:rPr>
                <w:spacing w:val="-3"/>
                <w:sz w:val="20"/>
                <w:lang w:val="es-ES"/>
              </w:rPr>
            </w:pPr>
            <w:r w:rsidRPr="00C10BB5">
              <w:rPr>
                <w:b/>
                <w:spacing w:val="-3"/>
                <w:sz w:val="20"/>
                <w:lang w:val="es-ES"/>
              </w:rPr>
              <w:t>Metodología de Cálculo</w:t>
            </w:r>
            <w:r>
              <w:rPr>
                <w:spacing w:val="-3"/>
                <w:sz w:val="20"/>
                <w:lang w:val="es-ES"/>
              </w:rPr>
              <w:t xml:space="preserve">: </w:t>
            </w:r>
            <w:r w:rsidRPr="00C10BB5">
              <w:rPr>
                <w:spacing w:val="-3"/>
                <w:sz w:val="20"/>
                <w:lang w:val="es-ES"/>
              </w:rPr>
              <w:t>El indicador será calculado por:</w:t>
            </w:r>
          </w:p>
          <w:p w:rsidR="00FC0EE7" w:rsidRDefault="00C10BB5" w:rsidP="00C10BB5">
            <w:pPr>
              <w:pStyle w:val="Paragraph"/>
              <w:widowControl w:val="0"/>
              <w:tabs>
                <w:tab w:val="clear" w:pos="1440"/>
              </w:tabs>
              <w:ind w:left="702" w:firstLine="0"/>
              <w:rPr>
                <w:spacing w:val="-3"/>
                <w:sz w:val="20"/>
                <w:lang w:val="es-ES"/>
              </w:rPr>
            </w:pPr>
            <w:r w:rsidRPr="00C10BB5">
              <w:rPr>
                <w:spacing w:val="-3"/>
                <w:sz w:val="20"/>
                <w:lang w:val="es-ES"/>
              </w:rPr>
              <w:t xml:space="preserve">Disciplinas logísticas demandadas que son impartidas en el país/total de disciplinas logísticas existentes </w:t>
            </w:r>
            <w:r>
              <w:rPr>
                <w:spacing w:val="-3"/>
                <w:sz w:val="20"/>
                <w:lang w:val="es-ES"/>
              </w:rPr>
              <w:t>en el medio académico * 100 (%)</w:t>
            </w:r>
          </w:p>
          <w:p w:rsidR="007A5866" w:rsidRPr="00FC0EE7" w:rsidRDefault="007A5866" w:rsidP="00A147A9">
            <w:pPr>
              <w:pStyle w:val="Paragraph"/>
              <w:widowControl w:val="0"/>
              <w:tabs>
                <w:tab w:val="clear" w:pos="1440"/>
              </w:tabs>
              <w:rPr>
                <w:spacing w:val="-3"/>
                <w:sz w:val="20"/>
                <w:lang w:val="es-ES"/>
              </w:rPr>
            </w:pPr>
          </w:p>
        </w:tc>
      </w:tr>
      <w:tr w:rsidR="00FC0EE7" w:rsidRPr="001E63CD" w:rsidTr="00B558D6">
        <w:trPr>
          <w:trHeight w:val="83"/>
        </w:trPr>
        <w:tc>
          <w:tcPr>
            <w:tcW w:w="1700" w:type="dxa"/>
            <w:vMerge/>
          </w:tcPr>
          <w:p w:rsidR="00FC0EE7" w:rsidRPr="00FC0EE7" w:rsidRDefault="00FC0EE7" w:rsidP="006B5C00">
            <w:pPr>
              <w:pStyle w:val="Paragraph"/>
              <w:widowControl w:val="0"/>
              <w:tabs>
                <w:tab w:val="clear" w:pos="1440"/>
              </w:tabs>
              <w:ind w:left="0" w:firstLine="0"/>
              <w:rPr>
                <w:spacing w:val="-3"/>
                <w:sz w:val="20"/>
                <w:lang w:val="es-ES"/>
              </w:rPr>
            </w:pPr>
          </w:p>
        </w:tc>
        <w:tc>
          <w:tcPr>
            <w:tcW w:w="7480" w:type="dxa"/>
          </w:tcPr>
          <w:p w:rsidR="00C10BB5" w:rsidRPr="00C10BB5" w:rsidRDefault="00C10BB5" w:rsidP="00C10BB5">
            <w:pPr>
              <w:pStyle w:val="Paragraph"/>
              <w:widowControl w:val="0"/>
              <w:ind w:left="0" w:firstLine="0"/>
              <w:rPr>
                <w:spacing w:val="-3"/>
                <w:sz w:val="20"/>
                <w:lang w:val="es-ES"/>
              </w:rPr>
            </w:pPr>
            <w:r w:rsidRPr="00C10BB5">
              <w:rPr>
                <w:b/>
                <w:spacing w:val="-3"/>
                <w:sz w:val="20"/>
                <w:lang w:val="es-ES"/>
              </w:rPr>
              <w:t>Línea de Base:</w:t>
            </w:r>
            <w:r>
              <w:rPr>
                <w:spacing w:val="-3"/>
                <w:sz w:val="20"/>
                <w:lang w:val="es-ES"/>
              </w:rPr>
              <w:t xml:space="preserve"> </w:t>
            </w:r>
            <w:r w:rsidRPr="00C10BB5">
              <w:rPr>
                <w:spacing w:val="-3"/>
                <w:sz w:val="20"/>
                <w:lang w:val="es-ES"/>
              </w:rPr>
              <w:t>Se calculó de la siguiente manera:</w:t>
            </w:r>
          </w:p>
          <w:p w:rsidR="00C10BB5" w:rsidRPr="00C10BB5" w:rsidRDefault="00C10BB5" w:rsidP="008874E7">
            <w:pPr>
              <w:pStyle w:val="Paragraph"/>
              <w:widowControl w:val="0"/>
              <w:ind w:left="720" w:firstLine="0"/>
              <w:rPr>
                <w:spacing w:val="-3"/>
                <w:sz w:val="20"/>
                <w:lang w:val="es-ES"/>
              </w:rPr>
            </w:pPr>
            <w:r w:rsidRPr="00C10BB5">
              <w:rPr>
                <w:spacing w:val="-3"/>
                <w:sz w:val="20"/>
                <w:lang w:val="es-ES"/>
              </w:rPr>
              <w:t>Disciplinas logísticas demandadas que son  impartidas en el país = 29 (13 universitarias, 13 vocacionales y 3 cursos cortos)</w:t>
            </w:r>
          </w:p>
          <w:p w:rsidR="00FC0EE7" w:rsidRDefault="00C10BB5" w:rsidP="008874E7">
            <w:pPr>
              <w:pStyle w:val="Paragraph"/>
              <w:widowControl w:val="0"/>
              <w:ind w:left="0" w:firstLine="0"/>
              <w:rPr>
                <w:spacing w:val="-3"/>
                <w:sz w:val="20"/>
                <w:lang w:val="es-ES"/>
              </w:rPr>
            </w:pPr>
            <w:r w:rsidRPr="00C10BB5">
              <w:rPr>
                <w:spacing w:val="-3"/>
                <w:sz w:val="20"/>
                <w:lang w:val="es-ES"/>
              </w:rPr>
              <w:t>Total de disciplinas logísticas existentes en el medio académico = 60</w:t>
            </w:r>
            <w:r w:rsidR="008874E7">
              <w:rPr>
                <w:spacing w:val="-3"/>
                <w:sz w:val="20"/>
                <w:lang w:val="es-ES"/>
              </w:rPr>
              <w:t xml:space="preserve"> </w:t>
            </w:r>
            <w:r w:rsidRPr="00C10BB5">
              <w:rPr>
                <w:spacing w:val="-3"/>
                <w:sz w:val="20"/>
                <w:lang w:val="es-ES"/>
              </w:rPr>
              <w:t>= 29/60*100 =39%</w:t>
            </w:r>
          </w:p>
          <w:p w:rsidR="007A5866" w:rsidRDefault="008874E7" w:rsidP="00C10BB5">
            <w:pPr>
              <w:pStyle w:val="Paragraph"/>
              <w:widowControl w:val="0"/>
              <w:tabs>
                <w:tab w:val="clear" w:pos="1440"/>
              </w:tabs>
              <w:ind w:left="0" w:firstLine="0"/>
            </w:pPr>
            <w:r>
              <w:object w:dxaOrig="11715" w:dyaOrig="6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9pt;height:254.6pt" o:ole="">
                  <v:imagedata r:id="rId14" o:title=""/>
                </v:shape>
                <o:OLEObject Type="Embed" ProgID="PBrush" ShapeID="_x0000_i1025" DrawAspect="Content" ObjectID="_1517208375" r:id="rId15"/>
              </w:object>
            </w:r>
          </w:p>
          <w:p w:rsidR="007A5866" w:rsidRPr="00A147A9" w:rsidRDefault="007A5866" w:rsidP="00C10BB5">
            <w:pPr>
              <w:pStyle w:val="Paragraph"/>
              <w:widowControl w:val="0"/>
              <w:tabs>
                <w:tab w:val="clear" w:pos="1440"/>
              </w:tabs>
              <w:ind w:left="0" w:firstLine="0"/>
              <w:rPr>
                <w:spacing w:val="-3"/>
                <w:sz w:val="20"/>
                <w:lang w:val="es-ES_tradnl"/>
              </w:rPr>
            </w:pPr>
            <w:r w:rsidRPr="00A147A9">
              <w:rPr>
                <w:b/>
                <w:spacing w:val="-3"/>
                <w:sz w:val="20"/>
                <w:lang w:val="es-ES"/>
              </w:rPr>
              <w:t>Fuente:</w:t>
            </w:r>
            <w:r w:rsidRPr="00A147A9">
              <w:rPr>
                <w:spacing w:val="-3"/>
                <w:sz w:val="20"/>
                <w:lang w:val="es-ES"/>
              </w:rPr>
              <w:t xml:space="preserve"> Estudio de Necesidades, Ofertas Académicas y Plan Piloto de Formación a nivel técnico en Logística</w:t>
            </w:r>
            <w:r>
              <w:rPr>
                <w:spacing w:val="-3"/>
                <w:sz w:val="20"/>
                <w:lang w:val="es-ES"/>
              </w:rPr>
              <w:t xml:space="preserve">, 2014. </w:t>
            </w:r>
          </w:p>
        </w:tc>
      </w:tr>
      <w:tr w:rsidR="00FC0EE7" w:rsidRPr="001E63CD" w:rsidTr="00B558D6">
        <w:trPr>
          <w:trHeight w:val="83"/>
        </w:trPr>
        <w:tc>
          <w:tcPr>
            <w:tcW w:w="1700" w:type="dxa"/>
            <w:vMerge/>
          </w:tcPr>
          <w:p w:rsidR="00FC0EE7" w:rsidRPr="00FC0EE7" w:rsidRDefault="00FC0EE7" w:rsidP="006B5C00">
            <w:pPr>
              <w:pStyle w:val="Paragraph"/>
              <w:widowControl w:val="0"/>
              <w:tabs>
                <w:tab w:val="clear" w:pos="1440"/>
              </w:tabs>
              <w:ind w:left="0" w:firstLine="0"/>
              <w:rPr>
                <w:spacing w:val="-3"/>
                <w:sz w:val="20"/>
                <w:lang w:val="es-ES"/>
              </w:rPr>
            </w:pPr>
          </w:p>
        </w:tc>
        <w:tc>
          <w:tcPr>
            <w:tcW w:w="7480" w:type="dxa"/>
          </w:tcPr>
          <w:p w:rsidR="00FC0EE7" w:rsidRPr="00FC0EE7" w:rsidRDefault="00C10BB5" w:rsidP="00C10BB5">
            <w:pPr>
              <w:pStyle w:val="Paragraph"/>
              <w:widowControl w:val="0"/>
              <w:ind w:left="0" w:firstLine="0"/>
              <w:rPr>
                <w:spacing w:val="-3"/>
                <w:sz w:val="20"/>
                <w:lang w:val="es-ES"/>
              </w:rPr>
            </w:pPr>
            <w:r w:rsidRPr="00C10BB5">
              <w:rPr>
                <w:b/>
                <w:spacing w:val="-3"/>
                <w:sz w:val="20"/>
                <w:lang w:val="es-ES"/>
              </w:rPr>
              <w:t>Aspectos de Monitoreo y Evaluación:</w:t>
            </w:r>
            <w:r>
              <w:rPr>
                <w:spacing w:val="-3"/>
                <w:sz w:val="20"/>
                <w:lang w:val="es-ES"/>
              </w:rPr>
              <w:t xml:space="preserve"> </w:t>
            </w:r>
            <w:r w:rsidRPr="00C10BB5">
              <w:rPr>
                <w:spacing w:val="-3"/>
                <w:sz w:val="20"/>
                <w:lang w:val="es-ES"/>
              </w:rPr>
              <w:t>El indicador va a ser evaluado con el apoyo de la Coordinación Logística, a partir de los insumos del Instituto Nacional de Formación Profesional y Capacitación para el Desarrollo Humano.</w:t>
            </w:r>
          </w:p>
        </w:tc>
      </w:tr>
    </w:tbl>
    <w:p w:rsidR="00C32265" w:rsidRDefault="00C32265" w:rsidP="008A02B3">
      <w:pPr>
        <w:pStyle w:val="Paragraph"/>
        <w:widowControl w:val="0"/>
        <w:tabs>
          <w:tab w:val="clear" w:pos="1440"/>
        </w:tabs>
        <w:ind w:left="0" w:firstLine="0"/>
        <w:rPr>
          <w:sz w:val="20"/>
          <w:lang w:val="es-ES"/>
        </w:rPr>
      </w:pPr>
    </w:p>
    <w:p w:rsidR="00D344B3" w:rsidRDefault="001417F1" w:rsidP="008A02B3">
      <w:pPr>
        <w:pStyle w:val="Paragraph"/>
        <w:widowControl w:val="0"/>
        <w:numPr>
          <w:ilvl w:val="0"/>
          <w:numId w:val="8"/>
        </w:numPr>
        <w:rPr>
          <w:b/>
          <w:spacing w:val="-3"/>
          <w:szCs w:val="24"/>
          <w:lang w:val="es-ES"/>
        </w:rPr>
      </w:pPr>
      <w:r>
        <w:rPr>
          <w:b/>
          <w:spacing w:val="-3"/>
          <w:szCs w:val="24"/>
          <w:lang w:val="es-ES"/>
        </w:rPr>
        <w:t xml:space="preserve">Evaluaciones complementarias. </w:t>
      </w:r>
      <w:r w:rsidR="00C960A4">
        <w:rPr>
          <w:b/>
          <w:spacing w:val="-3"/>
          <w:szCs w:val="24"/>
          <w:lang w:val="es-ES"/>
        </w:rPr>
        <w:t>Evaluación Económica</w:t>
      </w:r>
      <w:r>
        <w:rPr>
          <w:b/>
          <w:spacing w:val="-3"/>
          <w:szCs w:val="24"/>
          <w:lang w:val="es-ES"/>
        </w:rPr>
        <w:t xml:space="preserve"> </w:t>
      </w:r>
    </w:p>
    <w:p w:rsidR="009F7F76" w:rsidRPr="009F7F76" w:rsidRDefault="009F7F76" w:rsidP="00F25C3F">
      <w:pPr>
        <w:pStyle w:val="Paragraph"/>
        <w:numPr>
          <w:ilvl w:val="1"/>
          <w:numId w:val="10"/>
        </w:numPr>
        <w:spacing w:before="100" w:after="100"/>
        <w:ind w:left="900" w:hanging="900"/>
        <w:rPr>
          <w:lang w:val="es-ES"/>
        </w:rPr>
      </w:pPr>
      <w:r w:rsidRPr="009F7F76">
        <w:rPr>
          <w:lang w:val="es-ES"/>
        </w:rPr>
        <w:t xml:space="preserve">Se utiliza la matriz inversa de </w:t>
      </w:r>
      <w:proofErr w:type="spellStart"/>
      <w:r w:rsidRPr="009F7F76">
        <w:rPr>
          <w:lang w:val="es-ES"/>
        </w:rPr>
        <w:t>Leontief</w:t>
      </w:r>
      <w:proofErr w:type="spellEnd"/>
      <w:r w:rsidRPr="009F7F76">
        <w:rPr>
          <w:lang w:val="es-ES"/>
        </w:rPr>
        <w:t xml:space="preserve"> de la economía panameña para estimar el impacto de las demandas finales inducidas en los dos sectores de foco que recibirían el impacto </w:t>
      </w:r>
      <w:r w:rsidRPr="00F25C3F">
        <w:rPr>
          <w:lang w:val="es-ES_tradnl" w:eastAsia="es-ES"/>
        </w:rPr>
        <w:t>positivo</w:t>
      </w:r>
      <w:r w:rsidRPr="009F7F76">
        <w:rPr>
          <w:lang w:val="es-ES"/>
        </w:rPr>
        <w:t xml:space="preserve"> de las reformas e inversiones públicas, y del Programa PN-L1119 en el sector logístico.</w:t>
      </w:r>
    </w:p>
    <w:p w:rsidR="009F7F76" w:rsidRPr="009F7F76" w:rsidRDefault="009F7F76" w:rsidP="00F25C3F">
      <w:pPr>
        <w:pStyle w:val="Paragraph"/>
        <w:numPr>
          <w:ilvl w:val="1"/>
          <w:numId w:val="10"/>
        </w:numPr>
        <w:spacing w:before="100" w:after="100"/>
        <w:ind w:left="900" w:hanging="900"/>
        <w:rPr>
          <w:lang w:val="es-ES"/>
        </w:rPr>
      </w:pPr>
      <w:r w:rsidRPr="009F7F76">
        <w:rPr>
          <w:lang w:val="es-ES"/>
        </w:rPr>
        <w:t xml:space="preserve">Para ello se construyeron, a partir de información del Instituto Nacional de Estadística y Censo de Panamá (INEC) de Matrices de Oferta y Utilización del año 2012, y con la metodología de </w:t>
      </w:r>
      <w:proofErr w:type="spellStart"/>
      <w:r w:rsidRPr="009F7F76">
        <w:rPr>
          <w:lang w:val="es-ES"/>
        </w:rPr>
        <w:t>Eurostat</w:t>
      </w:r>
      <w:proofErr w:type="spellEnd"/>
      <w:r w:rsidRPr="009F7F76">
        <w:rPr>
          <w:lang w:val="es-ES"/>
        </w:rPr>
        <w:t xml:space="preserve"> (2008) para cuentas nacionales, dos diferentes tipos de matrices de coeficientes técnicos, presentando los pasos para su construcción. Estos tipos de matrices se derivan de diversos supuestos sobre las tecnologías de </w:t>
      </w:r>
      <w:r w:rsidRPr="00F25C3F">
        <w:rPr>
          <w:lang w:val="es-ES_tradnl" w:eastAsia="es-ES"/>
        </w:rPr>
        <w:t>producción</w:t>
      </w:r>
      <w:r w:rsidRPr="009F7F76">
        <w:rPr>
          <w:lang w:val="es-ES"/>
        </w:rPr>
        <w:t xml:space="preserve"> o ventas por producto o por industria. Con las matrices de coeficientes técnicos se calcularon matrices inversas de </w:t>
      </w:r>
      <w:proofErr w:type="spellStart"/>
      <w:r w:rsidRPr="009F7F76">
        <w:rPr>
          <w:lang w:val="es-ES"/>
        </w:rPr>
        <w:t>Leontief</w:t>
      </w:r>
      <w:proofErr w:type="spellEnd"/>
      <w:r w:rsidRPr="009F7F76">
        <w:rPr>
          <w:lang w:val="es-ES"/>
        </w:rPr>
        <w:t xml:space="preserve">.  </w:t>
      </w:r>
    </w:p>
    <w:p w:rsidR="009F7F76" w:rsidRPr="009F7F76" w:rsidRDefault="009F7F76" w:rsidP="00F25C3F">
      <w:pPr>
        <w:pStyle w:val="Paragraph"/>
        <w:numPr>
          <w:ilvl w:val="1"/>
          <w:numId w:val="10"/>
        </w:numPr>
        <w:spacing w:before="100" w:after="100"/>
        <w:ind w:left="900" w:hanging="900"/>
        <w:rPr>
          <w:lang w:val="es-ES"/>
        </w:rPr>
      </w:pPr>
      <w:r w:rsidRPr="009F7F76">
        <w:rPr>
          <w:lang w:val="es-ES"/>
        </w:rPr>
        <w:t xml:space="preserve">A continuación se realizó un análisis intersectorial de multiplicadores de PIB por sector, y de cálculo de Índices de Poder y Sensibilidad de Dispersión para todos los sectores de la economía de Panamá. Posteriormente se identificó, cuantificó y justificó el </w:t>
      </w:r>
      <w:r w:rsidRPr="00F25C3F">
        <w:rPr>
          <w:lang w:val="es-ES_tradnl" w:eastAsia="es-ES"/>
        </w:rPr>
        <w:t>vector</w:t>
      </w:r>
      <w:r w:rsidRPr="009F7F76">
        <w:rPr>
          <w:lang w:val="es-ES"/>
        </w:rPr>
        <w:t xml:space="preserve"> de incrementos de demanda final en los dos sectores foco que serán dinamizados a causa de las acciones catalíticas del PN-L1119 y demás reformas tomadas por el Gobierno de Panamá en los sectores de transporte y logística. Por último, se efectuó un análisis de sensibilidad. </w:t>
      </w:r>
    </w:p>
    <w:p w:rsidR="009F7F76" w:rsidRPr="009F7F76" w:rsidRDefault="009F7F76" w:rsidP="00F25C3F">
      <w:pPr>
        <w:pStyle w:val="Paragraph"/>
        <w:numPr>
          <w:ilvl w:val="1"/>
          <w:numId w:val="10"/>
        </w:numPr>
        <w:spacing w:before="100" w:after="100"/>
        <w:ind w:left="900" w:hanging="900"/>
        <w:rPr>
          <w:lang w:val="es-ES"/>
        </w:rPr>
      </w:pPr>
      <w:r w:rsidRPr="009F7F76">
        <w:rPr>
          <w:lang w:val="es-ES"/>
        </w:rPr>
        <w:t xml:space="preserve">Los impactos encontrados para el año 2018, año en que se empiezan a materializar, fueron de la </w:t>
      </w:r>
      <w:r w:rsidRPr="00F25C3F">
        <w:rPr>
          <w:lang w:val="es-ES_tradnl" w:eastAsia="es-ES"/>
        </w:rPr>
        <w:t>siguiente</w:t>
      </w:r>
      <w:r w:rsidRPr="009F7F76">
        <w:rPr>
          <w:lang w:val="es-ES"/>
        </w:rPr>
        <w:t xml:space="preserve"> magni</w:t>
      </w:r>
      <w:r w:rsidR="00F25C3F">
        <w:rPr>
          <w:lang w:val="es-ES"/>
        </w:rPr>
        <w:t>tud. En el Escenario Básico, US$</w:t>
      </w:r>
      <w:r w:rsidR="00F25C3F" w:rsidRPr="009F7F76">
        <w:rPr>
          <w:lang w:val="es-ES"/>
        </w:rPr>
        <w:t xml:space="preserve"> </w:t>
      </w:r>
      <w:r w:rsidR="00F25C3F" w:rsidRPr="009F7F76">
        <w:rPr>
          <w:lang w:val="es-ES"/>
        </w:rPr>
        <w:lastRenderedPageBreak/>
        <w:t>(</w:t>
      </w:r>
      <w:r w:rsidRPr="009F7F76">
        <w:rPr>
          <w:lang w:val="es-ES"/>
        </w:rPr>
        <w:t>2014) 232 millones, (0.36% del</w:t>
      </w:r>
      <w:r w:rsidR="00F25C3F">
        <w:rPr>
          <w:lang w:val="es-ES"/>
        </w:rPr>
        <w:t xml:space="preserve"> PIB). En el Escenario Alto, US$</w:t>
      </w:r>
      <w:r w:rsidR="00F25C3F" w:rsidRPr="009F7F76">
        <w:rPr>
          <w:lang w:val="es-ES"/>
        </w:rPr>
        <w:t xml:space="preserve"> (</w:t>
      </w:r>
      <w:r w:rsidRPr="009F7F76">
        <w:rPr>
          <w:lang w:val="es-ES"/>
        </w:rPr>
        <w:t>2014) 680 millones (1.04% del</w:t>
      </w:r>
      <w:r w:rsidR="00F25C3F">
        <w:rPr>
          <w:lang w:val="es-ES"/>
        </w:rPr>
        <w:t xml:space="preserve"> PIB). En el Escenario Bajo, US$</w:t>
      </w:r>
      <w:r w:rsidR="00F25C3F" w:rsidRPr="009F7F76">
        <w:rPr>
          <w:lang w:val="es-ES"/>
        </w:rPr>
        <w:t xml:space="preserve"> (</w:t>
      </w:r>
      <w:r w:rsidRPr="009F7F76">
        <w:rPr>
          <w:lang w:val="es-ES"/>
        </w:rPr>
        <w:t>2014) 188 millones (0.29 % del PIB).</w:t>
      </w:r>
    </w:p>
    <w:p w:rsidR="00BA7303" w:rsidRPr="00F25C3F" w:rsidRDefault="009F7F76" w:rsidP="00F25C3F">
      <w:pPr>
        <w:pStyle w:val="Paragraph"/>
        <w:numPr>
          <w:ilvl w:val="1"/>
          <w:numId w:val="10"/>
        </w:numPr>
        <w:spacing w:before="100" w:after="100"/>
        <w:ind w:left="900" w:hanging="900"/>
        <w:rPr>
          <w:b/>
          <w:spacing w:val="-3"/>
          <w:szCs w:val="24"/>
          <w:lang w:val="es-ES"/>
        </w:rPr>
      </w:pPr>
      <w:r w:rsidRPr="009F7F76">
        <w:rPr>
          <w:lang w:val="es-ES"/>
        </w:rPr>
        <w:t xml:space="preserve">Los resultados de incrementos del PIB son robustos a </w:t>
      </w:r>
      <w:r w:rsidR="00F25C3F" w:rsidRPr="009F7F76">
        <w:rPr>
          <w:lang w:val="es-ES"/>
        </w:rPr>
        <w:t>las especificaciones</w:t>
      </w:r>
      <w:r w:rsidRPr="009F7F76">
        <w:rPr>
          <w:lang w:val="es-ES"/>
        </w:rPr>
        <w:t xml:space="preserve"> de los dos modelos insumo-</w:t>
      </w:r>
      <w:r w:rsidRPr="00F25C3F">
        <w:rPr>
          <w:lang w:val="es-ES_tradnl" w:eastAsia="es-ES"/>
        </w:rPr>
        <w:t>producto</w:t>
      </w:r>
      <w:r w:rsidRPr="009F7F76">
        <w:rPr>
          <w:lang w:val="es-ES"/>
        </w:rPr>
        <w:t xml:space="preserve"> usado. El impacto encontrado es razonable en su orden de magnitud, y genera un mensaje de conveniencia </w:t>
      </w:r>
      <w:r w:rsidR="00F25C3F">
        <w:rPr>
          <w:lang w:val="es-ES"/>
        </w:rPr>
        <w:t>sobre la ejecución del PN-L1119</w:t>
      </w:r>
    </w:p>
    <w:p w:rsidR="00C960A4" w:rsidRPr="00FC2BC4" w:rsidRDefault="00C960A4" w:rsidP="008A02B3">
      <w:pPr>
        <w:pStyle w:val="Paragraph"/>
        <w:widowControl w:val="0"/>
        <w:numPr>
          <w:ilvl w:val="0"/>
          <w:numId w:val="8"/>
        </w:numPr>
        <w:rPr>
          <w:b/>
          <w:spacing w:val="-3"/>
          <w:szCs w:val="24"/>
          <w:lang w:val="es-ES"/>
        </w:rPr>
      </w:pPr>
      <w:r w:rsidRPr="00FC2BC4">
        <w:rPr>
          <w:b/>
          <w:spacing w:val="-3"/>
          <w:szCs w:val="24"/>
          <w:lang w:val="es-ES"/>
        </w:rPr>
        <w:t xml:space="preserve">Informe </w:t>
      </w:r>
      <w:r w:rsidR="00D947B1" w:rsidRPr="00FC2BC4">
        <w:rPr>
          <w:b/>
          <w:spacing w:val="-3"/>
          <w:szCs w:val="24"/>
          <w:lang w:val="es-ES"/>
        </w:rPr>
        <w:t xml:space="preserve">de </w:t>
      </w:r>
      <w:r w:rsidR="009F7F76" w:rsidRPr="00FC2BC4">
        <w:rPr>
          <w:b/>
          <w:spacing w:val="-3"/>
          <w:szCs w:val="24"/>
          <w:lang w:val="es-ES"/>
        </w:rPr>
        <w:t>Termin</w:t>
      </w:r>
      <w:r w:rsidR="009F7F76">
        <w:rPr>
          <w:b/>
          <w:spacing w:val="-3"/>
          <w:szCs w:val="24"/>
          <w:lang w:val="es-ES"/>
        </w:rPr>
        <w:t>ación</w:t>
      </w:r>
      <w:r w:rsidR="00D947B1" w:rsidRPr="00FC2BC4">
        <w:rPr>
          <w:b/>
          <w:spacing w:val="-3"/>
          <w:szCs w:val="24"/>
          <w:lang w:val="es-ES"/>
        </w:rPr>
        <w:t xml:space="preserve"> del Proyecto</w:t>
      </w:r>
      <w:r w:rsidRPr="00FC2BC4">
        <w:rPr>
          <w:b/>
          <w:spacing w:val="-3"/>
          <w:szCs w:val="24"/>
          <w:lang w:val="es-ES"/>
        </w:rPr>
        <w:t xml:space="preserve"> (PCR)</w:t>
      </w:r>
    </w:p>
    <w:p w:rsidR="00202900" w:rsidRPr="009F7F76" w:rsidRDefault="00202900" w:rsidP="001E63CD">
      <w:pPr>
        <w:pStyle w:val="Paragraph"/>
        <w:numPr>
          <w:ilvl w:val="1"/>
          <w:numId w:val="10"/>
        </w:numPr>
        <w:spacing w:before="100" w:after="100"/>
        <w:ind w:left="900" w:hanging="900"/>
        <w:rPr>
          <w:spacing w:val="-3"/>
          <w:szCs w:val="24"/>
          <w:lang w:val="es-ES"/>
        </w:rPr>
      </w:pPr>
      <w:r w:rsidRPr="009F7F76">
        <w:rPr>
          <w:lang w:val="es-ES_tradnl" w:eastAsia="es-ES"/>
        </w:rPr>
        <w:t xml:space="preserve">El Informe de Terminación de Proyecto o PCR, por sus siglas en inglés, es el principal instrumento de rendición de cuentas que utiliza el Banco para mostrar tanto a </w:t>
      </w:r>
      <w:proofErr w:type="spellStart"/>
      <w:r w:rsidRPr="009F7F76">
        <w:rPr>
          <w:lang w:val="es-ES_tradnl" w:eastAsia="es-ES"/>
        </w:rPr>
        <w:t>stakeholders</w:t>
      </w:r>
      <w:proofErr w:type="spellEnd"/>
      <w:r w:rsidRPr="009F7F76">
        <w:rPr>
          <w:lang w:val="es-ES_tradnl" w:eastAsia="es-ES"/>
        </w:rPr>
        <w:t xml:space="preserve"> internos y externos al Banco, el desempeño de sus operaciones con garantía soberana y la efectividad en el Desarrollo de las mismas. Asimismo, presenta los principales hallazgos y recomendaciones a fin de fortalecer el diseño y ejecución de futuros proyectos.</w:t>
      </w:r>
    </w:p>
    <w:p w:rsidR="00202900" w:rsidRPr="00CB609D" w:rsidRDefault="001417F1" w:rsidP="009F7F76">
      <w:pPr>
        <w:pStyle w:val="Paragraph"/>
        <w:numPr>
          <w:ilvl w:val="1"/>
          <w:numId w:val="10"/>
        </w:numPr>
        <w:spacing w:before="100" w:after="100"/>
        <w:ind w:left="900" w:hanging="900"/>
        <w:rPr>
          <w:lang w:val="es-ES_tradnl" w:eastAsia="es-ES"/>
        </w:rPr>
      </w:pPr>
      <w:r w:rsidRPr="001417F1">
        <w:rPr>
          <w:spacing w:val="-3"/>
          <w:szCs w:val="24"/>
          <w:lang w:val="es-ES"/>
        </w:rPr>
        <w:t>El PCR</w:t>
      </w:r>
      <w:r w:rsidR="00202900">
        <w:rPr>
          <w:spacing w:val="-3"/>
          <w:szCs w:val="24"/>
          <w:lang w:val="es-ES"/>
        </w:rPr>
        <w:t xml:space="preserve"> </w:t>
      </w:r>
      <w:r>
        <w:rPr>
          <w:spacing w:val="-3"/>
          <w:szCs w:val="24"/>
          <w:lang w:val="es-ES"/>
        </w:rPr>
        <w:t xml:space="preserve">será aplicado según las </w:t>
      </w:r>
      <w:r w:rsidRPr="001417F1">
        <w:rPr>
          <w:spacing w:val="-3"/>
          <w:szCs w:val="24"/>
          <w:lang w:val="es-ES"/>
        </w:rPr>
        <w:t>nuevas guías</w:t>
      </w:r>
      <w:r>
        <w:rPr>
          <w:spacing w:val="-3"/>
          <w:szCs w:val="24"/>
          <w:lang w:val="es-ES"/>
        </w:rPr>
        <w:t xml:space="preserve"> que </w:t>
      </w:r>
      <w:r w:rsidRPr="001417F1">
        <w:rPr>
          <w:spacing w:val="-3"/>
          <w:szCs w:val="24"/>
          <w:lang w:val="es-ES"/>
        </w:rPr>
        <w:t>entraron en vigencia el 5 de Agosto de 2014, bajo el código OP-1242; y tuvieron su primera actualización en Febrero de 2015</w:t>
      </w:r>
      <w:r w:rsidR="00202900">
        <w:rPr>
          <w:spacing w:val="-3"/>
          <w:szCs w:val="24"/>
          <w:lang w:val="es-ES"/>
        </w:rPr>
        <w:t>.</w:t>
      </w:r>
    </w:p>
    <w:p w:rsidR="001417F1" w:rsidRPr="009F7F76" w:rsidRDefault="00202900" w:rsidP="009F7F76">
      <w:pPr>
        <w:pStyle w:val="Paragraph"/>
        <w:numPr>
          <w:ilvl w:val="1"/>
          <w:numId w:val="10"/>
        </w:numPr>
        <w:spacing w:before="100" w:after="100"/>
        <w:ind w:left="900" w:hanging="900"/>
        <w:rPr>
          <w:lang w:val="es-ES_tradnl" w:eastAsia="es-ES"/>
        </w:rPr>
      </w:pPr>
      <w:r w:rsidRPr="009F7F76">
        <w:rPr>
          <w:spacing w:val="-3"/>
          <w:szCs w:val="24"/>
          <w:lang w:val="es-ES"/>
        </w:rPr>
        <w:t xml:space="preserve">La evaluación será conducida a partir del análisis de los </w:t>
      </w:r>
      <w:r w:rsidR="001417F1" w:rsidRPr="009F7F76">
        <w:rPr>
          <w:lang w:val="es-ES_tradnl" w:eastAsia="es-ES"/>
        </w:rPr>
        <w:t xml:space="preserve">criterios centrales y criterios no centrales. Los criterios centrales del PCR, básicamente evalúan el desempeño del proyecto y se determinan en forma objetiva con base en los resultados y </w:t>
      </w:r>
      <w:r w:rsidR="001417F1" w:rsidRPr="009F7F76">
        <w:rPr>
          <w:spacing w:val="-3"/>
          <w:szCs w:val="24"/>
          <w:lang w:val="es-ES"/>
        </w:rPr>
        <w:t>productos</w:t>
      </w:r>
      <w:r w:rsidR="001417F1" w:rsidRPr="009F7F76">
        <w:rPr>
          <w:lang w:val="es-ES_tradnl" w:eastAsia="es-ES"/>
        </w:rPr>
        <w:t xml:space="preserve"> del mismo, y se califica a través de cuatro criterios:</w:t>
      </w:r>
      <w:r w:rsidR="009F7F76" w:rsidRPr="009F7F76">
        <w:rPr>
          <w:lang w:val="es-ES_tradnl" w:eastAsia="es-ES"/>
        </w:rPr>
        <w:t xml:space="preserve"> </w:t>
      </w:r>
      <w:r w:rsidR="009F7F76">
        <w:rPr>
          <w:lang w:val="es-ES_tradnl" w:eastAsia="es-ES"/>
        </w:rPr>
        <w:t xml:space="preserve">(i) </w:t>
      </w:r>
      <w:r w:rsidR="001417F1" w:rsidRPr="009F7F76">
        <w:rPr>
          <w:lang w:val="es-ES_tradnl" w:eastAsia="es-ES"/>
        </w:rPr>
        <w:t xml:space="preserve">Efectividad, </w:t>
      </w:r>
      <w:r w:rsidR="009F7F76">
        <w:rPr>
          <w:lang w:val="es-ES_tradnl" w:eastAsia="es-ES"/>
        </w:rPr>
        <w:t>(</w:t>
      </w:r>
      <w:r w:rsidR="001417F1" w:rsidRPr="009F7F76">
        <w:rPr>
          <w:lang w:val="es-ES_tradnl" w:eastAsia="es-ES"/>
        </w:rPr>
        <w:t>ii) Eficiencia</w:t>
      </w:r>
      <w:r>
        <w:rPr>
          <w:rStyle w:val="FootnoteReference"/>
          <w:lang w:val="es-ES_tradnl" w:eastAsia="es-ES"/>
        </w:rPr>
        <w:footnoteReference w:id="6"/>
      </w:r>
      <w:r w:rsidR="001417F1" w:rsidRPr="009F7F76">
        <w:rPr>
          <w:lang w:val="es-ES_tradnl" w:eastAsia="es-ES"/>
        </w:rPr>
        <w:t xml:space="preserve">, </w:t>
      </w:r>
      <w:r w:rsidR="009F7F76">
        <w:rPr>
          <w:lang w:val="es-ES_tradnl" w:eastAsia="es-ES"/>
        </w:rPr>
        <w:t>(</w:t>
      </w:r>
      <w:r w:rsidR="001417F1" w:rsidRPr="009F7F76">
        <w:rPr>
          <w:lang w:val="es-ES_tradnl" w:eastAsia="es-ES"/>
        </w:rPr>
        <w:t xml:space="preserve">iii) Relevancia y </w:t>
      </w:r>
      <w:r w:rsidR="009F7F76">
        <w:rPr>
          <w:lang w:val="es-ES_tradnl" w:eastAsia="es-ES"/>
        </w:rPr>
        <w:t>(</w:t>
      </w:r>
      <w:r w:rsidR="001417F1" w:rsidRPr="009F7F76">
        <w:rPr>
          <w:lang w:val="es-ES_tradnl" w:eastAsia="es-ES"/>
        </w:rPr>
        <w:t xml:space="preserve">iv) Sostenibilidad.  </w:t>
      </w:r>
    </w:p>
    <w:p w:rsidR="00202900" w:rsidRPr="00202900" w:rsidRDefault="00202900" w:rsidP="009F7F76">
      <w:pPr>
        <w:pStyle w:val="Paragraph"/>
        <w:numPr>
          <w:ilvl w:val="1"/>
          <w:numId w:val="10"/>
        </w:numPr>
        <w:spacing w:before="100" w:after="100"/>
        <w:ind w:left="900" w:hanging="900"/>
        <w:rPr>
          <w:lang w:val="es-BO" w:eastAsia="es-ES"/>
        </w:rPr>
      </w:pPr>
      <w:r w:rsidRPr="00202900">
        <w:rPr>
          <w:lang w:val="es-BO" w:eastAsia="es-ES"/>
        </w:rPr>
        <w:t xml:space="preserve">Los criterios no centrales del PCR son aquellos evaluables, pero que no califican la efectividad de la intervención. En su defecto evalúan la contribución de la operación a los </w:t>
      </w:r>
      <w:r w:rsidRPr="009F7F76">
        <w:rPr>
          <w:spacing w:val="-3"/>
          <w:szCs w:val="24"/>
          <w:lang w:val="es-ES"/>
        </w:rPr>
        <w:t>objetivos</w:t>
      </w:r>
      <w:r w:rsidRPr="00202900">
        <w:rPr>
          <w:lang w:val="es-BO" w:eastAsia="es-ES"/>
        </w:rPr>
        <w:t xml:space="preserve"> de desarrollo del Banco; la contribución a los objetivos de desarrollo del país; el cumplimiento del plan de monitoreo y evaluación; el uso de sistemas país y la implementación y mitigación de salvaguardas ambientales y sociales.</w:t>
      </w:r>
    </w:p>
    <w:p w:rsidR="00833622" w:rsidRPr="0011098F" w:rsidRDefault="00833622" w:rsidP="009F7F76">
      <w:pPr>
        <w:pStyle w:val="Paragraph"/>
        <w:numPr>
          <w:ilvl w:val="1"/>
          <w:numId w:val="10"/>
        </w:numPr>
        <w:spacing w:before="100" w:after="100"/>
        <w:ind w:left="900" w:hanging="900"/>
        <w:rPr>
          <w:spacing w:val="-3"/>
          <w:szCs w:val="24"/>
          <w:lang w:val="es-ES"/>
        </w:rPr>
      </w:pPr>
      <w:r w:rsidRPr="0011098F">
        <w:rPr>
          <w:spacing w:val="-3"/>
          <w:szCs w:val="24"/>
          <w:lang w:val="es-ES"/>
        </w:rPr>
        <w:t>Será realizado hasta 6 meses después de</w:t>
      </w:r>
      <w:r w:rsidR="008E5E30">
        <w:rPr>
          <w:spacing w:val="-3"/>
          <w:szCs w:val="24"/>
          <w:lang w:val="es-ES"/>
        </w:rPr>
        <w:t xml:space="preserve"> haber </w:t>
      </w:r>
      <w:r w:rsidRPr="0011098F">
        <w:rPr>
          <w:spacing w:val="-3"/>
          <w:szCs w:val="24"/>
          <w:lang w:val="es-ES"/>
        </w:rPr>
        <w:t>desembols</w:t>
      </w:r>
      <w:r w:rsidR="008E5E30">
        <w:rPr>
          <w:spacing w:val="-3"/>
          <w:szCs w:val="24"/>
          <w:lang w:val="es-ES"/>
        </w:rPr>
        <w:t>ado</w:t>
      </w:r>
      <w:r w:rsidRPr="0011098F">
        <w:rPr>
          <w:spacing w:val="-3"/>
          <w:szCs w:val="24"/>
          <w:lang w:val="es-ES"/>
        </w:rPr>
        <w:t xml:space="preserve"> la tercera operación</w:t>
      </w:r>
      <w:proofErr w:type="gramStart"/>
      <w:r w:rsidR="008E5E30">
        <w:rPr>
          <w:spacing w:val="-3"/>
          <w:szCs w:val="24"/>
          <w:lang w:val="es-ES"/>
        </w:rPr>
        <w:t>.</w:t>
      </w:r>
      <w:r w:rsidRPr="0011098F">
        <w:rPr>
          <w:spacing w:val="-3"/>
          <w:szCs w:val="24"/>
          <w:lang w:val="es-ES"/>
        </w:rPr>
        <w:t>.</w:t>
      </w:r>
      <w:proofErr w:type="gramEnd"/>
    </w:p>
    <w:tbl>
      <w:tblPr>
        <w:tblW w:w="5668" w:type="pct"/>
        <w:tblInd w:w="-432" w:type="dxa"/>
        <w:tblLayout w:type="fixed"/>
        <w:tblLook w:val="04A0" w:firstRow="1" w:lastRow="0" w:firstColumn="1" w:lastColumn="0" w:noHBand="0" w:noVBand="1"/>
      </w:tblPr>
      <w:tblGrid>
        <w:gridCol w:w="3240"/>
        <w:gridCol w:w="713"/>
        <w:gridCol w:w="104"/>
        <w:gridCol w:w="466"/>
        <w:gridCol w:w="428"/>
        <w:gridCol w:w="717"/>
        <w:gridCol w:w="813"/>
        <w:gridCol w:w="771"/>
        <w:gridCol w:w="809"/>
        <w:gridCol w:w="1978"/>
      </w:tblGrid>
      <w:tr w:rsidR="00743617" w:rsidRPr="001E63CD" w:rsidTr="008A02B3">
        <w:trPr>
          <w:trHeight w:val="241"/>
        </w:trPr>
        <w:tc>
          <w:tcPr>
            <w:tcW w:w="5000" w:type="pct"/>
            <w:gridSpan w:val="10"/>
            <w:tcBorders>
              <w:top w:val="single" w:sz="8" w:space="0" w:color="auto"/>
              <w:left w:val="single" w:sz="8" w:space="0" w:color="auto"/>
              <w:bottom w:val="single" w:sz="8" w:space="0" w:color="000000"/>
              <w:right w:val="single" w:sz="8" w:space="0" w:color="auto"/>
            </w:tcBorders>
            <w:shd w:val="clear" w:color="000000" w:fill="D9D9D9"/>
          </w:tcPr>
          <w:p w:rsidR="00743617" w:rsidRPr="002D1B02" w:rsidRDefault="00F25C3F" w:rsidP="00743617">
            <w:pPr>
              <w:spacing w:before="120" w:after="120"/>
              <w:jc w:val="center"/>
              <w:rPr>
                <w:b/>
                <w:bCs/>
                <w:color w:val="000000"/>
                <w:sz w:val="20"/>
                <w:szCs w:val="20"/>
                <w:lang w:val="es-ES"/>
              </w:rPr>
            </w:pPr>
            <w:r>
              <w:rPr>
                <w:b/>
                <w:bCs/>
                <w:color w:val="000000"/>
                <w:sz w:val="20"/>
                <w:szCs w:val="20"/>
                <w:lang w:val="es-ES"/>
              </w:rPr>
              <w:t>Tabla 4</w:t>
            </w:r>
            <w:r w:rsidR="00743617" w:rsidRPr="002D1B02">
              <w:rPr>
                <w:b/>
                <w:bCs/>
                <w:color w:val="000000"/>
                <w:sz w:val="20"/>
                <w:szCs w:val="20"/>
                <w:lang w:val="es-ES"/>
              </w:rPr>
              <w:t>. Plan de Trabajo de Evaluación</w:t>
            </w:r>
          </w:p>
        </w:tc>
      </w:tr>
      <w:tr w:rsidR="00D947B1" w:rsidRPr="002D1B02" w:rsidTr="008A02B3">
        <w:trPr>
          <w:trHeight w:val="250"/>
        </w:trPr>
        <w:tc>
          <w:tcPr>
            <w:tcW w:w="1614"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D947B1" w:rsidRPr="002D1B02" w:rsidRDefault="00D947B1" w:rsidP="00743617">
            <w:pPr>
              <w:spacing w:before="120" w:after="120"/>
              <w:jc w:val="center"/>
              <w:rPr>
                <w:b/>
                <w:bCs/>
                <w:color w:val="000000"/>
                <w:sz w:val="20"/>
                <w:szCs w:val="20"/>
                <w:lang w:val="es-ES"/>
              </w:rPr>
            </w:pPr>
            <w:r w:rsidRPr="002D1B02">
              <w:rPr>
                <w:b/>
                <w:bCs/>
                <w:color w:val="000000"/>
                <w:sz w:val="20"/>
                <w:szCs w:val="20"/>
                <w:lang w:val="es-ES"/>
              </w:rPr>
              <w:t>Actividad</w:t>
            </w:r>
          </w:p>
        </w:tc>
        <w:tc>
          <w:tcPr>
            <w:tcW w:w="407" w:type="pct"/>
            <w:gridSpan w:val="2"/>
            <w:tcBorders>
              <w:top w:val="single" w:sz="8" w:space="0" w:color="auto"/>
              <w:left w:val="nil"/>
              <w:right w:val="single" w:sz="8" w:space="0" w:color="000000"/>
            </w:tcBorders>
            <w:shd w:val="clear" w:color="000000" w:fill="D9D9D9"/>
            <w:noWrap/>
            <w:vAlign w:val="center"/>
            <w:hideMark/>
          </w:tcPr>
          <w:p w:rsidR="00D947B1" w:rsidRPr="002D1B02" w:rsidRDefault="00D947B1" w:rsidP="00743617">
            <w:pPr>
              <w:spacing w:before="120" w:after="120"/>
              <w:jc w:val="center"/>
              <w:rPr>
                <w:b/>
                <w:bCs/>
                <w:color w:val="000000"/>
                <w:sz w:val="20"/>
                <w:szCs w:val="20"/>
                <w:lang w:val="es-ES"/>
              </w:rPr>
            </w:pPr>
            <w:r w:rsidRPr="002D1B02">
              <w:rPr>
                <w:b/>
                <w:bCs/>
                <w:color w:val="000000"/>
                <w:sz w:val="20"/>
                <w:szCs w:val="20"/>
                <w:lang w:val="es-ES"/>
              </w:rPr>
              <w:t>2015</w:t>
            </w:r>
          </w:p>
        </w:tc>
        <w:tc>
          <w:tcPr>
            <w:tcW w:w="445" w:type="pct"/>
            <w:gridSpan w:val="2"/>
            <w:tcBorders>
              <w:top w:val="single" w:sz="8" w:space="0" w:color="auto"/>
              <w:left w:val="nil"/>
              <w:right w:val="single" w:sz="8" w:space="0" w:color="000000"/>
            </w:tcBorders>
            <w:shd w:val="clear" w:color="000000" w:fill="D9D9D9"/>
            <w:noWrap/>
            <w:vAlign w:val="center"/>
            <w:hideMark/>
          </w:tcPr>
          <w:p w:rsidR="00D947B1" w:rsidRPr="002D1B02" w:rsidRDefault="00D947B1" w:rsidP="00743617">
            <w:pPr>
              <w:spacing w:before="120" w:after="120"/>
              <w:jc w:val="center"/>
              <w:rPr>
                <w:b/>
                <w:bCs/>
                <w:color w:val="000000"/>
                <w:sz w:val="20"/>
                <w:szCs w:val="20"/>
                <w:lang w:val="es-ES"/>
              </w:rPr>
            </w:pPr>
            <w:r w:rsidRPr="002D1B02">
              <w:rPr>
                <w:b/>
                <w:bCs/>
                <w:color w:val="000000"/>
                <w:sz w:val="20"/>
                <w:szCs w:val="20"/>
                <w:lang w:val="es-ES"/>
              </w:rPr>
              <w:t>2016</w:t>
            </w:r>
          </w:p>
        </w:tc>
        <w:tc>
          <w:tcPr>
            <w:tcW w:w="357" w:type="pct"/>
            <w:tcBorders>
              <w:top w:val="single" w:sz="8" w:space="0" w:color="auto"/>
              <w:left w:val="nil"/>
              <w:right w:val="single" w:sz="8" w:space="0" w:color="000000"/>
            </w:tcBorders>
            <w:shd w:val="clear" w:color="000000" w:fill="D9D9D9"/>
            <w:noWrap/>
            <w:vAlign w:val="center"/>
            <w:hideMark/>
          </w:tcPr>
          <w:p w:rsidR="00D947B1" w:rsidRPr="002D1B02" w:rsidRDefault="00D947B1" w:rsidP="00743617">
            <w:pPr>
              <w:spacing w:before="120" w:after="120"/>
              <w:jc w:val="center"/>
              <w:rPr>
                <w:b/>
                <w:bCs/>
                <w:color w:val="000000"/>
                <w:sz w:val="20"/>
                <w:szCs w:val="20"/>
                <w:lang w:val="es-ES"/>
              </w:rPr>
            </w:pPr>
            <w:r w:rsidRPr="002D1B02">
              <w:rPr>
                <w:b/>
                <w:bCs/>
                <w:color w:val="000000"/>
                <w:sz w:val="20"/>
                <w:szCs w:val="20"/>
                <w:lang w:val="es-ES"/>
              </w:rPr>
              <w:t>2017</w:t>
            </w:r>
          </w:p>
        </w:tc>
        <w:tc>
          <w:tcPr>
            <w:tcW w:w="405" w:type="pct"/>
            <w:tcBorders>
              <w:top w:val="single" w:sz="8" w:space="0" w:color="auto"/>
              <w:left w:val="nil"/>
              <w:right w:val="single" w:sz="8" w:space="0" w:color="000000"/>
            </w:tcBorders>
            <w:shd w:val="clear" w:color="000000" w:fill="D9D9D9"/>
            <w:noWrap/>
            <w:vAlign w:val="center"/>
            <w:hideMark/>
          </w:tcPr>
          <w:p w:rsidR="00D947B1" w:rsidRPr="002D1B02" w:rsidRDefault="00D947B1" w:rsidP="00743617">
            <w:pPr>
              <w:spacing w:before="120" w:after="120"/>
              <w:jc w:val="center"/>
              <w:rPr>
                <w:b/>
                <w:bCs/>
                <w:color w:val="000000"/>
                <w:sz w:val="20"/>
                <w:szCs w:val="20"/>
                <w:lang w:val="es-ES"/>
              </w:rPr>
            </w:pPr>
            <w:r w:rsidRPr="002D1B02">
              <w:rPr>
                <w:b/>
                <w:bCs/>
                <w:color w:val="000000"/>
                <w:sz w:val="20"/>
                <w:szCs w:val="20"/>
                <w:lang w:val="es-ES"/>
              </w:rPr>
              <w:t>2018</w:t>
            </w:r>
          </w:p>
        </w:tc>
        <w:tc>
          <w:tcPr>
            <w:tcW w:w="384" w:type="pct"/>
            <w:tcBorders>
              <w:top w:val="single" w:sz="8" w:space="0" w:color="auto"/>
              <w:left w:val="nil"/>
              <w:right w:val="single" w:sz="8" w:space="0" w:color="000000"/>
            </w:tcBorders>
            <w:shd w:val="clear" w:color="000000" w:fill="D9D9D9"/>
            <w:noWrap/>
            <w:vAlign w:val="center"/>
            <w:hideMark/>
          </w:tcPr>
          <w:p w:rsidR="00D947B1" w:rsidRPr="002D1B02" w:rsidRDefault="00D947B1" w:rsidP="00743617">
            <w:pPr>
              <w:spacing w:before="120" w:after="120"/>
              <w:jc w:val="center"/>
              <w:rPr>
                <w:b/>
                <w:bCs/>
                <w:color w:val="000000"/>
                <w:sz w:val="20"/>
                <w:szCs w:val="20"/>
                <w:lang w:val="es-ES"/>
              </w:rPr>
            </w:pPr>
            <w:r w:rsidRPr="002D1B02">
              <w:rPr>
                <w:b/>
                <w:bCs/>
                <w:color w:val="000000"/>
                <w:sz w:val="20"/>
                <w:szCs w:val="20"/>
                <w:lang w:val="es-ES"/>
              </w:rPr>
              <w:t>2019</w:t>
            </w:r>
          </w:p>
        </w:tc>
        <w:tc>
          <w:tcPr>
            <w:tcW w:w="403" w:type="pct"/>
            <w:tcBorders>
              <w:top w:val="single" w:sz="8" w:space="0" w:color="auto"/>
              <w:left w:val="single" w:sz="8" w:space="0" w:color="auto"/>
              <w:right w:val="single" w:sz="4" w:space="0" w:color="auto"/>
            </w:tcBorders>
            <w:shd w:val="clear" w:color="000000" w:fill="D9D9D9"/>
          </w:tcPr>
          <w:p w:rsidR="00D947B1" w:rsidRPr="002D1B02" w:rsidRDefault="00D947B1" w:rsidP="00743617">
            <w:pPr>
              <w:spacing w:before="120" w:after="120"/>
              <w:jc w:val="center"/>
              <w:rPr>
                <w:b/>
                <w:bCs/>
                <w:color w:val="000000"/>
                <w:sz w:val="20"/>
                <w:szCs w:val="20"/>
                <w:lang w:val="es-ES"/>
              </w:rPr>
            </w:pPr>
            <w:r w:rsidRPr="002D1B02">
              <w:rPr>
                <w:b/>
                <w:bCs/>
                <w:color w:val="000000"/>
                <w:sz w:val="20"/>
                <w:szCs w:val="20"/>
                <w:lang w:val="es-ES"/>
              </w:rPr>
              <w:t>2020</w:t>
            </w:r>
          </w:p>
        </w:tc>
        <w:tc>
          <w:tcPr>
            <w:tcW w:w="986" w:type="pct"/>
            <w:tcBorders>
              <w:top w:val="single" w:sz="4" w:space="0" w:color="auto"/>
              <w:left w:val="single" w:sz="4" w:space="0" w:color="auto"/>
              <w:bottom w:val="single" w:sz="4" w:space="0" w:color="auto"/>
              <w:right w:val="single" w:sz="4" w:space="0" w:color="auto"/>
            </w:tcBorders>
            <w:shd w:val="clear" w:color="000000" w:fill="D9D9D9"/>
            <w:noWrap/>
            <w:vAlign w:val="center"/>
          </w:tcPr>
          <w:p w:rsidR="00D947B1" w:rsidRPr="002D1B02" w:rsidRDefault="00D947B1" w:rsidP="00743617">
            <w:pPr>
              <w:spacing w:before="120" w:after="120"/>
              <w:jc w:val="center"/>
              <w:rPr>
                <w:b/>
                <w:bCs/>
                <w:color w:val="000000"/>
                <w:sz w:val="20"/>
                <w:szCs w:val="20"/>
                <w:lang w:val="es-ES"/>
              </w:rPr>
            </w:pPr>
            <w:r>
              <w:rPr>
                <w:b/>
                <w:bCs/>
                <w:color w:val="000000"/>
                <w:sz w:val="20"/>
                <w:szCs w:val="20"/>
                <w:lang w:val="es-ES"/>
              </w:rPr>
              <w:t>Responsable y Costo</w:t>
            </w:r>
          </w:p>
        </w:tc>
      </w:tr>
      <w:tr w:rsidR="003B0B3A" w:rsidRPr="002D1B02" w:rsidTr="008A02B3">
        <w:trPr>
          <w:trHeight w:val="745"/>
        </w:trPr>
        <w:tc>
          <w:tcPr>
            <w:tcW w:w="1614" w:type="pct"/>
            <w:tcBorders>
              <w:top w:val="nil"/>
              <w:left w:val="single" w:sz="8" w:space="0" w:color="auto"/>
              <w:bottom w:val="single" w:sz="8" w:space="0" w:color="auto"/>
              <w:right w:val="single" w:sz="8" w:space="0" w:color="auto"/>
            </w:tcBorders>
            <w:shd w:val="clear" w:color="auto" w:fill="auto"/>
            <w:noWrap/>
            <w:vAlign w:val="center"/>
          </w:tcPr>
          <w:p w:rsidR="003B0B3A" w:rsidRDefault="003B0B3A" w:rsidP="00743617">
            <w:pPr>
              <w:spacing w:before="120" w:after="120"/>
              <w:rPr>
                <w:color w:val="000000"/>
                <w:sz w:val="20"/>
                <w:szCs w:val="20"/>
                <w:lang w:val="es-ES"/>
              </w:rPr>
            </w:pPr>
            <w:r>
              <w:rPr>
                <w:color w:val="000000"/>
                <w:sz w:val="20"/>
                <w:szCs w:val="20"/>
                <w:lang w:val="es-ES"/>
              </w:rPr>
              <w:t>Evaluación reflexiva</w:t>
            </w:r>
          </w:p>
        </w:tc>
        <w:tc>
          <w:tcPr>
            <w:tcW w:w="407" w:type="pct"/>
            <w:gridSpan w:val="2"/>
            <w:tcBorders>
              <w:top w:val="single" w:sz="8" w:space="0" w:color="auto"/>
              <w:left w:val="nil"/>
              <w:bottom w:val="single" w:sz="8" w:space="0" w:color="auto"/>
              <w:right w:val="single" w:sz="8" w:space="0" w:color="auto"/>
            </w:tcBorders>
            <w:shd w:val="clear" w:color="auto" w:fill="auto"/>
            <w:noWrap/>
            <w:vAlign w:val="center"/>
          </w:tcPr>
          <w:p w:rsidR="003B0B3A" w:rsidRDefault="003B0B3A" w:rsidP="00D947B1">
            <w:pPr>
              <w:spacing w:before="120" w:after="120"/>
              <w:jc w:val="center"/>
              <w:rPr>
                <w:color w:val="000000"/>
                <w:sz w:val="20"/>
                <w:szCs w:val="20"/>
                <w:lang w:val="es-ES"/>
              </w:rPr>
            </w:pPr>
          </w:p>
        </w:tc>
        <w:tc>
          <w:tcPr>
            <w:tcW w:w="445" w:type="pct"/>
            <w:gridSpan w:val="2"/>
            <w:tcBorders>
              <w:top w:val="single" w:sz="8" w:space="0" w:color="auto"/>
              <w:left w:val="nil"/>
              <w:bottom w:val="single" w:sz="8" w:space="0" w:color="auto"/>
              <w:right w:val="single" w:sz="8" w:space="0" w:color="auto"/>
            </w:tcBorders>
            <w:shd w:val="clear" w:color="auto" w:fill="auto"/>
            <w:noWrap/>
            <w:vAlign w:val="center"/>
          </w:tcPr>
          <w:p w:rsidR="003B0B3A" w:rsidRPr="002D1B02" w:rsidRDefault="003B0B3A" w:rsidP="00D947B1">
            <w:pPr>
              <w:spacing w:before="120" w:after="120"/>
              <w:jc w:val="center"/>
              <w:rPr>
                <w:color w:val="000000"/>
                <w:sz w:val="20"/>
                <w:szCs w:val="20"/>
                <w:lang w:val="es-ES"/>
              </w:rPr>
            </w:pPr>
          </w:p>
        </w:tc>
        <w:tc>
          <w:tcPr>
            <w:tcW w:w="357" w:type="pct"/>
            <w:tcBorders>
              <w:top w:val="single" w:sz="8" w:space="0" w:color="auto"/>
              <w:left w:val="nil"/>
              <w:bottom w:val="single" w:sz="8" w:space="0" w:color="auto"/>
              <w:right w:val="single" w:sz="8" w:space="0" w:color="auto"/>
            </w:tcBorders>
            <w:shd w:val="clear" w:color="auto" w:fill="auto"/>
            <w:noWrap/>
            <w:vAlign w:val="center"/>
          </w:tcPr>
          <w:p w:rsidR="003B0B3A" w:rsidRPr="002D1B02" w:rsidRDefault="006F6810" w:rsidP="00D947B1">
            <w:pPr>
              <w:spacing w:before="120" w:after="120"/>
              <w:jc w:val="center"/>
              <w:rPr>
                <w:color w:val="000000"/>
                <w:sz w:val="20"/>
                <w:szCs w:val="20"/>
                <w:lang w:val="es-ES"/>
              </w:rPr>
            </w:pPr>
            <w:r>
              <w:rPr>
                <w:color w:val="000000"/>
                <w:sz w:val="20"/>
                <w:szCs w:val="20"/>
                <w:lang w:val="es-ES"/>
              </w:rPr>
              <w:t>Informe Intermedio</w:t>
            </w:r>
          </w:p>
        </w:tc>
        <w:tc>
          <w:tcPr>
            <w:tcW w:w="405" w:type="pct"/>
            <w:tcBorders>
              <w:top w:val="single" w:sz="8" w:space="0" w:color="auto"/>
              <w:left w:val="nil"/>
              <w:bottom w:val="single" w:sz="8" w:space="0" w:color="auto"/>
              <w:right w:val="single" w:sz="8" w:space="0" w:color="auto"/>
            </w:tcBorders>
            <w:shd w:val="clear" w:color="auto" w:fill="auto"/>
            <w:noWrap/>
            <w:vAlign w:val="center"/>
          </w:tcPr>
          <w:p w:rsidR="003B0B3A" w:rsidRPr="002D1B02" w:rsidRDefault="006F6810" w:rsidP="00D947B1">
            <w:pPr>
              <w:spacing w:before="120" w:after="120"/>
              <w:jc w:val="center"/>
              <w:rPr>
                <w:color w:val="000000"/>
                <w:sz w:val="20"/>
                <w:szCs w:val="20"/>
                <w:lang w:val="es-ES"/>
              </w:rPr>
            </w:pPr>
            <w:r>
              <w:rPr>
                <w:color w:val="000000"/>
                <w:sz w:val="20"/>
                <w:szCs w:val="20"/>
                <w:lang w:val="es-ES"/>
              </w:rPr>
              <w:t xml:space="preserve"> </w:t>
            </w:r>
          </w:p>
        </w:tc>
        <w:tc>
          <w:tcPr>
            <w:tcW w:w="384" w:type="pct"/>
            <w:tcBorders>
              <w:top w:val="single" w:sz="8" w:space="0" w:color="auto"/>
              <w:left w:val="nil"/>
              <w:bottom w:val="single" w:sz="8" w:space="0" w:color="auto"/>
              <w:right w:val="single" w:sz="8" w:space="0" w:color="auto"/>
            </w:tcBorders>
            <w:shd w:val="clear" w:color="auto" w:fill="auto"/>
            <w:noWrap/>
            <w:vAlign w:val="center"/>
          </w:tcPr>
          <w:p w:rsidR="003B0B3A" w:rsidRPr="002D1B02" w:rsidRDefault="006F6810" w:rsidP="00D947B1">
            <w:pPr>
              <w:spacing w:before="120" w:after="120"/>
              <w:jc w:val="center"/>
              <w:rPr>
                <w:color w:val="000000"/>
                <w:sz w:val="20"/>
                <w:szCs w:val="20"/>
                <w:lang w:val="es-ES"/>
              </w:rPr>
            </w:pPr>
            <w:r>
              <w:rPr>
                <w:color w:val="000000"/>
                <w:sz w:val="20"/>
                <w:szCs w:val="20"/>
                <w:lang w:val="es-ES"/>
              </w:rPr>
              <w:t xml:space="preserve"> </w:t>
            </w:r>
          </w:p>
        </w:tc>
        <w:tc>
          <w:tcPr>
            <w:tcW w:w="403" w:type="pct"/>
            <w:tcBorders>
              <w:top w:val="single" w:sz="8" w:space="0" w:color="auto"/>
              <w:left w:val="nil"/>
              <w:bottom w:val="single" w:sz="8" w:space="0" w:color="auto"/>
              <w:right w:val="single" w:sz="8" w:space="0" w:color="auto"/>
            </w:tcBorders>
            <w:shd w:val="clear" w:color="auto" w:fill="auto"/>
            <w:vAlign w:val="center"/>
          </w:tcPr>
          <w:p w:rsidR="008E4A17" w:rsidRDefault="008E4A17" w:rsidP="008E4A17">
            <w:pPr>
              <w:spacing w:before="120" w:after="120"/>
              <w:jc w:val="center"/>
              <w:rPr>
                <w:color w:val="000000"/>
                <w:sz w:val="20"/>
                <w:szCs w:val="20"/>
                <w:lang w:val="es-ES"/>
              </w:rPr>
            </w:pPr>
            <w:r>
              <w:rPr>
                <w:color w:val="000000"/>
                <w:sz w:val="20"/>
                <w:szCs w:val="20"/>
                <w:lang w:val="es-ES"/>
              </w:rPr>
              <w:t>Informe</w:t>
            </w:r>
          </w:p>
          <w:p w:rsidR="003B0B3A" w:rsidRDefault="008E4A17" w:rsidP="008E4A17">
            <w:pPr>
              <w:spacing w:before="120" w:after="120"/>
              <w:jc w:val="center"/>
              <w:rPr>
                <w:color w:val="000000"/>
                <w:sz w:val="20"/>
                <w:szCs w:val="20"/>
                <w:lang w:val="es-ES"/>
              </w:rPr>
            </w:pPr>
            <w:r>
              <w:rPr>
                <w:color w:val="000000"/>
                <w:sz w:val="20"/>
                <w:szCs w:val="20"/>
                <w:lang w:val="es-ES"/>
              </w:rPr>
              <w:t>Final</w:t>
            </w:r>
            <w:r w:rsidR="006F6810">
              <w:rPr>
                <w:color w:val="000000"/>
                <w:sz w:val="20"/>
                <w:szCs w:val="20"/>
                <w:lang w:val="es-ES"/>
              </w:rPr>
              <w:t xml:space="preserve"> </w:t>
            </w:r>
          </w:p>
        </w:tc>
        <w:tc>
          <w:tcPr>
            <w:tcW w:w="986" w:type="pct"/>
            <w:tcBorders>
              <w:top w:val="nil"/>
              <w:left w:val="single" w:sz="8" w:space="0" w:color="auto"/>
              <w:bottom w:val="single" w:sz="8" w:space="0" w:color="auto"/>
              <w:right w:val="single" w:sz="8" w:space="0" w:color="auto"/>
            </w:tcBorders>
            <w:shd w:val="clear" w:color="auto" w:fill="auto"/>
            <w:noWrap/>
            <w:vAlign w:val="center"/>
          </w:tcPr>
          <w:p w:rsidR="003B0B3A" w:rsidRDefault="006F6810" w:rsidP="00743617">
            <w:pPr>
              <w:spacing w:before="120" w:after="120"/>
              <w:jc w:val="center"/>
              <w:rPr>
                <w:color w:val="000000"/>
                <w:sz w:val="20"/>
                <w:szCs w:val="20"/>
                <w:lang w:val="es-ES"/>
              </w:rPr>
            </w:pPr>
            <w:r>
              <w:rPr>
                <w:color w:val="000000"/>
                <w:sz w:val="20"/>
                <w:szCs w:val="20"/>
                <w:lang w:val="es-ES"/>
              </w:rPr>
              <w:t xml:space="preserve">US$ </w:t>
            </w:r>
            <w:r w:rsidR="008E4A17">
              <w:rPr>
                <w:color w:val="000000"/>
                <w:sz w:val="20"/>
                <w:szCs w:val="20"/>
                <w:lang w:val="es-ES"/>
              </w:rPr>
              <w:t>10</w:t>
            </w:r>
            <w:r w:rsidR="003B0B3A">
              <w:rPr>
                <w:color w:val="000000"/>
                <w:sz w:val="20"/>
                <w:szCs w:val="20"/>
                <w:lang w:val="es-ES"/>
              </w:rPr>
              <w:t>,0000</w:t>
            </w:r>
          </w:p>
          <w:p w:rsidR="003B0B3A" w:rsidRDefault="003B0B3A" w:rsidP="00743617">
            <w:pPr>
              <w:spacing w:before="120" w:after="120"/>
              <w:jc w:val="center"/>
              <w:rPr>
                <w:color w:val="000000"/>
                <w:sz w:val="20"/>
                <w:szCs w:val="20"/>
                <w:lang w:val="es-ES"/>
              </w:rPr>
            </w:pPr>
            <w:r>
              <w:rPr>
                <w:color w:val="000000"/>
                <w:sz w:val="20"/>
                <w:szCs w:val="20"/>
                <w:lang w:val="es-ES"/>
              </w:rPr>
              <w:t>IDB - Proyecto</w:t>
            </w:r>
          </w:p>
        </w:tc>
      </w:tr>
      <w:tr w:rsidR="00D947B1" w:rsidRPr="002D1B02" w:rsidTr="008A02B3">
        <w:trPr>
          <w:trHeight w:val="745"/>
        </w:trPr>
        <w:tc>
          <w:tcPr>
            <w:tcW w:w="1614" w:type="pct"/>
            <w:tcBorders>
              <w:top w:val="nil"/>
              <w:left w:val="single" w:sz="8" w:space="0" w:color="auto"/>
              <w:bottom w:val="single" w:sz="8" w:space="0" w:color="auto"/>
              <w:right w:val="single" w:sz="8" w:space="0" w:color="auto"/>
            </w:tcBorders>
            <w:shd w:val="clear" w:color="auto" w:fill="auto"/>
            <w:noWrap/>
            <w:vAlign w:val="center"/>
            <w:hideMark/>
          </w:tcPr>
          <w:p w:rsidR="00D947B1" w:rsidRPr="002D1B02" w:rsidRDefault="00D947B1" w:rsidP="00743617">
            <w:pPr>
              <w:spacing w:before="120" w:after="120"/>
              <w:rPr>
                <w:color w:val="000000"/>
                <w:sz w:val="20"/>
                <w:szCs w:val="20"/>
                <w:lang w:val="es-ES"/>
              </w:rPr>
            </w:pPr>
            <w:r>
              <w:rPr>
                <w:color w:val="000000"/>
                <w:sz w:val="20"/>
                <w:szCs w:val="20"/>
                <w:lang w:val="es-ES"/>
              </w:rPr>
              <w:t>Evaluación Económica</w:t>
            </w:r>
          </w:p>
        </w:tc>
        <w:tc>
          <w:tcPr>
            <w:tcW w:w="407" w:type="pct"/>
            <w:gridSpan w:val="2"/>
            <w:tcBorders>
              <w:top w:val="single" w:sz="8" w:space="0" w:color="auto"/>
              <w:left w:val="nil"/>
              <w:bottom w:val="single" w:sz="8" w:space="0" w:color="auto"/>
              <w:right w:val="single" w:sz="8" w:space="0" w:color="auto"/>
            </w:tcBorders>
            <w:shd w:val="clear" w:color="auto" w:fill="auto"/>
            <w:noWrap/>
            <w:vAlign w:val="center"/>
          </w:tcPr>
          <w:p w:rsidR="00D947B1" w:rsidRPr="002D1B02" w:rsidRDefault="00D947B1" w:rsidP="00D947B1">
            <w:pPr>
              <w:spacing w:before="120" w:after="120"/>
              <w:jc w:val="center"/>
              <w:rPr>
                <w:color w:val="000000"/>
                <w:sz w:val="20"/>
                <w:szCs w:val="20"/>
                <w:lang w:val="es-ES"/>
              </w:rPr>
            </w:pPr>
            <w:proofErr w:type="spellStart"/>
            <w:r>
              <w:rPr>
                <w:color w:val="000000"/>
                <w:sz w:val="20"/>
                <w:szCs w:val="20"/>
                <w:lang w:val="es-ES"/>
              </w:rPr>
              <w:t>Exante</w:t>
            </w:r>
            <w:proofErr w:type="spellEnd"/>
          </w:p>
        </w:tc>
        <w:tc>
          <w:tcPr>
            <w:tcW w:w="445" w:type="pct"/>
            <w:gridSpan w:val="2"/>
            <w:tcBorders>
              <w:top w:val="single" w:sz="8" w:space="0" w:color="auto"/>
              <w:left w:val="nil"/>
              <w:bottom w:val="single" w:sz="8" w:space="0" w:color="auto"/>
              <w:right w:val="single" w:sz="8" w:space="0" w:color="auto"/>
            </w:tcBorders>
            <w:shd w:val="clear" w:color="auto" w:fill="auto"/>
            <w:noWrap/>
            <w:vAlign w:val="center"/>
          </w:tcPr>
          <w:p w:rsidR="00D947B1" w:rsidRPr="002D1B02" w:rsidRDefault="00D947B1" w:rsidP="00D947B1">
            <w:pPr>
              <w:spacing w:before="120" w:after="120"/>
              <w:jc w:val="center"/>
              <w:rPr>
                <w:color w:val="000000"/>
                <w:sz w:val="20"/>
                <w:szCs w:val="20"/>
                <w:lang w:val="es-ES"/>
              </w:rPr>
            </w:pPr>
          </w:p>
        </w:tc>
        <w:tc>
          <w:tcPr>
            <w:tcW w:w="357" w:type="pct"/>
            <w:tcBorders>
              <w:top w:val="single" w:sz="8" w:space="0" w:color="auto"/>
              <w:left w:val="nil"/>
              <w:bottom w:val="single" w:sz="8" w:space="0" w:color="auto"/>
              <w:right w:val="single" w:sz="8" w:space="0" w:color="auto"/>
            </w:tcBorders>
            <w:shd w:val="clear" w:color="auto" w:fill="auto"/>
            <w:noWrap/>
            <w:vAlign w:val="center"/>
          </w:tcPr>
          <w:p w:rsidR="00D947B1" w:rsidRPr="002D1B02" w:rsidRDefault="00D947B1" w:rsidP="00D947B1">
            <w:pPr>
              <w:spacing w:before="120" w:after="120"/>
              <w:jc w:val="center"/>
              <w:rPr>
                <w:color w:val="000000"/>
                <w:sz w:val="20"/>
                <w:szCs w:val="20"/>
                <w:lang w:val="es-ES"/>
              </w:rPr>
            </w:pPr>
          </w:p>
        </w:tc>
        <w:tc>
          <w:tcPr>
            <w:tcW w:w="405" w:type="pct"/>
            <w:tcBorders>
              <w:top w:val="single" w:sz="8" w:space="0" w:color="auto"/>
              <w:left w:val="nil"/>
              <w:bottom w:val="single" w:sz="8" w:space="0" w:color="auto"/>
              <w:right w:val="single" w:sz="8" w:space="0" w:color="auto"/>
            </w:tcBorders>
            <w:shd w:val="clear" w:color="auto" w:fill="auto"/>
            <w:noWrap/>
            <w:vAlign w:val="center"/>
          </w:tcPr>
          <w:p w:rsidR="00D947B1" w:rsidRDefault="0011098F" w:rsidP="00D947B1">
            <w:pPr>
              <w:spacing w:before="120" w:after="120"/>
              <w:jc w:val="center"/>
              <w:rPr>
                <w:color w:val="000000"/>
                <w:sz w:val="20"/>
                <w:szCs w:val="20"/>
                <w:lang w:val="es-ES"/>
              </w:rPr>
            </w:pPr>
            <w:proofErr w:type="spellStart"/>
            <w:r>
              <w:rPr>
                <w:color w:val="000000"/>
                <w:sz w:val="20"/>
                <w:szCs w:val="20"/>
                <w:lang w:val="es-ES"/>
              </w:rPr>
              <w:t>Expost</w:t>
            </w:r>
            <w:proofErr w:type="spellEnd"/>
          </w:p>
          <w:p w:rsidR="0011098F" w:rsidRPr="002D1B02" w:rsidRDefault="0011098F" w:rsidP="00D947B1">
            <w:pPr>
              <w:spacing w:before="120" w:after="120"/>
              <w:jc w:val="center"/>
              <w:rPr>
                <w:color w:val="000000"/>
                <w:sz w:val="20"/>
                <w:szCs w:val="20"/>
                <w:lang w:val="es-ES"/>
              </w:rPr>
            </w:pPr>
            <w:r>
              <w:rPr>
                <w:color w:val="000000"/>
                <w:sz w:val="20"/>
                <w:szCs w:val="20"/>
                <w:lang w:val="es-ES"/>
              </w:rPr>
              <w:t>Intermedia</w:t>
            </w:r>
          </w:p>
        </w:tc>
        <w:tc>
          <w:tcPr>
            <w:tcW w:w="384" w:type="pct"/>
            <w:tcBorders>
              <w:top w:val="single" w:sz="8" w:space="0" w:color="auto"/>
              <w:left w:val="nil"/>
              <w:bottom w:val="single" w:sz="8" w:space="0" w:color="auto"/>
              <w:right w:val="single" w:sz="8" w:space="0" w:color="auto"/>
            </w:tcBorders>
            <w:shd w:val="clear" w:color="auto" w:fill="auto"/>
            <w:noWrap/>
            <w:vAlign w:val="center"/>
          </w:tcPr>
          <w:p w:rsidR="00D947B1" w:rsidRPr="002D1B02" w:rsidRDefault="00D947B1" w:rsidP="00D947B1">
            <w:pPr>
              <w:spacing w:before="120" w:after="120"/>
              <w:jc w:val="center"/>
              <w:rPr>
                <w:color w:val="000000"/>
                <w:sz w:val="20"/>
                <w:szCs w:val="20"/>
                <w:lang w:val="es-ES"/>
              </w:rPr>
            </w:pPr>
          </w:p>
        </w:tc>
        <w:tc>
          <w:tcPr>
            <w:tcW w:w="403" w:type="pct"/>
            <w:tcBorders>
              <w:top w:val="single" w:sz="8" w:space="0" w:color="auto"/>
              <w:left w:val="nil"/>
              <w:bottom w:val="single" w:sz="8" w:space="0" w:color="auto"/>
              <w:right w:val="single" w:sz="8" w:space="0" w:color="auto"/>
            </w:tcBorders>
            <w:shd w:val="clear" w:color="auto" w:fill="auto"/>
            <w:vAlign w:val="center"/>
          </w:tcPr>
          <w:p w:rsidR="00D947B1" w:rsidRDefault="00D947B1" w:rsidP="00D947B1">
            <w:pPr>
              <w:spacing w:before="120" w:after="120"/>
              <w:jc w:val="center"/>
              <w:rPr>
                <w:color w:val="000000"/>
                <w:sz w:val="20"/>
                <w:szCs w:val="20"/>
                <w:lang w:val="es-ES"/>
              </w:rPr>
            </w:pPr>
            <w:proofErr w:type="spellStart"/>
            <w:r>
              <w:rPr>
                <w:color w:val="000000"/>
                <w:sz w:val="20"/>
                <w:szCs w:val="20"/>
                <w:lang w:val="es-ES"/>
              </w:rPr>
              <w:t>Expost</w:t>
            </w:r>
            <w:proofErr w:type="spellEnd"/>
          </w:p>
          <w:p w:rsidR="0011098F" w:rsidRPr="002D1B02" w:rsidRDefault="0011098F" w:rsidP="00D947B1">
            <w:pPr>
              <w:spacing w:before="120" w:after="120"/>
              <w:jc w:val="center"/>
              <w:rPr>
                <w:color w:val="000000"/>
                <w:sz w:val="20"/>
                <w:szCs w:val="20"/>
                <w:lang w:val="es-ES"/>
              </w:rPr>
            </w:pPr>
            <w:r>
              <w:rPr>
                <w:color w:val="000000"/>
                <w:sz w:val="20"/>
                <w:szCs w:val="20"/>
                <w:lang w:val="es-ES"/>
              </w:rPr>
              <w:t>Final</w:t>
            </w:r>
          </w:p>
        </w:tc>
        <w:tc>
          <w:tcPr>
            <w:tcW w:w="986" w:type="pct"/>
            <w:tcBorders>
              <w:top w:val="nil"/>
              <w:left w:val="single" w:sz="8" w:space="0" w:color="auto"/>
              <w:bottom w:val="single" w:sz="8" w:space="0" w:color="auto"/>
              <w:right w:val="single" w:sz="8" w:space="0" w:color="auto"/>
            </w:tcBorders>
            <w:shd w:val="clear" w:color="auto" w:fill="auto"/>
            <w:noWrap/>
            <w:vAlign w:val="center"/>
          </w:tcPr>
          <w:p w:rsidR="00D947B1" w:rsidRDefault="0011098F" w:rsidP="00743617">
            <w:pPr>
              <w:spacing w:before="120" w:after="120"/>
              <w:jc w:val="center"/>
              <w:rPr>
                <w:color w:val="000000"/>
                <w:sz w:val="20"/>
                <w:szCs w:val="20"/>
                <w:lang w:val="es-ES"/>
              </w:rPr>
            </w:pPr>
            <w:r>
              <w:rPr>
                <w:color w:val="000000"/>
                <w:sz w:val="20"/>
                <w:szCs w:val="20"/>
                <w:lang w:val="es-ES"/>
              </w:rPr>
              <w:t xml:space="preserve">US$ </w:t>
            </w:r>
            <w:r w:rsidR="008E4A17">
              <w:rPr>
                <w:color w:val="000000"/>
                <w:sz w:val="20"/>
                <w:szCs w:val="20"/>
                <w:lang w:val="es-ES"/>
              </w:rPr>
              <w:t>15</w:t>
            </w:r>
            <w:r w:rsidR="00D947B1">
              <w:rPr>
                <w:color w:val="000000"/>
                <w:sz w:val="20"/>
                <w:szCs w:val="20"/>
                <w:lang w:val="es-ES"/>
              </w:rPr>
              <w:t>,000</w:t>
            </w:r>
          </w:p>
          <w:p w:rsidR="00D947B1" w:rsidRPr="002D1B02" w:rsidRDefault="00D947B1" w:rsidP="00743617">
            <w:pPr>
              <w:spacing w:before="120" w:after="120"/>
              <w:jc w:val="center"/>
              <w:rPr>
                <w:color w:val="000000"/>
                <w:sz w:val="20"/>
                <w:szCs w:val="20"/>
                <w:lang w:val="es-ES"/>
              </w:rPr>
            </w:pPr>
            <w:r>
              <w:rPr>
                <w:color w:val="000000"/>
                <w:sz w:val="20"/>
                <w:szCs w:val="20"/>
                <w:lang w:val="es-ES"/>
              </w:rPr>
              <w:t>IDB - Proyecto</w:t>
            </w:r>
          </w:p>
        </w:tc>
      </w:tr>
      <w:tr w:rsidR="00D947B1" w:rsidRPr="002D1B02" w:rsidTr="008A02B3">
        <w:trPr>
          <w:trHeight w:val="664"/>
        </w:trPr>
        <w:tc>
          <w:tcPr>
            <w:tcW w:w="1614" w:type="pct"/>
            <w:tcBorders>
              <w:top w:val="nil"/>
              <w:left w:val="single" w:sz="8" w:space="0" w:color="auto"/>
              <w:bottom w:val="single" w:sz="8" w:space="0" w:color="auto"/>
              <w:right w:val="single" w:sz="8" w:space="0" w:color="auto"/>
            </w:tcBorders>
            <w:shd w:val="clear" w:color="auto" w:fill="auto"/>
            <w:noWrap/>
            <w:vAlign w:val="center"/>
            <w:hideMark/>
          </w:tcPr>
          <w:p w:rsidR="00D947B1" w:rsidRPr="002D1B02" w:rsidRDefault="00D947B1" w:rsidP="00743617">
            <w:pPr>
              <w:spacing w:before="120" w:after="120"/>
              <w:rPr>
                <w:color w:val="000000"/>
                <w:sz w:val="20"/>
                <w:szCs w:val="20"/>
                <w:lang w:val="es-ES"/>
              </w:rPr>
            </w:pPr>
            <w:r>
              <w:rPr>
                <w:color w:val="000000"/>
                <w:sz w:val="20"/>
                <w:szCs w:val="20"/>
                <w:lang w:val="es-ES"/>
              </w:rPr>
              <w:t>Evaluación de Impacto</w:t>
            </w:r>
          </w:p>
        </w:tc>
        <w:tc>
          <w:tcPr>
            <w:tcW w:w="407" w:type="pct"/>
            <w:gridSpan w:val="2"/>
            <w:tcBorders>
              <w:top w:val="single" w:sz="8" w:space="0" w:color="auto"/>
              <w:left w:val="nil"/>
              <w:bottom w:val="single" w:sz="8" w:space="0" w:color="auto"/>
              <w:right w:val="single" w:sz="8" w:space="0" w:color="auto"/>
            </w:tcBorders>
            <w:shd w:val="clear" w:color="auto" w:fill="auto"/>
            <w:noWrap/>
            <w:vAlign w:val="center"/>
          </w:tcPr>
          <w:p w:rsidR="00D947B1" w:rsidRPr="002D1B02" w:rsidRDefault="00D947B1" w:rsidP="00D947B1">
            <w:pPr>
              <w:spacing w:before="120" w:after="120"/>
              <w:jc w:val="center"/>
              <w:rPr>
                <w:color w:val="000000"/>
                <w:sz w:val="20"/>
                <w:szCs w:val="20"/>
                <w:lang w:val="es-ES"/>
              </w:rPr>
            </w:pPr>
          </w:p>
        </w:tc>
        <w:tc>
          <w:tcPr>
            <w:tcW w:w="445" w:type="pct"/>
            <w:gridSpan w:val="2"/>
            <w:tcBorders>
              <w:top w:val="single" w:sz="8" w:space="0" w:color="auto"/>
              <w:left w:val="nil"/>
              <w:bottom w:val="single" w:sz="8" w:space="0" w:color="auto"/>
              <w:right w:val="single" w:sz="8" w:space="0" w:color="auto"/>
            </w:tcBorders>
            <w:shd w:val="clear" w:color="auto" w:fill="auto"/>
            <w:noWrap/>
            <w:vAlign w:val="center"/>
          </w:tcPr>
          <w:p w:rsidR="00D947B1" w:rsidRPr="002D1B02" w:rsidRDefault="00D947B1" w:rsidP="00D947B1">
            <w:pPr>
              <w:spacing w:before="120" w:after="120"/>
              <w:jc w:val="center"/>
              <w:rPr>
                <w:color w:val="000000"/>
                <w:sz w:val="20"/>
                <w:szCs w:val="20"/>
                <w:lang w:val="es-ES"/>
              </w:rPr>
            </w:pPr>
            <w:proofErr w:type="spellStart"/>
            <w:r>
              <w:rPr>
                <w:color w:val="000000"/>
                <w:sz w:val="20"/>
                <w:szCs w:val="20"/>
                <w:lang w:val="es-ES"/>
              </w:rPr>
              <w:t>Exante</w:t>
            </w:r>
            <w:proofErr w:type="spellEnd"/>
          </w:p>
        </w:tc>
        <w:tc>
          <w:tcPr>
            <w:tcW w:w="357" w:type="pct"/>
            <w:tcBorders>
              <w:top w:val="single" w:sz="8" w:space="0" w:color="auto"/>
              <w:left w:val="nil"/>
              <w:bottom w:val="single" w:sz="8" w:space="0" w:color="auto"/>
              <w:right w:val="single" w:sz="8" w:space="0" w:color="auto"/>
            </w:tcBorders>
            <w:shd w:val="clear" w:color="auto" w:fill="auto"/>
            <w:noWrap/>
            <w:vAlign w:val="center"/>
          </w:tcPr>
          <w:p w:rsidR="00D947B1" w:rsidRPr="002D1B02" w:rsidRDefault="00D947B1" w:rsidP="00D947B1">
            <w:pPr>
              <w:spacing w:before="120" w:after="120"/>
              <w:jc w:val="center"/>
              <w:rPr>
                <w:color w:val="000000"/>
                <w:sz w:val="20"/>
                <w:szCs w:val="20"/>
                <w:lang w:val="es-ES"/>
              </w:rPr>
            </w:pPr>
          </w:p>
        </w:tc>
        <w:tc>
          <w:tcPr>
            <w:tcW w:w="405" w:type="pct"/>
            <w:tcBorders>
              <w:top w:val="single" w:sz="8" w:space="0" w:color="auto"/>
              <w:left w:val="nil"/>
              <w:bottom w:val="single" w:sz="8" w:space="0" w:color="auto"/>
              <w:right w:val="single" w:sz="8" w:space="0" w:color="auto"/>
            </w:tcBorders>
            <w:shd w:val="clear" w:color="auto" w:fill="auto"/>
            <w:noWrap/>
            <w:vAlign w:val="center"/>
          </w:tcPr>
          <w:p w:rsidR="00D947B1" w:rsidRDefault="0011098F" w:rsidP="00D947B1">
            <w:pPr>
              <w:spacing w:before="120" w:after="120"/>
              <w:jc w:val="center"/>
              <w:rPr>
                <w:color w:val="000000"/>
                <w:sz w:val="20"/>
                <w:szCs w:val="20"/>
                <w:lang w:val="es-ES"/>
              </w:rPr>
            </w:pPr>
            <w:proofErr w:type="spellStart"/>
            <w:r>
              <w:rPr>
                <w:color w:val="000000"/>
                <w:sz w:val="20"/>
                <w:szCs w:val="20"/>
                <w:lang w:val="es-ES"/>
              </w:rPr>
              <w:t>Expost</w:t>
            </w:r>
            <w:proofErr w:type="spellEnd"/>
          </w:p>
          <w:p w:rsidR="0011098F" w:rsidRPr="002D1B02" w:rsidRDefault="0011098F" w:rsidP="00D947B1">
            <w:pPr>
              <w:spacing w:before="120" w:after="120"/>
              <w:jc w:val="center"/>
              <w:rPr>
                <w:color w:val="000000"/>
                <w:sz w:val="20"/>
                <w:szCs w:val="20"/>
                <w:lang w:val="es-ES"/>
              </w:rPr>
            </w:pPr>
            <w:r>
              <w:rPr>
                <w:color w:val="000000"/>
                <w:sz w:val="20"/>
                <w:szCs w:val="20"/>
                <w:lang w:val="es-ES"/>
              </w:rPr>
              <w:t>Interm</w:t>
            </w:r>
            <w:r>
              <w:rPr>
                <w:color w:val="000000"/>
                <w:sz w:val="20"/>
                <w:szCs w:val="20"/>
                <w:lang w:val="es-ES"/>
              </w:rPr>
              <w:lastRenderedPageBreak/>
              <w:t>edia</w:t>
            </w:r>
          </w:p>
        </w:tc>
        <w:tc>
          <w:tcPr>
            <w:tcW w:w="384" w:type="pct"/>
            <w:tcBorders>
              <w:top w:val="single" w:sz="8" w:space="0" w:color="auto"/>
              <w:left w:val="nil"/>
              <w:bottom w:val="single" w:sz="8" w:space="0" w:color="auto"/>
              <w:right w:val="single" w:sz="8" w:space="0" w:color="auto"/>
            </w:tcBorders>
            <w:shd w:val="clear" w:color="auto" w:fill="auto"/>
            <w:noWrap/>
            <w:vAlign w:val="center"/>
          </w:tcPr>
          <w:p w:rsidR="00D947B1" w:rsidRPr="002D1B02" w:rsidRDefault="00D947B1" w:rsidP="00D947B1">
            <w:pPr>
              <w:spacing w:before="120" w:after="120"/>
              <w:jc w:val="center"/>
              <w:rPr>
                <w:color w:val="000000"/>
                <w:sz w:val="20"/>
                <w:szCs w:val="20"/>
                <w:lang w:val="es-ES"/>
              </w:rPr>
            </w:pPr>
          </w:p>
        </w:tc>
        <w:tc>
          <w:tcPr>
            <w:tcW w:w="403" w:type="pct"/>
            <w:tcBorders>
              <w:top w:val="single" w:sz="8" w:space="0" w:color="auto"/>
              <w:left w:val="nil"/>
              <w:bottom w:val="single" w:sz="8" w:space="0" w:color="auto"/>
              <w:right w:val="single" w:sz="8" w:space="0" w:color="auto"/>
            </w:tcBorders>
            <w:shd w:val="clear" w:color="auto" w:fill="auto"/>
            <w:vAlign w:val="center"/>
          </w:tcPr>
          <w:p w:rsidR="00D947B1" w:rsidRDefault="00D947B1" w:rsidP="00D947B1">
            <w:pPr>
              <w:spacing w:before="120" w:after="120"/>
              <w:jc w:val="center"/>
              <w:rPr>
                <w:color w:val="000000"/>
                <w:sz w:val="20"/>
                <w:szCs w:val="20"/>
                <w:lang w:val="es-ES"/>
              </w:rPr>
            </w:pPr>
            <w:proofErr w:type="spellStart"/>
            <w:r>
              <w:rPr>
                <w:color w:val="000000"/>
                <w:sz w:val="20"/>
                <w:szCs w:val="20"/>
                <w:lang w:val="es-ES"/>
              </w:rPr>
              <w:t>Expost</w:t>
            </w:r>
            <w:proofErr w:type="spellEnd"/>
          </w:p>
          <w:p w:rsidR="0011098F" w:rsidRPr="002D1B02" w:rsidRDefault="0011098F" w:rsidP="00D947B1">
            <w:pPr>
              <w:spacing w:before="120" w:after="120"/>
              <w:jc w:val="center"/>
              <w:rPr>
                <w:color w:val="000000"/>
                <w:sz w:val="20"/>
                <w:szCs w:val="20"/>
                <w:lang w:val="es-ES"/>
              </w:rPr>
            </w:pPr>
            <w:r>
              <w:rPr>
                <w:color w:val="000000"/>
                <w:sz w:val="20"/>
                <w:szCs w:val="20"/>
                <w:lang w:val="es-ES"/>
              </w:rPr>
              <w:t>Final</w:t>
            </w:r>
          </w:p>
        </w:tc>
        <w:tc>
          <w:tcPr>
            <w:tcW w:w="986" w:type="pct"/>
            <w:tcBorders>
              <w:top w:val="nil"/>
              <w:left w:val="single" w:sz="8" w:space="0" w:color="auto"/>
              <w:bottom w:val="single" w:sz="8" w:space="0" w:color="auto"/>
              <w:right w:val="single" w:sz="8" w:space="0" w:color="auto"/>
            </w:tcBorders>
            <w:shd w:val="clear" w:color="auto" w:fill="auto"/>
            <w:noWrap/>
            <w:vAlign w:val="center"/>
          </w:tcPr>
          <w:p w:rsidR="00D947B1" w:rsidRDefault="0011098F" w:rsidP="00D947B1">
            <w:pPr>
              <w:spacing w:before="120" w:after="120"/>
              <w:jc w:val="center"/>
              <w:rPr>
                <w:color w:val="000000"/>
                <w:sz w:val="20"/>
                <w:szCs w:val="20"/>
                <w:lang w:val="es-ES"/>
              </w:rPr>
            </w:pPr>
            <w:r>
              <w:rPr>
                <w:color w:val="000000"/>
                <w:sz w:val="20"/>
                <w:szCs w:val="20"/>
                <w:lang w:val="es-ES"/>
              </w:rPr>
              <w:t xml:space="preserve">US$ </w:t>
            </w:r>
            <w:r w:rsidR="008E4A17">
              <w:rPr>
                <w:color w:val="000000"/>
                <w:sz w:val="20"/>
                <w:szCs w:val="20"/>
                <w:lang w:val="es-ES"/>
              </w:rPr>
              <w:t>15</w:t>
            </w:r>
            <w:r w:rsidR="00D947B1">
              <w:rPr>
                <w:color w:val="000000"/>
                <w:sz w:val="20"/>
                <w:szCs w:val="20"/>
                <w:lang w:val="es-ES"/>
              </w:rPr>
              <w:t>,000</w:t>
            </w:r>
          </w:p>
          <w:p w:rsidR="00D947B1" w:rsidRPr="002D1B02" w:rsidRDefault="00D947B1" w:rsidP="00D947B1">
            <w:pPr>
              <w:spacing w:before="120" w:after="120"/>
              <w:jc w:val="center"/>
              <w:rPr>
                <w:color w:val="000000"/>
                <w:sz w:val="20"/>
                <w:szCs w:val="20"/>
                <w:lang w:val="es-ES"/>
              </w:rPr>
            </w:pPr>
            <w:r>
              <w:rPr>
                <w:color w:val="000000"/>
                <w:sz w:val="20"/>
                <w:szCs w:val="20"/>
                <w:lang w:val="es-ES"/>
              </w:rPr>
              <w:t>IDB - Proyecto</w:t>
            </w:r>
          </w:p>
        </w:tc>
      </w:tr>
      <w:tr w:rsidR="00D947B1" w:rsidRPr="002D1B02" w:rsidTr="008A02B3">
        <w:trPr>
          <w:trHeight w:val="394"/>
        </w:trPr>
        <w:tc>
          <w:tcPr>
            <w:tcW w:w="1614" w:type="pct"/>
            <w:tcBorders>
              <w:top w:val="nil"/>
              <w:left w:val="single" w:sz="8" w:space="0" w:color="auto"/>
              <w:bottom w:val="single" w:sz="8" w:space="0" w:color="auto"/>
              <w:right w:val="single" w:sz="8" w:space="0" w:color="auto"/>
            </w:tcBorders>
            <w:shd w:val="clear" w:color="auto" w:fill="auto"/>
            <w:noWrap/>
            <w:vAlign w:val="center"/>
            <w:hideMark/>
          </w:tcPr>
          <w:p w:rsidR="00D947B1" w:rsidRPr="002D1B02" w:rsidRDefault="00D947B1" w:rsidP="00743617">
            <w:pPr>
              <w:spacing w:before="120" w:after="120"/>
              <w:rPr>
                <w:color w:val="000000"/>
                <w:sz w:val="20"/>
                <w:szCs w:val="20"/>
                <w:lang w:val="es-ES"/>
              </w:rPr>
            </w:pPr>
            <w:r w:rsidRPr="002D1B02">
              <w:rPr>
                <w:color w:val="000000"/>
                <w:sz w:val="20"/>
                <w:szCs w:val="20"/>
                <w:lang w:val="es-ES"/>
              </w:rPr>
              <w:lastRenderedPageBreak/>
              <w:t xml:space="preserve">Informe de Terminación de Proyecto (PCR) </w:t>
            </w:r>
          </w:p>
        </w:tc>
        <w:tc>
          <w:tcPr>
            <w:tcW w:w="407" w:type="pct"/>
            <w:gridSpan w:val="2"/>
            <w:tcBorders>
              <w:top w:val="single" w:sz="8" w:space="0" w:color="auto"/>
              <w:left w:val="nil"/>
              <w:bottom w:val="single" w:sz="8" w:space="0" w:color="auto"/>
              <w:right w:val="single" w:sz="8" w:space="0" w:color="auto"/>
            </w:tcBorders>
            <w:shd w:val="clear" w:color="auto" w:fill="auto"/>
            <w:noWrap/>
            <w:vAlign w:val="center"/>
            <w:hideMark/>
          </w:tcPr>
          <w:p w:rsidR="00D947B1" w:rsidRPr="002D1B02" w:rsidRDefault="00D947B1" w:rsidP="00D947B1">
            <w:pPr>
              <w:spacing w:before="120" w:after="120"/>
              <w:jc w:val="center"/>
              <w:rPr>
                <w:color w:val="000000"/>
                <w:sz w:val="20"/>
                <w:szCs w:val="20"/>
                <w:lang w:val="es-ES"/>
              </w:rPr>
            </w:pPr>
          </w:p>
          <w:p w:rsidR="00D947B1" w:rsidRPr="002D1B02" w:rsidRDefault="00D947B1" w:rsidP="00D947B1">
            <w:pPr>
              <w:spacing w:before="120" w:after="120"/>
              <w:jc w:val="center"/>
              <w:rPr>
                <w:color w:val="000000"/>
                <w:sz w:val="20"/>
                <w:szCs w:val="20"/>
                <w:lang w:val="es-ES"/>
              </w:rPr>
            </w:pPr>
          </w:p>
        </w:tc>
        <w:tc>
          <w:tcPr>
            <w:tcW w:w="445" w:type="pct"/>
            <w:gridSpan w:val="2"/>
            <w:tcBorders>
              <w:top w:val="single" w:sz="8" w:space="0" w:color="auto"/>
              <w:left w:val="nil"/>
              <w:bottom w:val="single" w:sz="8" w:space="0" w:color="auto"/>
              <w:right w:val="single" w:sz="8" w:space="0" w:color="auto"/>
            </w:tcBorders>
            <w:shd w:val="clear" w:color="auto" w:fill="auto"/>
            <w:noWrap/>
            <w:vAlign w:val="center"/>
            <w:hideMark/>
          </w:tcPr>
          <w:p w:rsidR="00D947B1" w:rsidRPr="002D1B02" w:rsidRDefault="00D947B1" w:rsidP="00D947B1">
            <w:pPr>
              <w:spacing w:before="120" w:after="120"/>
              <w:jc w:val="center"/>
              <w:rPr>
                <w:color w:val="000000"/>
                <w:sz w:val="20"/>
                <w:szCs w:val="20"/>
                <w:lang w:val="es-ES"/>
              </w:rPr>
            </w:pPr>
          </w:p>
          <w:p w:rsidR="00D947B1" w:rsidRPr="002D1B02" w:rsidRDefault="00D947B1" w:rsidP="00D947B1">
            <w:pPr>
              <w:spacing w:before="120" w:after="120"/>
              <w:jc w:val="center"/>
              <w:rPr>
                <w:color w:val="000000"/>
                <w:sz w:val="20"/>
                <w:szCs w:val="20"/>
                <w:lang w:val="es-ES"/>
              </w:rPr>
            </w:pPr>
          </w:p>
        </w:tc>
        <w:tc>
          <w:tcPr>
            <w:tcW w:w="357" w:type="pct"/>
            <w:tcBorders>
              <w:top w:val="single" w:sz="8" w:space="0" w:color="auto"/>
              <w:left w:val="nil"/>
              <w:bottom w:val="single" w:sz="8" w:space="0" w:color="auto"/>
              <w:right w:val="single" w:sz="8" w:space="0" w:color="auto"/>
            </w:tcBorders>
            <w:shd w:val="clear" w:color="auto" w:fill="auto"/>
            <w:noWrap/>
            <w:vAlign w:val="center"/>
          </w:tcPr>
          <w:p w:rsidR="00D947B1" w:rsidRPr="002D1B02" w:rsidRDefault="00D947B1" w:rsidP="00D947B1">
            <w:pPr>
              <w:spacing w:before="120" w:after="120"/>
              <w:jc w:val="center"/>
              <w:rPr>
                <w:color w:val="000000"/>
                <w:sz w:val="20"/>
                <w:szCs w:val="20"/>
                <w:lang w:val="es-ES"/>
              </w:rPr>
            </w:pPr>
          </w:p>
        </w:tc>
        <w:tc>
          <w:tcPr>
            <w:tcW w:w="405" w:type="pct"/>
            <w:tcBorders>
              <w:top w:val="single" w:sz="8" w:space="0" w:color="auto"/>
              <w:left w:val="nil"/>
              <w:bottom w:val="single" w:sz="8" w:space="0" w:color="auto"/>
              <w:right w:val="single" w:sz="8" w:space="0" w:color="auto"/>
            </w:tcBorders>
            <w:shd w:val="clear" w:color="auto" w:fill="auto"/>
            <w:noWrap/>
            <w:vAlign w:val="center"/>
          </w:tcPr>
          <w:p w:rsidR="00D947B1" w:rsidRPr="002D1B02" w:rsidRDefault="0011098F" w:rsidP="00D947B1">
            <w:pPr>
              <w:spacing w:before="120" w:after="120"/>
              <w:jc w:val="center"/>
              <w:rPr>
                <w:color w:val="000000"/>
                <w:sz w:val="20"/>
                <w:szCs w:val="20"/>
                <w:lang w:val="es-ES"/>
              </w:rPr>
            </w:pPr>
            <w:r>
              <w:rPr>
                <w:color w:val="000000"/>
                <w:sz w:val="20"/>
                <w:szCs w:val="20"/>
                <w:lang w:val="es-ES"/>
              </w:rPr>
              <w:t>PCR</w:t>
            </w:r>
          </w:p>
        </w:tc>
        <w:tc>
          <w:tcPr>
            <w:tcW w:w="384" w:type="pct"/>
            <w:tcBorders>
              <w:top w:val="single" w:sz="8" w:space="0" w:color="auto"/>
              <w:left w:val="nil"/>
              <w:bottom w:val="single" w:sz="8" w:space="0" w:color="auto"/>
              <w:right w:val="single" w:sz="8" w:space="0" w:color="auto"/>
            </w:tcBorders>
            <w:shd w:val="clear" w:color="auto" w:fill="auto"/>
            <w:noWrap/>
            <w:vAlign w:val="center"/>
            <w:hideMark/>
          </w:tcPr>
          <w:p w:rsidR="00D947B1" w:rsidRPr="002D1B02" w:rsidRDefault="00D947B1" w:rsidP="00D947B1">
            <w:pPr>
              <w:spacing w:before="120" w:after="120"/>
              <w:jc w:val="center"/>
              <w:rPr>
                <w:color w:val="000000"/>
                <w:sz w:val="20"/>
                <w:szCs w:val="20"/>
                <w:lang w:val="es-ES"/>
              </w:rPr>
            </w:pPr>
          </w:p>
          <w:p w:rsidR="00D947B1" w:rsidRPr="002D1B02" w:rsidRDefault="00D947B1" w:rsidP="00D947B1">
            <w:pPr>
              <w:spacing w:before="120" w:after="120"/>
              <w:jc w:val="center"/>
              <w:rPr>
                <w:color w:val="000000"/>
                <w:sz w:val="20"/>
                <w:szCs w:val="20"/>
                <w:lang w:val="es-ES"/>
              </w:rPr>
            </w:pPr>
          </w:p>
        </w:tc>
        <w:tc>
          <w:tcPr>
            <w:tcW w:w="403" w:type="pct"/>
            <w:tcBorders>
              <w:top w:val="single" w:sz="8" w:space="0" w:color="auto"/>
              <w:left w:val="nil"/>
              <w:bottom w:val="single" w:sz="8" w:space="0" w:color="auto"/>
              <w:right w:val="single" w:sz="8" w:space="0" w:color="auto"/>
            </w:tcBorders>
            <w:shd w:val="clear" w:color="auto" w:fill="auto"/>
            <w:vAlign w:val="center"/>
          </w:tcPr>
          <w:p w:rsidR="00D947B1" w:rsidRPr="002D1B02" w:rsidRDefault="00D947B1" w:rsidP="00D947B1">
            <w:pPr>
              <w:spacing w:before="120" w:after="120"/>
              <w:jc w:val="center"/>
              <w:rPr>
                <w:color w:val="000000"/>
                <w:sz w:val="20"/>
                <w:szCs w:val="20"/>
                <w:lang w:val="es-ES"/>
              </w:rPr>
            </w:pPr>
          </w:p>
        </w:tc>
        <w:tc>
          <w:tcPr>
            <w:tcW w:w="986"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D947B1" w:rsidRDefault="00D947B1" w:rsidP="00D947B1">
            <w:pPr>
              <w:spacing w:before="120" w:after="120"/>
              <w:jc w:val="center"/>
              <w:rPr>
                <w:color w:val="000000"/>
                <w:sz w:val="20"/>
                <w:szCs w:val="20"/>
                <w:lang w:val="es-ES"/>
              </w:rPr>
            </w:pPr>
            <w:r>
              <w:rPr>
                <w:color w:val="000000"/>
                <w:sz w:val="20"/>
                <w:szCs w:val="20"/>
                <w:lang w:val="es-ES"/>
              </w:rPr>
              <w:t>US$20,000</w:t>
            </w:r>
          </w:p>
          <w:p w:rsidR="00D947B1" w:rsidRPr="002D1B02" w:rsidRDefault="00D947B1" w:rsidP="00D947B1">
            <w:pPr>
              <w:spacing w:before="120" w:after="120"/>
              <w:jc w:val="center"/>
              <w:rPr>
                <w:color w:val="000000"/>
                <w:sz w:val="20"/>
                <w:szCs w:val="20"/>
                <w:lang w:val="es-ES"/>
              </w:rPr>
            </w:pPr>
            <w:r>
              <w:rPr>
                <w:color w:val="000000"/>
                <w:sz w:val="20"/>
                <w:szCs w:val="20"/>
                <w:lang w:val="es-ES"/>
              </w:rPr>
              <w:t>IDB - Proyecto</w:t>
            </w:r>
          </w:p>
        </w:tc>
      </w:tr>
      <w:tr w:rsidR="00D947B1" w:rsidRPr="002D1B02" w:rsidTr="008A02B3">
        <w:trPr>
          <w:trHeight w:val="97"/>
        </w:trPr>
        <w:tc>
          <w:tcPr>
            <w:tcW w:w="1614" w:type="pct"/>
            <w:tcBorders>
              <w:top w:val="nil"/>
              <w:left w:val="single" w:sz="8" w:space="0" w:color="auto"/>
              <w:bottom w:val="single" w:sz="8" w:space="0" w:color="auto"/>
              <w:right w:val="single" w:sz="8" w:space="0" w:color="auto"/>
            </w:tcBorders>
            <w:shd w:val="clear" w:color="auto" w:fill="auto"/>
            <w:noWrap/>
            <w:vAlign w:val="center"/>
            <w:hideMark/>
          </w:tcPr>
          <w:p w:rsidR="00D947B1" w:rsidRPr="002D1B02" w:rsidRDefault="00D947B1" w:rsidP="00743617">
            <w:pPr>
              <w:spacing w:before="120" w:after="120"/>
              <w:rPr>
                <w:b/>
                <w:bCs/>
                <w:color w:val="000000"/>
                <w:sz w:val="20"/>
                <w:szCs w:val="20"/>
                <w:lang w:val="es-ES"/>
              </w:rPr>
            </w:pPr>
            <w:r w:rsidRPr="002D1B02">
              <w:rPr>
                <w:b/>
                <w:bCs/>
                <w:color w:val="000000"/>
                <w:sz w:val="20"/>
                <w:szCs w:val="20"/>
                <w:lang w:val="es-ES"/>
              </w:rPr>
              <w:t>Total</w:t>
            </w:r>
          </w:p>
        </w:tc>
        <w:tc>
          <w:tcPr>
            <w:tcW w:w="355" w:type="pct"/>
            <w:tcBorders>
              <w:top w:val="single" w:sz="8" w:space="0" w:color="auto"/>
              <w:left w:val="nil"/>
              <w:bottom w:val="single" w:sz="8" w:space="0" w:color="auto"/>
              <w:right w:val="nil"/>
            </w:tcBorders>
          </w:tcPr>
          <w:p w:rsidR="00D947B1" w:rsidRPr="002D1B02" w:rsidRDefault="00D947B1" w:rsidP="00743617">
            <w:pPr>
              <w:spacing w:before="120" w:after="120"/>
              <w:jc w:val="center"/>
              <w:rPr>
                <w:b/>
                <w:bCs/>
                <w:color w:val="000000"/>
                <w:sz w:val="20"/>
                <w:szCs w:val="20"/>
                <w:lang w:val="es-ES"/>
              </w:rPr>
            </w:pPr>
          </w:p>
        </w:tc>
        <w:tc>
          <w:tcPr>
            <w:tcW w:w="284" w:type="pct"/>
            <w:gridSpan w:val="2"/>
            <w:tcBorders>
              <w:top w:val="single" w:sz="8" w:space="0" w:color="auto"/>
              <w:left w:val="nil"/>
              <w:bottom w:val="single" w:sz="8" w:space="0" w:color="auto"/>
              <w:right w:val="nil"/>
            </w:tcBorders>
          </w:tcPr>
          <w:p w:rsidR="00D947B1" w:rsidRPr="002D1B02" w:rsidRDefault="00D947B1" w:rsidP="00743617">
            <w:pPr>
              <w:spacing w:before="120" w:after="120"/>
              <w:jc w:val="center"/>
              <w:rPr>
                <w:b/>
                <w:bCs/>
                <w:color w:val="000000"/>
                <w:sz w:val="20"/>
                <w:szCs w:val="20"/>
                <w:lang w:val="es-ES"/>
              </w:rPr>
            </w:pPr>
          </w:p>
        </w:tc>
        <w:tc>
          <w:tcPr>
            <w:tcW w:w="1762" w:type="pct"/>
            <w:gridSpan w:val="5"/>
            <w:tcBorders>
              <w:top w:val="single" w:sz="8" w:space="0" w:color="auto"/>
              <w:left w:val="nil"/>
              <w:bottom w:val="single" w:sz="8" w:space="0" w:color="auto"/>
              <w:right w:val="single" w:sz="8" w:space="0" w:color="000000"/>
            </w:tcBorders>
            <w:shd w:val="clear" w:color="auto" w:fill="auto"/>
            <w:noWrap/>
            <w:vAlign w:val="center"/>
            <w:hideMark/>
          </w:tcPr>
          <w:p w:rsidR="00D947B1" w:rsidRPr="002D1B02" w:rsidRDefault="00D947B1" w:rsidP="00743617">
            <w:pPr>
              <w:spacing w:before="120" w:after="120"/>
              <w:jc w:val="center"/>
              <w:rPr>
                <w:b/>
                <w:bCs/>
                <w:color w:val="000000"/>
                <w:sz w:val="20"/>
                <w:szCs w:val="20"/>
                <w:lang w:val="es-ES"/>
              </w:rPr>
            </w:pPr>
            <w:r w:rsidRPr="002D1B02">
              <w:rPr>
                <w:b/>
                <w:bCs/>
                <w:color w:val="000000"/>
                <w:sz w:val="20"/>
                <w:szCs w:val="20"/>
                <w:lang w:val="es-ES"/>
              </w:rPr>
              <w:t> </w:t>
            </w:r>
          </w:p>
        </w:tc>
        <w:tc>
          <w:tcPr>
            <w:tcW w:w="986" w:type="pct"/>
            <w:tcBorders>
              <w:top w:val="nil"/>
              <w:left w:val="nil"/>
              <w:bottom w:val="single" w:sz="8" w:space="0" w:color="auto"/>
              <w:right w:val="single" w:sz="8" w:space="0" w:color="auto"/>
            </w:tcBorders>
            <w:shd w:val="clear" w:color="auto" w:fill="auto"/>
            <w:noWrap/>
            <w:vAlign w:val="center"/>
            <w:hideMark/>
          </w:tcPr>
          <w:p w:rsidR="00D947B1" w:rsidRPr="002D1B02" w:rsidRDefault="0011098F" w:rsidP="00D947B1">
            <w:pPr>
              <w:spacing w:before="120" w:after="120"/>
              <w:jc w:val="right"/>
              <w:rPr>
                <w:b/>
                <w:bCs/>
                <w:color w:val="000000"/>
                <w:sz w:val="20"/>
                <w:szCs w:val="20"/>
                <w:lang w:val="es-ES"/>
              </w:rPr>
            </w:pPr>
            <w:r>
              <w:rPr>
                <w:b/>
                <w:bCs/>
                <w:color w:val="000000"/>
                <w:sz w:val="20"/>
                <w:szCs w:val="20"/>
                <w:lang w:val="es-ES"/>
              </w:rPr>
              <w:t>6</w:t>
            </w:r>
            <w:r w:rsidR="008E4A17">
              <w:rPr>
                <w:b/>
                <w:bCs/>
                <w:color w:val="000000"/>
                <w:sz w:val="20"/>
                <w:szCs w:val="20"/>
                <w:lang w:val="es-ES"/>
              </w:rPr>
              <w:t>0</w:t>
            </w:r>
            <w:r w:rsidR="00D947B1" w:rsidRPr="002D1B02">
              <w:rPr>
                <w:b/>
                <w:bCs/>
                <w:color w:val="000000"/>
                <w:sz w:val="20"/>
                <w:szCs w:val="20"/>
                <w:lang w:val="es-ES"/>
              </w:rPr>
              <w:t>,000</w:t>
            </w:r>
          </w:p>
        </w:tc>
      </w:tr>
    </w:tbl>
    <w:p w:rsidR="00815AF4" w:rsidRPr="006F6810" w:rsidRDefault="008E5E30" w:rsidP="008A02B3">
      <w:pPr>
        <w:pStyle w:val="Paragraph"/>
        <w:widowControl w:val="0"/>
        <w:numPr>
          <w:ilvl w:val="0"/>
          <w:numId w:val="8"/>
        </w:numPr>
        <w:rPr>
          <w:b/>
          <w:lang w:val="es-ES" w:eastAsia="x-none"/>
        </w:rPr>
      </w:pPr>
      <w:r>
        <w:rPr>
          <w:b/>
          <w:lang w:val="es-ES" w:eastAsia="x-none"/>
        </w:rPr>
        <w:t xml:space="preserve">Recolección </w:t>
      </w:r>
      <w:r w:rsidR="006F6810" w:rsidRPr="006F6810">
        <w:rPr>
          <w:b/>
          <w:lang w:val="es-ES" w:eastAsia="x-none"/>
        </w:rPr>
        <w:t xml:space="preserve">de </w:t>
      </w:r>
      <w:r>
        <w:rPr>
          <w:b/>
          <w:lang w:val="es-ES" w:eastAsia="x-none"/>
        </w:rPr>
        <w:t xml:space="preserve">la </w:t>
      </w:r>
      <w:r w:rsidR="006F6810" w:rsidRPr="006F6810">
        <w:rPr>
          <w:b/>
          <w:lang w:val="es-ES" w:eastAsia="x-none"/>
        </w:rPr>
        <w:t>Información</w:t>
      </w:r>
    </w:p>
    <w:p w:rsidR="006F6810" w:rsidRPr="006F6810" w:rsidRDefault="00452F78" w:rsidP="009F7F76">
      <w:pPr>
        <w:pStyle w:val="Paragraph"/>
        <w:numPr>
          <w:ilvl w:val="1"/>
          <w:numId w:val="10"/>
        </w:numPr>
        <w:spacing w:before="100" w:after="100"/>
        <w:ind w:left="900" w:hanging="900"/>
        <w:rPr>
          <w:spacing w:val="-3"/>
          <w:szCs w:val="24"/>
          <w:lang w:val="es-ES"/>
        </w:rPr>
      </w:pPr>
      <w:r>
        <w:rPr>
          <w:spacing w:val="-3"/>
          <w:szCs w:val="24"/>
          <w:lang w:val="es-ES"/>
        </w:rPr>
        <w:t>La colecta de la información para la evaluación será realizada por los consultores responsables por la realización de las evaluaciones reflexiva, económica, impacto, y también para el PCR.</w:t>
      </w:r>
    </w:p>
    <w:tbl>
      <w:tblPr>
        <w:tblW w:w="5642" w:type="pct"/>
        <w:tblInd w:w="-432" w:type="dxa"/>
        <w:tblLayout w:type="fixed"/>
        <w:tblLook w:val="04A0" w:firstRow="1" w:lastRow="0" w:firstColumn="1" w:lastColumn="0" w:noHBand="0" w:noVBand="1"/>
      </w:tblPr>
      <w:tblGrid>
        <w:gridCol w:w="2881"/>
        <w:gridCol w:w="818"/>
        <w:gridCol w:w="891"/>
        <w:gridCol w:w="901"/>
        <w:gridCol w:w="813"/>
        <w:gridCol w:w="769"/>
        <w:gridCol w:w="937"/>
        <w:gridCol w:w="1983"/>
      </w:tblGrid>
      <w:tr w:rsidR="006F6810" w:rsidRPr="001E63CD" w:rsidTr="008A02B3">
        <w:trPr>
          <w:trHeight w:val="124"/>
        </w:trPr>
        <w:tc>
          <w:tcPr>
            <w:tcW w:w="5000" w:type="pct"/>
            <w:gridSpan w:val="8"/>
            <w:tcBorders>
              <w:top w:val="single" w:sz="8" w:space="0" w:color="auto"/>
              <w:left w:val="single" w:sz="8" w:space="0" w:color="auto"/>
              <w:bottom w:val="single" w:sz="8" w:space="0" w:color="000000"/>
              <w:right w:val="single" w:sz="8" w:space="0" w:color="auto"/>
            </w:tcBorders>
            <w:shd w:val="clear" w:color="000000" w:fill="D9D9D9"/>
          </w:tcPr>
          <w:p w:rsidR="006F6810" w:rsidRPr="002D1B02" w:rsidRDefault="00F25C3F" w:rsidP="006F6810">
            <w:pPr>
              <w:spacing w:before="120" w:after="120"/>
              <w:jc w:val="center"/>
              <w:rPr>
                <w:b/>
                <w:bCs/>
                <w:color w:val="000000"/>
                <w:sz w:val="20"/>
                <w:szCs w:val="20"/>
                <w:lang w:val="es-ES"/>
              </w:rPr>
            </w:pPr>
            <w:r>
              <w:rPr>
                <w:b/>
                <w:bCs/>
                <w:color w:val="000000"/>
                <w:sz w:val="20"/>
                <w:szCs w:val="20"/>
                <w:lang w:val="es-ES"/>
              </w:rPr>
              <w:t>Tabla 5</w:t>
            </w:r>
            <w:r w:rsidR="006F6810" w:rsidRPr="002D1B02">
              <w:rPr>
                <w:b/>
                <w:bCs/>
                <w:color w:val="000000"/>
                <w:sz w:val="20"/>
                <w:szCs w:val="20"/>
                <w:lang w:val="es-ES"/>
              </w:rPr>
              <w:t xml:space="preserve">. Plan de Trabajo </w:t>
            </w:r>
            <w:r w:rsidR="006F6810">
              <w:rPr>
                <w:b/>
                <w:bCs/>
                <w:color w:val="000000"/>
                <w:sz w:val="20"/>
                <w:szCs w:val="20"/>
                <w:lang w:val="es-ES"/>
              </w:rPr>
              <w:t>Para la Colecta de la información</w:t>
            </w:r>
            <w:r w:rsidR="006F6810" w:rsidRPr="002D1B02">
              <w:rPr>
                <w:b/>
                <w:bCs/>
                <w:color w:val="000000"/>
                <w:sz w:val="20"/>
                <w:szCs w:val="20"/>
                <w:lang w:val="es-ES"/>
              </w:rPr>
              <w:t xml:space="preserve"> </w:t>
            </w:r>
          </w:p>
        </w:tc>
      </w:tr>
      <w:tr w:rsidR="008A1CFF" w:rsidRPr="002D1B02" w:rsidTr="008A02B3">
        <w:trPr>
          <w:trHeight w:val="88"/>
        </w:trPr>
        <w:tc>
          <w:tcPr>
            <w:tcW w:w="1441"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6F6810" w:rsidRPr="002D1B02" w:rsidRDefault="006F6810" w:rsidP="001933FE">
            <w:pPr>
              <w:spacing w:before="120" w:after="120"/>
              <w:jc w:val="center"/>
              <w:rPr>
                <w:b/>
                <w:bCs/>
                <w:color w:val="000000"/>
                <w:sz w:val="20"/>
                <w:szCs w:val="20"/>
                <w:lang w:val="es-ES"/>
              </w:rPr>
            </w:pPr>
            <w:r w:rsidRPr="002D1B02">
              <w:rPr>
                <w:b/>
                <w:bCs/>
                <w:color w:val="000000"/>
                <w:sz w:val="20"/>
                <w:szCs w:val="20"/>
                <w:lang w:val="es-ES"/>
              </w:rPr>
              <w:t>Actividad</w:t>
            </w:r>
          </w:p>
        </w:tc>
        <w:tc>
          <w:tcPr>
            <w:tcW w:w="409" w:type="pct"/>
            <w:tcBorders>
              <w:top w:val="single" w:sz="8" w:space="0" w:color="auto"/>
              <w:left w:val="nil"/>
              <w:right w:val="single" w:sz="8" w:space="0" w:color="000000"/>
            </w:tcBorders>
            <w:shd w:val="clear" w:color="000000" w:fill="D9D9D9"/>
            <w:noWrap/>
            <w:vAlign w:val="center"/>
            <w:hideMark/>
          </w:tcPr>
          <w:p w:rsidR="006F6810" w:rsidRPr="002D1B02" w:rsidRDefault="006F6810" w:rsidP="001933FE">
            <w:pPr>
              <w:spacing w:before="120" w:after="120"/>
              <w:jc w:val="center"/>
              <w:rPr>
                <w:b/>
                <w:bCs/>
                <w:color w:val="000000"/>
                <w:sz w:val="20"/>
                <w:szCs w:val="20"/>
                <w:lang w:val="es-ES"/>
              </w:rPr>
            </w:pPr>
            <w:r w:rsidRPr="002D1B02">
              <w:rPr>
                <w:b/>
                <w:bCs/>
                <w:color w:val="000000"/>
                <w:sz w:val="20"/>
                <w:szCs w:val="20"/>
                <w:lang w:val="es-ES"/>
              </w:rPr>
              <w:t>2015</w:t>
            </w:r>
          </w:p>
        </w:tc>
        <w:tc>
          <w:tcPr>
            <w:tcW w:w="446" w:type="pct"/>
            <w:tcBorders>
              <w:top w:val="single" w:sz="8" w:space="0" w:color="auto"/>
              <w:left w:val="nil"/>
              <w:right w:val="single" w:sz="8" w:space="0" w:color="000000"/>
            </w:tcBorders>
            <w:shd w:val="clear" w:color="000000" w:fill="D9D9D9"/>
            <w:noWrap/>
            <w:vAlign w:val="center"/>
            <w:hideMark/>
          </w:tcPr>
          <w:p w:rsidR="006F6810" w:rsidRPr="002D1B02" w:rsidRDefault="006F6810" w:rsidP="001933FE">
            <w:pPr>
              <w:spacing w:before="120" w:after="120"/>
              <w:jc w:val="center"/>
              <w:rPr>
                <w:b/>
                <w:bCs/>
                <w:color w:val="000000"/>
                <w:sz w:val="20"/>
                <w:szCs w:val="20"/>
                <w:lang w:val="es-ES"/>
              </w:rPr>
            </w:pPr>
            <w:r w:rsidRPr="002D1B02">
              <w:rPr>
                <w:b/>
                <w:bCs/>
                <w:color w:val="000000"/>
                <w:sz w:val="20"/>
                <w:szCs w:val="20"/>
                <w:lang w:val="es-ES"/>
              </w:rPr>
              <w:t>2016</w:t>
            </w:r>
          </w:p>
        </w:tc>
        <w:tc>
          <w:tcPr>
            <w:tcW w:w="451" w:type="pct"/>
            <w:tcBorders>
              <w:top w:val="single" w:sz="8" w:space="0" w:color="auto"/>
              <w:left w:val="nil"/>
              <w:right w:val="single" w:sz="8" w:space="0" w:color="000000"/>
            </w:tcBorders>
            <w:shd w:val="clear" w:color="000000" w:fill="D9D9D9"/>
            <w:noWrap/>
            <w:vAlign w:val="center"/>
            <w:hideMark/>
          </w:tcPr>
          <w:p w:rsidR="006F6810" w:rsidRPr="002D1B02" w:rsidRDefault="006F6810" w:rsidP="001933FE">
            <w:pPr>
              <w:spacing w:before="120" w:after="120"/>
              <w:jc w:val="center"/>
              <w:rPr>
                <w:b/>
                <w:bCs/>
                <w:color w:val="000000"/>
                <w:sz w:val="20"/>
                <w:szCs w:val="20"/>
                <w:lang w:val="es-ES"/>
              </w:rPr>
            </w:pPr>
            <w:r w:rsidRPr="002D1B02">
              <w:rPr>
                <w:b/>
                <w:bCs/>
                <w:color w:val="000000"/>
                <w:sz w:val="20"/>
                <w:szCs w:val="20"/>
                <w:lang w:val="es-ES"/>
              </w:rPr>
              <w:t>2017</w:t>
            </w:r>
          </w:p>
        </w:tc>
        <w:tc>
          <w:tcPr>
            <w:tcW w:w="407" w:type="pct"/>
            <w:tcBorders>
              <w:top w:val="single" w:sz="8" w:space="0" w:color="auto"/>
              <w:left w:val="nil"/>
              <w:right w:val="single" w:sz="8" w:space="0" w:color="000000"/>
            </w:tcBorders>
            <w:shd w:val="clear" w:color="000000" w:fill="D9D9D9"/>
            <w:noWrap/>
            <w:vAlign w:val="center"/>
            <w:hideMark/>
          </w:tcPr>
          <w:p w:rsidR="006F6810" w:rsidRPr="002D1B02" w:rsidRDefault="006F6810" w:rsidP="001933FE">
            <w:pPr>
              <w:spacing w:before="120" w:after="120"/>
              <w:jc w:val="center"/>
              <w:rPr>
                <w:b/>
                <w:bCs/>
                <w:color w:val="000000"/>
                <w:sz w:val="20"/>
                <w:szCs w:val="20"/>
                <w:lang w:val="es-ES"/>
              </w:rPr>
            </w:pPr>
            <w:r w:rsidRPr="002D1B02">
              <w:rPr>
                <w:b/>
                <w:bCs/>
                <w:color w:val="000000"/>
                <w:sz w:val="20"/>
                <w:szCs w:val="20"/>
                <w:lang w:val="es-ES"/>
              </w:rPr>
              <w:t>2018</w:t>
            </w:r>
          </w:p>
        </w:tc>
        <w:tc>
          <w:tcPr>
            <w:tcW w:w="385" w:type="pct"/>
            <w:tcBorders>
              <w:top w:val="single" w:sz="8" w:space="0" w:color="auto"/>
              <w:left w:val="nil"/>
              <w:right w:val="single" w:sz="8" w:space="0" w:color="000000"/>
            </w:tcBorders>
            <w:shd w:val="clear" w:color="000000" w:fill="D9D9D9"/>
            <w:noWrap/>
            <w:vAlign w:val="center"/>
            <w:hideMark/>
          </w:tcPr>
          <w:p w:rsidR="006F6810" w:rsidRPr="002D1B02" w:rsidRDefault="006F6810" w:rsidP="001933FE">
            <w:pPr>
              <w:spacing w:before="120" w:after="120"/>
              <w:jc w:val="center"/>
              <w:rPr>
                <w:b/>
                <w:bCs/>
                <w:color w:val="000000"/>
                <w:sz w:val="20"/>
                <w:szCs w:val="20"/>
                <w:lang w:val="es-ES"/>
              </w:rPr>
            </w:pPr>
            <w:r w:rsidRPr="002D1B02">
              <w:rPr>
                <w:b/>
                <w:bCs/>
                <w:color w:val="000000"/>
                <w:sz w:val="20"/>
                <w:szCs w:val="20"/>
                <w:lang w:val="es-ES"/>
              </w:rPr>
              <w:t>2019</w:t>
            </w:r>
          </w:p>
        </w:tc>
        <w:tc>
          <w:tcPr>
            <w:tcW w:w="469" w:type="pct"/>
            <w:tcBorders>
              <w:top w:val="single" w:sz="8" w:space="0" w:color="auto"/>
              <w:left w:val="single" w:sz="8" w:space="0" w:color="auto"/>
              <w:right w:val="single" w:sz="4" w:space="0" w:color="auto"/>
            </w:tcBorders>
            <w:shd w:val="clear" w:color="000000" w:fill="D9D9D9"/>
          </w:tcPr>
          <w:p w:rsidR="006F6810" w:rsidRPr="002D1B02" w:rsidRDefault="006F6810" w:rsidP="001933FE">
            <w:pPr>
              <w:spacing w:before="120" w:after="120"/>
              <w:jc w:val="center"/>
              <w:rPr>
                <w:b/>
                <w:bCs/>
                <w:color w:val="000000"/>
                <w:sz w:val="20"/>
                <w:szCs w:val="20"/>
                <w:lang w:val="es-ES"/>
              </w:rPr>
            </w:pPr>
            <w:r w:rsidRPr="002D1B02">
              <w:rPr>
                <w:b/>
                <w:bCs/>
                <w:color w:val="000000"/>
                <w:sz w:val="20"/>
                <w:szCs w:val="20"/>
                <w:lang w:val="es-ES"/>
              </w:rPr>
              <w:t>2020</w:t>
            </w:r>
          </w:p>
        </w:tc>
        <w:tc>
          <w:tcPr>
            <w:tcW w:w="992" w:type="pct"/>
            <w:tcBorders>
              <w:top w:val="single" w:sz="4" w:space="0" w:color="auto"/>
              <w:left w:val="single" w:sz="4" w:space="0" w:color="auto"/>
              <w:bottom w:val="single" w:sz="4" w:space="0" w:color="auto"/>
              <w:right w:val="single" w:sz="4" w:space="0" w:color="auto"/>
            </w:tcBorders>
            <w:shd w:val="clear" w:color="000000" w:fill="D9D9D9"/>
            <w:noWrap/>
            <w:vAlign w:val="center"/>
          </w:tcPr>
          <w:p w:rsidR="006F6810" w:rsidRPr="002D1B02" w:rsidRDefault="006F6810" w:rsidP="001933FE">
            <w:pPr>
              <w:spacing w:before="120" w:after="120"/>
              <w:jc w:val="center"/>
              <w:rPr>
                <w:b/>
                <w:bCs/>
                <w:color w:val="000000"/>
                <w:sz w:val="20"/>
                <w:szCs w:val="20"/>
                <w:lang w:val="es-ES"/>
              </w:rPr>
            </w:pPr>
            <w:r>
              <w:rPr>
                <w:b/>
                <w:bCs/>
                <w:color w:val="000000"/>
                <w:sz w:val="20"/>
                <w:szCs w:val="20"/>
                <w:lang w:val="es-ES"/>
              </w:rPr>
              <w:t>Responsable y Costo</w:t>
            </w:r>
          </w:p>
        </w:tc>
      </w:tr>
      <w:tr w:rsidR="008A1CFF" w:rsidRPr="001E63CD" w:rsidTr="008E4A17">
        <w:trPr>
          <w:trHeight w:val="376"/>
        </w:trPr>
        <w:tc>
          <w:tcPr>
            <w:tcW w:w="1441" w:type="pct"/>
            <w:tcBorders>
              <w:top w:val="nil"/>
              <w:left w:val="single" w:sz="8" w:space="0" w:color="auto"/>
              <w:bottom w:val="single" w:sz="8" w:space="0" w:color="auto"/>
              <w:right w:val="single" w:sz="8" w:space="0" w:color="auto"/>
            </w:tcBorders>
            <w:shd w:val="clear" w:color="auto" w:fill="auto"/>
            <w:noWrap/>
            <w:vAlign w:val="center"/>
          </w:tcPr>
          <w:p w:rsidR="006F6810" w:rsidRDefault="006F6810" w:rsidP="001933FE">
            <w:pPr>
              <w:spacing w:before="120" w:after="120"/>
              <w:rPr>
                <w:color w:val="000000"/>
                <w:sz w:val="20"/>
                <w:szCs w:val="20"/>
                <w:lang w:val="es-ES"/>
              </w:rPr>
            </w:pPr>
            <w:r>
              <w:rPr>
                <w:color w:val="000000"/>
                <w:sz w:val="20"/>
                <w:szCs w:val="20"/>
                <w:lang w:val="es-ES"/>
              </w:rPr>
              <w:t>Evaluación reflexiva</w:t>
            </w:r>
          </w:p>
        </w:tc>
        <w:tc>
          <w:tcPr>
            <w:tcW w:w="409" w:type="pct"/>
            <w:tcBorders>
              <w:top w:val="single" w:sz="8" w:space="0" w:color="auto"/>
              <w:left w:val="nil"/>
              <w:bottom w:val="single" w:sz="8" w:space="0" w:color="auto"/>
              <w:right w:val="single" w:sz="8" w:space="0" w:color="auto"/>
            </w:tcBorders>
            <w:shd w:val="clear" w:color="auto" w:fill="auto"/>
            <w:noWrap/>
            <w:vAlign w:val="center"/>
          </w:tcPr>
          <w:p w:rsidR="006F6810" w:rsidRDefault="006F6810" w:rsidP="001933FE">
            <w:pPr>
              <w:spacing w:before="120" w:after="120"/>
              <w:jc w:val="center"/>
              <w:rPr>
                <w:color w:val="000000"/>
                <w:sz w:val="20"/>
                <w:szCs w:val="20"/>
                <w:lang w:val="es-ES"/>
              </w:rPr>
            </w:pPr>
          </w:p>
        </w:tc>
        <w:tc>
          <w:tcPr>
            <w:tcW w:w="446" w:type="pct"/>
            <w:tcBorders>
              <w:top w:val="single" w:sz="8" w:space="0" w:color="auto"/>
              <w:left w:val="nil"/>
              <w:bottom w:val="single" w:sz="8" w:space="0" w:color="auto"/>
              <w:right w:val="single" w:sz="8" w:space="0" w:color="auto"/>
            </w:tcBorders>
            <w:shd w:val="clear" w:color="auto" w:fill="auto"/>
            <w:noWrap/>
            <w:vAlign w:val="center"/>
          </w:tcPr>
          <w:p w:rsidR="006F6810" w:rsidRPr="002D1B02" w:rsidRDefault="006F6810" w:rsidP="001933FE">
            <w:pPr>
              <w:spacing w:before="120" w:after="120"/>
              <w:jc w:val="center"/>
              <w:rPr>
                <w:color w:val="000000"/>
                <w:sz w:val="20"/>
                <w:szCs w:val="20"/>
                <w:lang w:val="es-ES"/>
              </w:rPr>
            </w:pPr>
          </w:p>
        </w:tc>
        <w:tc>
          <w:tcPr>
            <w:tcW w:w="451" w:type="pct"/>
            <w:tcBorders>
              <w:top w:val="single" w:sz="8" w:space="0" w:color="auto"/>
              <w:left w:val="nil"/>
              <w:bottom w:val="single" w:sz="8" w:space="0" w:color="auto"/>
              <w:right w:val="single" w:sz="8" w:space="0" w:color="auto"/>
            </w:tcBorders>
            <w:shd w:val="clear" w:color="auto" w:fill="auto"/>
            <w:noWrap/>
            <w:vAlign w:val="center"/>
          </w:tcPr>
          <w:p w:rsidR="006F6810" w:rsidRPr="002D1B02" w:rsidRDefault="006F6810" w:rsidP="001933FE">
            <w:pPr>
              <w:spacing w:before="120" w:after="120"/>
              <w:jc w:val="center"/>
              <w:rPr>
                <w:color w:val="000000"/>
                <w:sz w:val="20"/>
                <w:szCs w:val="20"/>
                <w:lang w:val="es-ES"/>
              </w:rPr>
            </w:pPr>
            <w:r>
              <w:rPr>
                <w:color w:val="000000"/>
                <w:sz w:val="20"/>
                <w:szCs w:val="20"/>
                <w:lang w:val="es-ES"/>
              </w:rPr>
              <w:t>Informe Intermedio</w:t>
            </w:r>
          </w:p>
        </w:tc>
        <w:tc>
          <w:tcPr>
            <w:tcW w:w="407" w:type="pct"/>
            <w:tcBorders>
              <w:top w:val="single" w:sz="8" w:space="0" w:color="auto"/>
              <w:left w:val="nil"/>
              <w:bottom w:val="single" w:sz="8" w:space="0" w:color="auto"/>
              <w:right w:val="single" w:sz="8" w:space="0" w:color="auto"/>
            </w:tcBorders>
            <w:shd w:val="clear" w:color="auto" w:fill="auto"/>
            <w:noWrap/>
            <w:vAlign w:val="center"/>
          </w:tcPr>
          <w:p w:rsidR="006F6810" w:rsidRPr="002D1B02" w:rsidRDefault="006F6810" w:rsidP="001933FE">
            <w:pPr>
              <w:spacing w:before="120" w:after="120"/>
              <w:jc w:val="center"/>
              <w:rPr>
                <w:color w:val="000000"/>
                <w:sz w:val="20"/>
                <w:szCs w:val="20"/>
                <w:lang w:val="es-ES"/>
              </w:rPr>
            </w:pPr>
            <w:r>
              <w:rPr>
                <w:color w:val="000000"/>
                <w:sz w:val="20"/>
                <w:szCs w:val="20"/>
                <w:lang w:val="es-ES"/>
              </w:rPr>
              <w:t xml:space="preserve"> </w:t>
            </w:r>
          </w:p>
        </w:tc>
        <w:tc>
          <w:tcPr>
            <w:tcW w:w="385" w:type="pct"/>
            <w:tcBorders>
              <w:top w:val="single" w:sz="8" w:space="0" w:color="auto"/>
              <w:left w:val="nil"/>
              <w:bottom w:val="single" w:sz="8" w:space="0" w:color="auto"/>
              <w:right w:val="single" w:sz="8" w:space="0" w:color="auto"/>
            </w:tcBorders>
            <w:shd w:val="clear" w:color="auto" w:fill="auto"/>
            <w:noWrap/>
            <w:vAlign w:val="center"/>
          </w:tcPr>
          <w:p w:rsidR="006F6810" w:rsidRPr="002D1B02" w:rsidRDefault="006F6810" w:rsidP="001933FE">
            <w:pPr>
              <w:spacing w:before="120" w:after="120"/>
              <w:jc w:val="center"/>
              <w:rPr>
                <w:color w:val="000000"/>
                <w:sz w:val="20"/>
                <w:szCs w:val="20"/>
                <w:lang w:val="es-ES"/>
              </w:rPr>
            </w:pPr>
            <w:r>
              <w:rPr>
                <w:color w:val="000000"/>
                <w:sz w:val="20"/>
                <w:szCs w:val="20"/>
                <w:lang w:val="es-ES"/>
              </w:rPr>
              <w:t xml:space="preserve"> </w:t>
            </w:r>
          </w:p>
        </w:tc>
        <w:tc>
          <w:tcPr>
            <w:tcW w:w="469" w:type="pct"/>
            <w:tcBorders>
              <w:top w:val="single" w:sz="8" w:space="0" w:color="auto"/>
              <w:left w:val="nil"/>
              <w:bottom w:val="single" w:sz="8" w:space="0" w:color="auto"/>
              <w:right w:val="single" w:sz="8" w:space="0" w:color="auto"/>
            </w:tcBorders>
            <w:shd w:val="clear" w:color="auto" w:fill="auto"/>
            <w:vAlign w:val="center"/>
          </w:tcPr>
          <w:p w:rsidR="008E4A17" w:rsidRDefault="008E4A17" w:rsidP="001933FE">
            <w:pPr>
              <w:spacing w:before="120" w:after="120"/>
              <w:jc w:val="center"/>
              <w:rPr>
                <w:color w:val="000000"/>
                <w:sz w:val="20"/>
                <w:szCs w:val="20"/>
                <w:lang w:val="es-ES"/>
              </w:rPr>
            </w:pPr>
            <w:r>
              <w:rPr>
                <w:color w:val="000000"/>
                <w:sz w:val="20"/>
                <w:szCs w:val="20"/>
                <w:lang w:val="es-ES"/>
              </w:rPr>
              <w:t>Informe</w:t>
            </w:r>
          </w:p>
          <w:p w:rsidR="006F6810" w:rsidRDefault="008E4A17" w:rsidP="001933FE">
            <w:pPr>
              <w:spacing w:before="120" w:after="120"/>
              <w:jc w:val="center"/>
              <w:rPr>
                <w:color w:val="000000"/>
                <w:sz w:val="20"/>
                <w:szCs w:val="20"/>
                <w:lang w:val="es-ES"/>
              </w:rPr>
            </w:pPr>
            <w:r>
              <w:rPr>
                <w:color w:val="000000"/>
                <w:sz w:val="20"/>
                <w:szCs w:val="20"/>
                <w:lang w:val="es-ES"/>
              </w:rPr>
              <w:t>Final</w:t>
            </w:r>
            <w:r w:rsidR="006F6810">
              <w:rPr>
                <w:color w:val="000000"/>
                <w:sz w:val="20"/>
                <w:szCs w:val="20"/>
                <w:lang w:val="es-ES"/>
              </w:rPr>
              <w:t xml:space="preserve"> </w:t>
            </w:r>
          </w:p>
        </w:tc>
        <w:tc>
          <w:tcPr>
            <w:tcW w:w="992" w:type="pct"/>
            <w:tcBorders>
              <w:top w:val="nil"/>
              <w:left w:val="single" w:sz="8" w:space="0" w:color="auto"/>
              <w:bottom w:val="single" w:sz="8" w:space="0" w:color="auto"/>
              <w:right w:val="single" w:sz="8" w:space="0" w:color="auto"/>
            </w:tcBorders>
            <w:shd w:val="clear" w:color="auto" w:fill="auto"/>
            <w:noWrap/>
            <w:vAlign w:val="center"/>
          </w:tcPr>
          <w:p w:rsidR="006F6810" w:rsidRDefault="006F6810" w:rsidP="001933FE">
            <w:pPr>
              <w:spacing w:before="120" w:after="120"/>
              <w:jc w:val="center"/>
              <w:rPr>
                <w:color w:val="000000"/>
                <w:sz w:val="20"/>
                <w:szCs w:val="20"/>
                <w:lang w:val="es-ES"/>
              </w:rPr>
            </w:pPr>
            <w:r>
              <w:rPr>
                <w:color w:val="000000"/>
                <w:sz w:val="20"/>
                <w:szCs w:val="20"/>
                <w:lang w:val="es-ES"/>
              </w:rPr>
              <w:t>Consultor – Costo Incluido en los honorarios</w:t>
            </w:r>
            <w:r w:rsidR="008A1CFF">
              <w:rPr>
                <w:color w:val="000000"/>
                <w:sz w:val="20"/>
                <w:szCs w:val="20"/>
                <w:lang w:val="es-ES"/>
              </w:rPr>
              <w:t xml:space="preserve"> (10%)</w:t>
            </w:r>
          </w:p>
        </w:tc>
      </w:tr>
      <w:tr w:rsidR="008A1CFF" w:rsidRPr="001E63CD" w:rsidTr="008E4A17">
        <w:trPr>
          <w:trHeight w:val="862"/>
        </w:trPr>
        <w:tc>
          <w:tcPr>
            <w:tcW w:w="1441" w:type="pct"/>
            <w:tcBorders>
              <w:top w:val="nil"/>
              <w:left w:val="single" w:sz="8" w:space="0" w:color="auto"/>
              <w:bottom w:val="single" w:sz="8" w:space="0" w:color="auto"/>
              <w:right w:val="single" w:sz="8" w:space="0" w:color="auto"/>
            </w:tcBorders>
            <w:shd w:val="clear" w:color="auto" w:fill="auto"/>
            <w:noWrap/>
            <w:vAlign w:val="center"/>
            <w:hideMark/>
          </w:tcPr>
          <w:p w:rsidR="00452F78" w:rsidRPr="002D1B02" w:rsidRDefault="00452F78" w:rsidP="001933FE">
            <w:pPr>
              <w:spacing w:before="120" w:after="120"/>
              <w:rPr>
                <w:color w:val="000000"/>
                <w:sz w:val="20"/>
                <w:szCs w:val="20"/>
                <w:lang w:val="es-ES"/>
              </w:rPr>
            </w:pPr>
            <w:r>
              <w:rPr>
                <w:color w:val="000000"/>
                <w:sz w:val="20"/>
                <w:szCs w:val="20"/>
                <w:lang w:val="es-ES"/>
              </w:rPr>
              <w:t>Evaluación Económica</w:t>
            </w:r>
          </w:p>
        </w:tc>
        <w:tc>
          <w:tcPr>
            <w:tcW w:w="409" w:type="pct"/>
            <w:tcBorders>
              <w:top w:val="single" w:sz="8" w:space="0" w:color="auto"/>
              <w:left w:val="nil"/>
              <w:bottom w:val="single" w:sz="8" w:space="0" w:color="auto"/>
              <w:right w:val="single" w:sz="8" w:space="0" w:color="auto"/>
            </w:tcBorders>
            <w:shd w:val="clear" w:color="auto" w:fill="auto"/>
            <w:noWrap/>
            <w:vAlign w:val="center"/>
          </w:tcPr>
          <w:p w:rsidR="00452F78" w:rsidRPr="002D1B02" w:rsidRDefault="00452F78" w:rsidP="001933FE">
            <w:pPr>
              <w:spacing w:before="120" w:after="120"/>
              <w:jc w:val="center"/>
              <w:rPr>
                <w:color w:val="000000"/>
                <w:sz w:val="20"/>
                <w:szCs w:val="20"/>
                <w:lang w:val="es-ES"/>
              </w:rPr>
            </w:pPr>
          </w:p>
        </w:tc>
        <w:tc>
          <w:tcPr>
            <w:tcW w:w="446" w:type="pct"/>
            <w:tcBorders>
              <w:top w:val="single" w:sz="8" w:space="0" w:color="auto"/>
              <w:left w:val="nil"/>
              <w:bottom w:val="single" w:sz="8" w:space="0" w:color="auto"/>
              <w:right w:val="single" w:sz="8" w:space="0" w:color="auto"/>
            </w:tcBorders>
            <w:shd w:val="clear" w:color="auto" w:fill="auto"/>
            <w:noWrap/>
            <w:vAlign w:val="center"/>
          </w:tcPr>
          <w:p w:rsidR="00452F78" w:rsidRPr="002D1B02" w:rsidRDefault="00452F78" w:rsidP="001933FE">
            <w:pPr>
              <w:spacing w:before="120" w:after="120"/>
              <w:jc w:val="center"/>
              <w:rPr>
                <w:color w:val="000000"/>
                <w:sz w:val="20"/>
                <w:szCs w:val="20"/>
                <w:lang w:val="es-ES"/>
              </w:rPr>
            </w:pPr>
          </w:p>
        </w:tc>
        <w:tc>
          <w:tcPr>
            <w:tcW w:w="451" w:type="pct"/>
            <w:tcBorders>
              <w:top w:val="single" w:sz="8" w:space="0" w:color="auto"/>
              <w:left w:val="nil"/>
              <w:bottom w:val="single" w:sz="8" w:space="0" w:color="auto"/>
              <w:right w:val="single" w:sz="8" w:space="0" w:color="auto"/>
            </w:tcBorders>
            <w:shd w:val="clear" w:color="auto" w:fill="auto"/>
            <w:noWrap/>
            <w:vAlign w:val="center"/>
          </w:tcPr>
          <w:p w:rsidR="00452F78" w:rsidRPr="002D1B02" w:rsidRDefault="00452F78" w:rsidP="001933FE">
            <w:pPr>
              <w:spacing w:before="120" w:after="120"/>
              <w:jc w:val="center"/>
              <w:rPr>
                <w:color w:val="000000"/>
                <w:sz w:val="20"/>
                <w:szCs w:val="20"/>
                <w:lang w:val="es-ES"/>
              </w:rPr>
            </w:pPr>
          </w:p>
        </w:tc>
        <w:tc>
          <w:tcPr>
            <w:tcW w:w="407" w:type="pct"/>
            <w:tcBorders>
              <w:top w:val="single" w:sz="8" w:space="0" w:color="auto"/>
              <w:left w:val="nil"/>
              <w:bottom w:val="single" w:sz="8" w:space="0" w:color="auto"/>
              <w:right w:val="single" w:sz="8" w:space="0" w:color="auto"/>
            </w:tcBorders>
            <w:shd w:val="clear" w:color="auto" w:fill="auto"/>
            <w:noWrap/>
            <w:vAlign w:val="center"/>
          </w:tcPr>
          <w:p w:rsidR="00452F78" w:rsidRDefault="00452F78" w:rsidP="001933FE">
            <w:pPr>
              <w:spacing w:before="120" w:after="120"/>
              <w:jc w:val="center"/>
              <w:rPr>
                <w:color w:val="000000"/>
                <w:sz w:val="20"/>
                <w:szCs w:val="20"/>
                <w:lang w:val="es-ES"/>
              </w:rPr>
            </w:pPr>
            <w:proofErr w:type="spellStart"/>
            <w:r>
              <w:rPr>
                <w:color w:val="000000"/>
                <w:sz w:val="20"/>
                <w:szCs w:val="20"/>
                <w:lang w:val="es-ES"/>
              </w:rPr>
              <w:t>Expost</w:t>
            </w:r>
            <w:proofErr w:type="spellEnd"/>
          </w:p>
          <w:p w:rsidR="00452F78" w:rsidRPr="002D1B02" w:rsidRDefault="00452F78" w:rsidP="001933FE">
            <w:pPr>
              <w:spacing w:before="120" w:after="120"/>
              <w:jc w:val="center"/>
              <w:rPr>
                <w:color w:val="000000"/>
                <w:sz w:val="20"/>
                <w:szCs w:val="20"/>
                <w:lang w:val="es-ES"/>
              </w:rPr>
            </w:pPr>
            <w:r>
              <w:rPr>
                <w:color w:val="000000"/>
                <w:sz w:val="20"/>
                <w:szCs w:val="20"/>
                <w:lang w:val="es-ES"/>
              </w:rPr>
              <w:t>Intermedia</w:t>
            </w:r>
          </w:p>
        </w:tc>
        <w:tc>
          <w:tcPr>
            <w:tcW w:w="385" w:type="pct"/>
            <w:tcBorders>
              <w:top w:val="single" w:sz="8" w:space="0" w:color="auto"/>
              <w:left w:val="nil"/>
              <w:bottom w:val="single" w:sz="8" w:space="0" w:color="auto"/>
              <w:right w:val="single" w:sz="8" w:space="0" w:color="auto"/>
            </w:tcBorders>
            <w:shd w:val="clear" w:color="auto" w:fill="auto"/>
            <w:noWrap/>
            <w:vAlign w:val="center"/>
          </w:tcPr>
          <w:p w:rsidR="00452F78" w:rsidRPr="002D1B02" w:rsidRDefault="00452F78" w:rsidP="001933FE">
            <w:pPr>
              <w:spacing w:before="120" w:after="120"/>
              <w:jc w:val="center"/>
              <w:rPr>
                <w:color w:val="000000"/>
                <w:sz w:val="20"/>
                <w:szCs w:val="20"/>
                <w:lang w:val="es-ES"/>
              </w:rPr>
            </w:pPr>
          </w:p>
        </w:tc>
        <w:tc>
          <w:tcPr>
            <w:tcW w:w="469" w:type="pct"/>
            <w:tcBorders>
              <w:top w:val="single" w:sz="8" w:space="0" w:color="auto"/>
              <w:left w:val="nil"/>
              <w:bottom w:val="single" w:sz="8" w:space="0" w:color="auto"/>
              <w:right w:val="single" w:sz="8" w:space="0" w:color="auto"/>
            </w:tcBorders>
            <w:shd w:val="clear" w:color="auto" w:fill="auto"/>
            <w:vAlign w:val="center"/>
          </w:tcPr>
          <w:p w:rsidR="00452F78" w:rsidRDefault="00452F78" w:rsidP="001933FE">
            <w:pPr>
              <w:spacing w:before="120" w:after="120"/>
              <w:jc w:val="center"/>
              <w:rPr>
                <w:color w:val="000000"/>
                <w:sz w:val="20"/>
                <w:szCs w:val="20"/>
                <w:lang w:val="es-ES"/>
              </w:rPr>
            </w:pPr>
            <w:proofErr w:type="spellStart"/>
            <w:r>
              <w:rPr>
                <w:color w:val="000000"/>
                <w:sz w:val="20"/>
                <w:szCs w:val="20"/>
                <w:lang w:val="es-ES"/>
              </w:rPr>
              <w:t>Expost</w:t>
            </w:r>
            <w:proofErr w:type="spellEnd"/>
          </w:p>
          <w:p w:rsidR="00452F78" w:rsidRPr="002D1B02" w:rsidRDefault="00452F78" w:rsidP="001933FE">
            <w:pPr>
              <w:spacing w:before="120" w:after="120"/>
              <w:jc w:val="center"/>
              <w:rPr>
                <w:color w:val="000000"/>
                <w:sz w:val="20"/>
                <w:szCs w:val="20"/>
                <w:lang w:val="es-ES"/>
              </w:rPr>
            </w:pPr>
            <w:r>
              <w:rPr>
                <w:color w:val="000000"/>
                <w:sz w:val="20"/>
                <w:szCs w:val="20"/>
                <w:lang w:val="es-ES"/>
              </w:rPr>
              <w:t>Final</w:t>
            </w:r>
          </w:p>
        </w:tc>
        <w:tc>
          <w:tcPr>
            <w:tcW w:w="992" w:type="pct"/>
            <w:tcBorders>
              <w:top w:val="nil"/>
              <w:left w:val="single" w:sz="8" w:space="0" w:color="auto"/>
              <w:bottom w:val="single" w:sz="8" w:space="0" w:color="auto"/>
              <w:right w:val="single" w:sz="8" w:space="0" w:color="auto"/>
            </w:tcBorders>
            <w:shd w:val="clear" w:color="auto" w:fill="auto"/>
            <w:noWrap/>
            <w:vAlign w:val="center"/>
          </w:tcPr>
          <w:p w:rsidR="00452F78" w:rsidRPr="00452F78" w:rsidRDefault="00452F78" w:rsidP="00452F78">
            <w:pPr>
              <w:jc w:val="center"/>
              <w:rPr>
                <w:lang w:val="es-ES"/>
              </w:rPr>
            </w:pPr>
            <w:r w:rsidRPr="006941A3">
              <w:rPr>
                <w:color w:val="000000"/>
                <w:sz w:val="20"/>
                <w:szCs w:val="20"/>
                <w:lang w:val="es-ES"/>
              </w:rPr>
              <w:t>Consultor – Costo Incluido en los honorarios</w:t>
            </w:r>
            <w:r w:rsidR="008A1CFF">
              <w:rPr>
                <w:color w:val="000000"/>
                <w:sz w:val="20"/>
                <w:szCs w:val="20"/>
                <w:lang w:val="es-ES"/>
              </w:rPr>
              <w:t xml:space="preserve"> (20%)</w:t>
            </w:r>
          </w:p>
        </w:tc>
      </w:tr>
      <w:tr w:rsidR="008A1CFF" w:rsidRPr="001E63CD" w:rsidTr="008E4A17">
        <w:trPr>
          <w:trHeight w:val="880"/>
        </w:trPr>
        <w:tc>
          <w:tcPr>
            <w:tcW w:w="1441" w:type="pct"/>
            <w:tcBorders>
              <w:top w:val="nil"/>
              <w:left w:val="single" w:sz="8" w:space="0" w:color="auto"/>
              <w:bottom w:val="single" w:sz="8" w:space="0" w:color="auto"/>
              <w:right w:val="single" w:sz="8" w:space="0" w:color="auto"/>
            </w:tcBorders>
            <w:shd w:val="clear" w:color="auto" w:fill="auto"/>
            <w:noWrap/>
            <w:vAlign w:val="center"/>
            <w:hideMark/>
          </w:tcPr>
          <w:p w:rsidR="00452F78" w:rsidRPr="002D1B02" w:rsidRDefault="00452F78" w:rsidP="001933FE">
            <w:pPr>
              <w:spacing w:before="120" w:after="120"/>
              <w:rPr>
                <w:color w:val="000000"/>
                <w:sz w:val="20"/>
                <w:szCs w:val="20"/>
                <w:lang w:val="es-ES"/>
              </w:rPr>
            </w:pPr>
            <w:r>
              <w:rPr>
                <w:color w:val="000000"/>
                <w:sz w:val="20"/>
                <w:szCs w:val="20"/>
                <w:lang w:val="es-ES"/>
              </w:rPr>
              <w:t>Evaluación de Impacto</w:t>
            </w:r>
          </w:p>
        </w:tc>
        <w:tc>
          <w:tcPr>
            <w:tcW w:w="409" w:type="pct"/>
            <w:tcBorders>
              <w:top w:val="single" w:sz="8" w:space="0" w:color="auto"/>
              <w:left w:val="nil"/>
              <w:bottom w:val="single" w:sz="8" w:space="0" w:color="auto"/>
              <w:right w:val="single" w:sz="8" w:space="0" w:color="auto"/>
            </w:tcBorders>
            <w:shd w:val="clear" w:color="auto" w:fill="auto"/>
            <w:noWrap/>
            <w:vAlign w:val="center"/>
          </w:tcPr>
          <w:p w:rsidR="00452F78" w:rsidRPr="002D1B02" w:rsidRDefault="00452F78" w:rsidP="001933FE">
            <w:pPr>
              <w:spacing w:before="120" w:after="120"/>
              <w:jc w:val="center"/>
              <w:rPr>
                <w:color w:val="000000"/>
                <w:sz w:val="20"/>
                <w:szCs w:val="20"/>
                <w:lang w:val="es-ES"/>
              </w:rPr>
            </w:pPr>
          </w:p>
        </w:tc>
        <w:tc>
          <w:tcPr>
            <w:tcW w:w="446" w:type="pct"/>
            <w:tcBorders>
              <w:top w:val="single" w:sz="8" w:space="0" w:color="auto"/>
              <w:left w:val="nil"/>
              <w:bottom w:val="single" w:sz="8" w:space="0" w:color="auto"/>
              <w:right w:val="single" w:sz="8" w:space="0" w:color="auto"/>
            </w:tcBorders>
            <w:shd w:val="clear" w:color="auto" w:fill="auto"/>
            <w:noWrap/>
            <w:vAlign w:val="center"/>
          </w:tcPr>
          <w:p w:rsidR="00452F78" w:rsidRPr="002D1B02" w:rsidRDefault="00452F78" w:rsidP="001933FE">
            <w:pPr>
              <w:spacing w:before="120" w:after="120"/>
              <w:jc w:val="center"/>
              <w:rPr>
                <w:color w:val="000000"/>
                <w:sz w:val="20"/>
                <w:szCs w:val="20"/>
                <w:lang w:val="es-ES"/>
              </w:rPr>
            </w:pPr>
          </w:p>
        </w:tc>
        <w:tc>
          <w:tcPr>
            <w:tcW w:w="451" w:type="pct"/>
            <w:tcBorders>
              <w:top w:val="single" w:sz="8" w:space="0" w:color="auto"/>
              <w:left w:val="nil"/>
              <w:bottom w:val="single" w:sz="8" w:space="0" w:color="auto"/>
              <w:right w:val="single" w:sz="8" w:space="0" w:color="auto"/>
            </w:tcBorders>
            <w:shd w:val="clear" w:color="auto" w:fill="auto"/>
            <w:noWrap/>
            <w:vAlign w:val="center"/>
          </w:tcPr>
          <w:p w:rsidR="00452F78" w:rsidRPr="002D1B02" w:rsidRDefault="00452F78" w:rsidP="001933FE">
            <w:pPr>
              <w:spacing w:before="120" w:after="120"/>
              <w:jc w:val="center"/>
              <w:rPr>
                <w:color w:val="000000"/>
                <w:sz w:val="20"/>
                <w:szCs w:val="20"/>
                <w:lang w:val="es-ES"/>
              </w:rPr>
            </w:pPr>
          </w:p>
        </w:tc>
        <w:tc>
          <w:tcPr>
            <w:tcW w:w="407" w:type="pct"/>
            <w:tcBorders>
              <w:top w:val="single" w:sz="8" w:space="0" w:color="auto"/>
              <w:left w:val="nil"/>
              <w:bottom w:val="single" w:sz="8" w:space="0" w:color="auto"/>
              <w:right w:val="single" w:sz="8" w:space="0" w:color="auto"/>
            </w:tcBorders>
            <w:shd w:val="clear" w:color="auto" w:fill="auto"/>
            <w:noWrap/>
            <w:vAlign w:val="center"/>
          </w:tcPr>
          <w:p w:rsidR="00452F78" w:rsidRDefault="00452F78" w:rsidP="001933FE">
            <w:pPr>
              <w:spacing w:before="120" w:after="120"/>
              <w:jc w:val="center"/>
              <w:rPr>
                <w:color w:val="000000"/>
                <w:sz w:val="20"/>
                <w:szCs w:val="20"/>
                <w:lang w:val="es-ES"/>
              </w:rPr>
            </w:pPr>
            <w:proofErr w:type="spellStart"/>
            <w:r>
              <w:rPr>
                <w:color w:val="000000"/>
                <w:sz w:val="20"/>
                <w:szCs w:val="20"/>
                <w:lang w:val="es-ES"/>
              </w:rPr>
              <w:t>Ex</w:t>
            </w:r>
            <w:r w:rsidR="00965C57">
              <w:rPr>
                <w:color w:val="000000"/>
                <w:sz w:val="20"/>
                <w:szCs w:val="20"/>
                <w:lang w:val="es-ES"/>
              </w:rPr>
              <w:t>ante</w:t>
            </w:r>
            <w:proofErr w:type="spellEnd"/>
          </w:p>
          <w:p w:rsidR="00452F78" w:rsidRPr="002D1B02" w:rsidRDefault="00452F78" w:rsidP="001933FE">
            <w:pPr>
              <w:spacing w:before="120" w:after="120"/>
              <w:jc w:val="center"/>
              <w:rPr>
                <w:color w:val="000000"/>
                <w:sz w:val="20"/>
                <w:szCs w:val="20"/>
                <w:lang w:val="es-ES"/>
              </w:rPr>
            </w:pPr>
            <w:r>
              <w:rPr>
                <w:color w:val="000000"/>
                <w:sz w:val="20"/>
                <w:szCs w:val="20"/>
                <w:lang w:val="es-ES"/>
              </w:rPr>
              <w:t>Intermedia</w:t>
            </w:r>
          </w:p>
        </w:tc>
        <w:tc>
          <w:tcPr>
            <w:tcW w:w="385" w:type="pct"/>
            <w:tcBorders>
              <w:top w:val="single" w:sz="8" w:space="0" w:color="auto"/>
              <w:left w:val="nil"/>
              <w:bottom w:val="single" w:sz="8" w:space="0" w:color="auto"/>
              <w:right w:val="single" w:sz="8" w:space="0" w:color="auto"/>
            </w:tcBorders>
            <w:shd w:val="clear" w:color="auto" w:fill="auto"/>
            <w:noWrap/>
            <w:vAlign w:val="center"/>
          </w:tcPr>
          <w:p w:rsidR="00452F78" w:rsidRPr="002D1B02" w:rsidRDefault="00452F78" w:rsidP="001933FE">
            <w:pPr>
              <w:spacing w:before="120" w:after="120"/>
              <w:jc w:val="center"/>
              <w:rPr>
                <w:color w:val="000000"/>
                <w:sz w:val="20"/>
                <w:szCs w:val="20"/>
                <w:lang w:val="es-ES"/>
              </w:rPr>
            </w:pPr>
          </w:p>
        </w:tc>
        <w:tc>
          <w:tcPr>
            <w:tcW w:w="469" w:type="pct"/>
            <w:tcBorders>
              <w:top w:val="single" w:sz="8" w:space="0" w:color="auto"/>
              <w:left w:val="nil"/>
              <w:bottom w:val="single" w:sz="8" w:space="0" w:color="auto"/>
              <w:right w:val="single" w:sz="8" w:space="0" w:color="auto"/>
            </w:tcBorders>
            <w:shd w:val="clear" w:color="auto" w:fill="auto"/>
            <w:vAlign w:val="center"/>
          </w:tcPr>
          <w:p w:rsidR="00452F78" w:rsidRDefault="00452F78" w:rsidP="001933FE">
            <w:pPr>
              <w:spacing w:before="120" w:after="120"/>
              <w:jc w:val="center"/>
              <w:rPr>
                <w:color w:val="000000"/>
                <w:sz w:val="20"/>
                <w:szCs w:val="20"/>
                <w:lang w:val="es-ES"/>
              </w:rPr>
            </w:pPr>
            <w:proofErr w:type="spellStart"/>
            <w:r>
              <w:rPr>
                <w:color w:val="000000"/>
                <w:sz w:val="20"/>
                <w:szCs w:val="20"/>
                <w:lang w:val="es-ES"/>
              </w:rPr>
              <w:t>Expost</w:t>
            </w:r>
            <w:proofErr w:type="spellEnd"/>
          </w:p>
          <w:p w:rsidR="00452F78" w:rsidRPr="002D1B02" w:rsidRDefault="00452F78" w:rsidP="001933FE">
            <w:pPr>
              <w:spacing w:before="120" w:after="120"/>
              <w:jc w:val="center"/>
              <w:rPr>
                <w:color w:val="000000"/>
                <w:sz w:val="20"/>
                <w:szCs w:val="20"/>
                <w:lang w:val="es-ES"/>
              </w:rPr>
            </w:pPr>
            <w:r>
              <w:rPr>
                <w:color w:val="000000"/>
                <w:sz w:val="20"/>
                <w:szCs w:val="20"/>
                <w:lang w:val="es-ES"/>
              </w:rPr>
              <w:t>Final</w:t>
            </w:r>
          </w:p>
        </w:tc>
        <w:tc>
          <w:tcPr>
            <w:tcW w:w="992" w:type="pct"/>
            <w:tcBorders>
              <w:top w:val="nil"/>
              <w:left w:val="single" w:sz="8" w:space="0" w:color="auto"/>
              <w:bottom w:val="single" w:sz="8" w:space="0" w:color="auto"/>
              <w:right w:val="single" w:sz="8" w:space="0" w:color="auto"/>
            </w:tcBorders>
            <w:shd w:val="clear" w:color="auto" w:fill="auto"/>
            <w:noWrap/>
            <w:vAlign w:val="center"/>
          </w:tcPr>
          <w:p w:rsidR="00452F78" w:rsidRPr="00452F78" w:rsidRDefault="00452F78" w:rsidP="00452F78">
            <w:pPr>
              <w:jc w:val="center"/>
              <w:rPr>
                <w:lang w:val="es-ES"/>
              </w:rPr>
            </w:pPr>
            <w:r w:rsidRPr="006941A3">
              <w:rPr>
                <w:color w:val="000000"/>
                <w:sz w:val="20"/>
                <w:szCs w:val="20"/>
                <w:lang w:val="es-ES"/>
              </w:rPr>
              <w:t>Consultor – Costo Incluido en los honorarios</w:t>
            </w:r>
            <w:r w:rsidR="008A1CFF">
              <w:rPr>
                <w:color w:val="000000"/>
                <w:sz w:val="20"/>
                <w:szCs w:val="20"/>
                <w:lang w:val="es-ES"/>
              </w:rPr>
              <w:t xml:space="preserve"> (20%)</w:t>
            </w:r>
          </w:p>
        </w:tc>
      </w:tr>
      <w:tr w:rsidR="008A1CFF" w:rsidRPr="001E63CD" w:rsidTr="008E4A17">
        <w:trPr>
          <w:trHeight w:val="466"/>
        </w:trPr>
        <w:tc>
          <w:tcPr>
            <w:tcW w:w="1441" w:type="pct"/>
            <w:tcBorders>
              <w:top w:val="nil"/>
              <w:left w:val="single" w:sz="8" w:space="0" w:color="auto"/>
              <w:bottom w:val="single" w:sz="8" w:space="0" w:color="auto"/>
              <w:right w:val="single" w:sz="8" w:space="0" w:color="auto"/>
            </w:tcBorders>
            <w:shd w:val="clear" w:color="auto" w:fill="auto"/>
            <w:noWrap/>
            <w:vAlign w:val="center"/>
            <w:hideMark/>
          </w:tcPr>
          <w:p w:rsidR="00452F78" w:rsidRPr="002D1B02" w:rsidRDefault="00452F78" w:rsidP="001933FE">
            <w:pPr>
              <w:spacing w:before="120" w:after="120"/>
              <w:rPr>
                <w:color w:val="000000"/>
                <w:sz w:val="20"/>
                <w:szCs w:val="20"/>
                <w:lang w:val="es-ES"/>
              </w:rPr>
            </w:pPr>
            <w:r w:rsidRPr="002D1B02">
              <w:rPr>
                <w:color w:val="000000"/>
                <w:sz w:val="20"/>
                <w:szCs w:val="20"/>
                <w:lang w:val="es-ES"/>
              </w:rPr>
              <w:t xml:space="preserve">Informe de Terminación de Proyecto (PCR) </w:t>
            </w:r>
          </w:p>
        </w:tc>
        <w:tc>
          <w:tcPr>
            <w:tcW w:w="409" w:type="pct"/>
            <w:tcBorders>
              <w:top w:val="single" w:sz="8" w:space="0" w:color="auto"/>
              <w:left w:val="nil"/>
              <w:bottom w:val="single" w:sz="8" w:space="0" w:color="auto"/>
              <w:right w:val="single" w:sz="8" w:space="0" w:color="auto"/>
            </w:tcBorders>
            <w:shd w:val="clear" w:color="auto" w:fill="auto"/>
            <w:noWrap/>
            <w:vAlign w:val="center"/>
            <w:hideMark/>
          </w:tcPr>
          <w:p w:rsidR="00452F78" w:rsidRPr="002D1B02" w:rsidRDefault="00452F78" w:rsidP="001933FE">
            <w:pPr>
              <w:spacing w:before="120" w:after="120"/>
              <w:jc w:val="center"/>
              <w:rPr>
                <w:color w:val="000000"/>
                <w:sz w:val="20"/>
                <w:szCs w:val="20"/>
                <w:lang w:val="es-ES"/>
              </w:rPr>
            </w:pPr>
          </w:p>
          <w:p w:rsidR="00452F78" w:rsidRPr="002D1B02" w:rsidRDefault="00452F78" w:rsidP="001933FE">
            <w:pPr>
              <w:spacing w:before="120" w:after="120"/>
              <w:jc w:val="center"/>
              <w:rPr>
                <w:color w:val="000000"/>
                <w:sz w:val="20"/>
                <w:szCs w:val="20"/>
                <w:lang w:val="es-ES"/>
              </w:rPr>
            </w:pPr>
          </w:p>
        </w:tc>
        <w:tc>
          <w:tcPr>
            <w:tcW w:w="446" w:type="pct"/>
            <w:tcBorders>
              <w:top w:val="single" w:sz="8" w:space="0" w:color="auto"/>
              <w:left w:val="nil"/>
              <w:bottom w:val="single" w:sz="8" w:space="0" w:color="auto"/>
              <w:right w:val="single" w:sz="8" w:space="0" w:color="auto"/>
            </w:tcBorders>
            <w:shd w:val="clear" w:color="auto" w:fill="auto"/>
            <w:noWrap/>
            <w:vAlign w:val="center"/>
            <w:hideMark/>
          </w:tcPr>
          <w:p w:rsidR="00452F78" w:rsidRPr="002D1B02" w:rsidRDefault="00452F78" w:rsidP="001933FE">
            <w:pPr>
              <w:spacing w:before="120" w:after="120"/>
              <w:jc w:val="center"/>
              <w:rPr>
                <w:color w:val="000000"/>
                <w:sz w:val="20"/>
                <w:szCs w:val="20"/>
                <w:lang w:val="es-ES"/>
              </w:rPr>
            </w:pPr>
          </w:p>
          <w:p w:rsidR="00452F78" w:rsidRPr="002D1B02" w:rsidRDefault="00452F78" w:rsidP="001933FE">
            <w:pPr>
              <w:spacing w:before="120" w:after="120"/>
              <w:jc w:val="center"/>
              <w:rPr>
                <w:color w:val="000000"/>
                <w:sz w:val="20"/>
                <w:szCs w:val="20"/>
                <w:lang w:val="es-ES"/>
              </w:rPr>
            </w:pPr>
          </w:p>
        </w:tc>
        <w:tc>
          <w:tcPr>
            <w:tcW w:w="451" w:type="pct"/>
            <w:tcBorders>
              <w:top w:val="single" w:sz="8" w:space="0" w:color="auto"/>
              <w:left w:val="nil"/>
              <w:bottom w:val="single" w:sz="8" w:space="0" w:color="auto"/>
              <w:right w:val="single" w:sz="8" w:space="0" w:color="auto"/>
            </w:tcBorders>
            <w:shd w:val="clear" w:color="auto" w:fill="auto"/>
            <w:noWrap/>
            <w:vAlign w:val="center"/>
          </w:tcPr>
          <w:p w:rsidR="00452F78" w:rsidRPr="002D1B02" w:rsidRDefault="00452F78" w:rsidP="001933FE">
            <w:pPr>
              <w:spacing w:before="120" w:after="120"/>
              <w:jc w:val="center"/>
              <w:rPr>
                <w:color w:val="000000"/>
                <w:sz w:val="20"/>
                <w:szCs w:val="20"/>
                <w:lang w:val="es-ES"/>
              </w:rPr>
            </w:pPr>
          </w:p>
        </w:tc>
        <w:tc>
          <w:tcPr>
            <w:tcW w:w="407" w:type="pct"/>
            <w:tcBorders>
              <w:top w:val="single" w:sz="8" w:space="0" w:color="auto"/>
              <w:left w:val="nil"/>
              <w:bottom w:val="single" w:sz="8" w:space="0" w:color="auto"/>
              <w:right w:val="single" w:sz="8" w:space="0" w:color="auto"/>
            </w:tcBorders>
            <w:shd w:val="clear" w:color="auto" w:fill="auto"/>
            <w:noWrap/>
            <w:vAlign w:val="center"/>
          </w:tcPr>
          <w:p w:rsidR="00452F78" w:rsidRPr="002D1B02" w:rsidRDefault="00452F78" w:rsidP="001933FE">
            <w:pPr>
              <w:spacing w:before="120" w:after="120"/>
              <w:jc w:val="center"/>
              <w:rPr>
                <w:color w:val="000000"/>
                <w:sz w:val="20"/>
                <w:szCs w:val="20"/>
                <w:lang w:val="es-ES"/>
              </w:rPr>
            </w:pPr>
            <w:r>
              <w:rPr>
                <w:color w:val="000000"/>
                <w:sz w:val="20"/>
                <w:szCs w:val="20"/>
                <w:lang w:val="es-ES"/>
              </w:rPr>
              <w:t>PCR</w:t>
            </w:r>
          </w:p>
        </w:tc>
        <w:tc>
          <w:tcPr>
            <w:tcW w:w="385" w:type="pct"/>
            <w:tcBorders>
              <w:top w:val="single" w:sz="8" w:space="0" w:color="auto"/>
              <w:left w:val="nil"/>
              <w:bottom w:val="single" w:sz="8" w:space="0" w:color="auto"/>
              <w:right w:val="single" w:sz="8" w:space="0" w:color="auto"/>
            </w:tcBorders>
            <w:shd w:val="clear" w:color="auto" w:fill="auto"/>
            <w:noWrap/>
            <w:vAlign w:val="center"/>
            <w:hideMark/>
          </w:tcPr>
          <w:p w:rsidR="00452F78" w:rsidRPr="002D1B02" w:rsidRDefault="00452F78" w:rsidP="001933FE">
            <w:pPr>
              <w:spacing w:before="120" w:after="120"/>
              <w:jc w:val="center"/>
              <w:rPr>
                <w:color w:val="000000"/>
                <w:sz w:val="20"/>
                <w:szCs w:val="20"/>
                <w:lang w:val="es-ES"/>
              </w:rPr>
            </w:pPr>
          </w:p>
          <w:p w:rsidR="00452F78" w:rsidRPr="002D1B02" w:rsidRDefault="00452F78" w:rsidP="001933FE">
            <w:pPr>
              <w:spacing w:before="120" w:after="120"/>
              <w:jc w:val="center"/>
              <w:rPr>
                <w:color w:val="000000"/>
                <w:sz w:val="20"/>
                <w:szCs w:val="20"/>
                <w:lang w:val="es-ES"/>
              </w:rPr>
            </w:pPr>
          </w:p>
        </w:tc>
        <w:tc>
          <w:tcPr>
            <w:tcW w:w="469" w:type="pct"/>
            <w:tcBorders>
              <w:top w:val="single" w:sz="8" w:space="0" w:color="auto"/>
              <w:left w:val="nil"/>
              <w:bottom w:val="single" w:sz="8" w:space="0" w:color="auto"/>
              <w:right w:val="single" w:sz="8" w:space="0" w:color="auto"/>
            </w:tcBorders>
            <w:shd w:val="clear" w:color="auto" w:fill="auto"/>
            <w:vAlign w:val="center"/>
          </w:tcPr>
          <w:p w:rsidR="00452F78" w:rsidRPr="002D1B02" w:rsidRDefault="00452F78" w:rsidP="001933FE">
            <w:pPr>
              <w:spacing w:before="120" w:after="120"/>
              <w:jc w:val="center"/>
              <w:rPr>
                <w:color w:val="000000"/>
                <w:sz w:val="20"/>
                <w:szCs w:val="20"/>
                <w:lang w:val="es-ES"/>
              </w:rPr>
            </w:pPr>
          </w:p>
        </w:tc>
        <w:tc>
          <w:tcPr>
            <w:tcW w:w="992"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452F78" w:rsidRPr="00452F78" w:rsidRDefault="00452F78" w:rsidP="00452F78">
            <w:pPr>
              <w:jc w:val="center"/>
              <w:rPr>
                <w:lang w:val="es-ES"/>
              </w:rPr>
            </w:pPr>
            <w:r w:rsidRPr="006941A3">
              <w:rPr>
                <w:color w:val="000000"/>
                <w:sz w:val="20"/>
                <w:szCs w:val="20"/>
                <w:lang w:val="es-ES"/>
              </w:rPr>
              <w:t>Consultor – Costo Incluido en los honorarios</w:t>
            </w:r>
            <w:r w:rsidR="008A1CFF">
              <w:rPr>
                <w:color w:val="000000"/>
                <w:sz w:val="20"/>
                <w:szCs w:val="20"/>
                <w:lang w:val="es-ES"/>
              </w:rPr>
              <w:t xml:space="preserve"> (10%)</w:t>
            </w:r>
          </w:p>
        </w:tc>
      </w:tr>
    </w:tbl>
    <w:p w:rsidR="005C3B68" w:rsidRPr="002D1B02" w:rsidRDefault="005C3B68" w:rsidP="00452F78">
      <w:pPr>
        <w:pStyle w:val="Paragraph"/>
        <w:tabs>
          <w:tab w:val="clear" w:pos="1440"/>
        </w:tabs>
        <w:spacing w:before="100" w:after="100"/>
        <w:ind w:left="0" w:firstLine="0"/>
        <w:rPr>
          <w:rFonts w:ascii="Times New Roman Bold" w:hAnsi="Times New Roman Bold"/>
          <w:b/>
          <w:bCs/>
          <w:smallCaps/>
          <w:lang w:val="es-ES"/>
        </w:rPr>
      </w:pPr>
    </w:p>
    <w:p w:rsidR="0022270B" w:rsidRDefault="0022270B">
      <w:pPr>
        <w:spacing w:after="200" w:line="276" w:lineRule="auto"/>
        <w:rPr>
          <w:rFonts w:ascii="Times New Roman Bold" w:hAnsi="Times New Roman Bold"/>
          <w:b/>
          <w:bCs/>
          <w:smallCaps/>
          <w:lang w:val="es-ES"/>
        </w:rPr>
      </w:pPr>
    </w:p>
    <w:p w:rsidR="00AC0CF1" w:rsidRDefault="00AC0CF1">
      <w:pPr>
        <w:spacing w:after="200" w:line="276" w:lineRule="auto"/>
        <w:rPr>
          <w:rFonts w:ascii="Times New Roman Bold" w:hAnsi="Times New Roman Bold"/>
          <w:b/>
          <w:bCs/>
          <w:smallCaps/>
          <w:lang w:val="es-ES"/>
        </w:rPr>
      </w:pPr>
      <w:r>
        <w:rPr>
          <w:rFonts w:ascii="Times New Roman Bold" w:hAnsi="Times New Roman Bold"/>
          <w:b/>
          <w:bCs/>
          <w:smallCaps/>
          <w:lang w:val="es-ES"/>
        </w:rPr>
        <w:br w:type="page"/>
      </w:r>
    </w:p>
    <w:p w:rsidR="005852B3" w:rsidRDefault="005852B3" w:rsidP="005852B3">
      <w:pPr>
        <w:spacing w:after="200" w:line="276" w:lineRule="auto"/>
        <w:rPr>
          <w:lang w:val="es-ES" w:eastAsia="x-none"/>
        </w:rPr>
      </w:pPr>
    </w:p>
    <w:p w:rsidR="005852B3" w:rsidRDefault="005852B3">
      <w:pPr>
        <w:spacing w:after="200" w:line="276" w:lineRule="auto"/>
        <w:rPr>
          <w:lang w:val="es-ES" w:eastAsia="x-none"/>
        </w:rPr>
      </w:pPr>
    </w:p>
    <w:p w:rsidR="001136F5" w:rsidRPr="00967531" w:rsidRDefault="005852B3" w:rsidP="00967531">
      <w:pPr>
        <w:shd w:val="clear" w:color="auto" w:fill="FFFFFF"/>
        <w:spacing w:before="120" w:after="120"/>
        <w:jc w:val="center"/>
        <w:rPr>
          <w:b/>
          <w:color w:val="000000"/>
          <w:sz w:val="28"/>
          <w:szCs w:val="28"/>
          <w:lang w:val="es-ES"/>
        </w:rPr>
      </w:pPr>
      <w:r w:rsidRPr="00967531">
        <w:rPr>
          <w:b/>
          <w:color w:val="000000"/>
          <w:sz w:val="28"/>
          <w:szCs w:val="28"/>
          <w:lang w:val="es-ES"/>
        </w:rPr>
        <w:t>ANEXO I</w:t>
      </w:r>
    </w:p>
    <w:p w:rsidR="005852B3" w:rsidRPr="005F5D4D" w:rsidRDefault="005852B3" w:rsidP="005852B3">
      <w:pPr>
        <w:shd w:val="clear" w:color="auto" w:fill="FFFFFF"/>
        <w:spacing w:before="120" w:after="120"/>
        <w:jc w:val="center"/>
        <w:rPr>
          <w:b/>
          <w:color w:val="000000"/>
          <w:sz w:val="28"/>
          <w:szCs w:val="28"/>
          <w:lang w:val="es-ES"/>
        </w:rPr>
      </w:pPr>
      <w:r w:rsidRPr="005F5D4D">
        <w:rPr>
          <w:b/>
          <w:color w:val="000000"/>
          <w:sz w:val="28"/>
          <w:szCs w:val="28"/>
          <w:lang w:val="es-ES"/>
        </w:rPr>
        <w:t>EVALUACIÓN DE IMPACTO EX-ANTE</w:t>
      </w:r>
    </w:p>
    <w:p w:rsidR="005852B3" w:rsidRDefault="005852B3" w:rsidP="005852B3">
      <w:pPr>
        <w:pStyle w:val="ListParagraph"/>
        <w:shd w:val="clear" w:color="auto" w:fill="FFFFFF"/>
        <w:spacing w:before="120" w:after="120"/>
        <w:ind w:left="1080"/>
        <w:jc w:val="center"/>
        <w:rPr>
          <w:b/>
          <w:color w:val="000000"/>
          <w:sz w:val="28"/>
          <w:szCs w:val="28"/>
          <w:lang w:val="es-ES"/>
        </w:rPr>
      </w:pPr>
    </w:p>
    <w:p w:rsidR="005852B3" w:rsidRDefault="005852B3" w:rsidP="005852B3">
      <w:pPr>
        <w:pStyle w:val="ListParagraph"/>
        <w:shd w:val="clear" w:color="auto" w:fill="FFFFFF"/>
        <w:spacing w:before="120" w:after="120"/>
        <w:ind w:left="1080"/>
        <w:jc w:val="center"/>
        <w:rPr>
          <w:b/>
          <w:color w:val="000000"/>
          <w:sz w:val="28"/>
          <w:szCs w:val="28"/>
          <w:lang w:val="es-ES"/>
        </w:rPr>
      </w:pPr>
    </w:p>
    <w:p w:rsidR="005852B3" w:rsidRDefault="005852B3" w:rsidP="005852B3">
      <w:pPr>
        <w:pStyle w:val="ListParagraph"/>
        <w:shd w:val="clear" w:color="auto" w:fill="FFFFFF"/>
        <w:spacing w:before="120" w:after="120"/>
        <w:ind w:left="1080"/>
        <w:jc w:val="center"/>
        <w:rPr>
          <w:b/>
          <w:color w:val="000000"/>
          <w:sz w:val="28"/>
          <w:szCs w:val="28"/>
          <w:lang w:val="es-ES"/>
        </w:rPr>
      </w:pPr>
    </w:p>
    <w:p w:rsidR="005852B3" w:rsidRDefault="005852B3" w:rsidP="005852B3">
      <w:pPr>
        <w:pStyle w:val="ListParagraph"/>
        <w:shd w:val="clear" w:color="auto" w:fill="FFFFFF"/>
        <w:spacing w:before="120" w:after="120"/>
        <w:ind w:left="1080"/>
        <w:jc w:val="center"/>
        <w:rPr>
          <w:b/>
          <w:color w:val="000000"/>
          <w:sz w:val="28"/>
          <w:szCs w:val="28"/>
          <w:lang w:val="es-ES"/>
        </w:rPr>
      </w:pPr>
    </w:p>
    <w:p w:rsidR="005852B3" w:rsidRDefault="005852B3" w:rsidP="005852B3">
      <w:pPr>
        <w:pStyle w:val="ListParagraph"/>
        <w:shd w:val="clear" w:color="auto" w:fill="FFFFFF"/>
        <w:spacing w:before="120" w:after="120"/>
        <w:ind w:left="1080"/>
        <w:jc w:val="center"/>
        <w:rPr>
          <w:b/>
          <w:color w:val="000000"/>
          <w:sz w:val="28"/>
          <w:szCs w:val="28"/>
          <w:lang w:val="es-ES"/>
        </w:rPr>
      </w:pPr>
    </w:p>
    <w:p w:rsidR="005852B3" w:rsidRDefault="005852B3" w:rsidP="005852B3">
      <w:pPr>
        <w:pStyle w:val="ListParagraph"/>
        <w:shd w:val="clear" w:color="auto" w:fill="FFFFFF"/>
        <w:spacing w:before="120" w:after="120"/>
        <w:ind w:left="1080"/>
        <w:jc w:val="center"/>
        <w:rPr>
          <w:b/>
          <w:color w:val="000000"/>
          <w:sz w:val="28"/>
          <w:szCs w:val="28"/>
          <w:lang w:val="es-ES"/>
        </w:rPr>
      </w:pPr>
    </w:p>
    <w:p w:rsidR="005852B3" w:rsidRDefault="005852B3" w:rsidP="005852B3">
      <w:pPr>
        <w:pStyle w:val="ListParagraph"/>
        <w:shd w:val="clear" w:color="auto" w:fill="FFFFFF"/>
        <w:spacing w:before="120" w:after="120"/>
        <w:ind w:firstLine="540"/>
        <w:jc w:val="center"/>
        <w:rPr>
          <w:b/>
          <w:color w:val="000000"/>
          <w:sz w:val="28"/>
          <w:szCs w:val="28"/>
          <w:lang w:val="es-ES"/>
        </w:rPr>
      </w:pPr>
    </w:p>
    <w:p w:rsidR="005852B3" w:rsidRDefault="005852B3" w:rsidP="005852B3">
      <w:pPr>
        <w:pStyle w:val="ListParagraph"/>
        <w:shd w:val="clear" w:color="auto" w:fill="FFFFFF"/>
        <w:spacing w:before="120" w:after="120"/>
        <w:ind w:firstLine="540"/>
        <w:jc w:val="center"/>
        <w:rPr>
          <w:b/>
          <w:color w:val="000000"/>
          <w:sz w:val="28"/>
          <w:szCs w:val="28"/>
          <w:lang w:val="es-ES"/>
        </w:rPr>
      </w:pPr>
    </w:p>
    <w:p w:rsidR="005852B3" w:rsidRDefault="005852B3" w:rsidP="005852B3">
      <w:pPr>
        <w:pStyle w:val="ListParagraph"/>
        <w:shd w:val="clear" w:color="auto" w:fill="FFFFFF"/>
        <w:spacing w:before="120" w:after="120"/>
        <w:ind w:firstLine="540"/>
        <w:jc w:val="center"/>
        <w:rPr>
          <w:b/>
          <w:color w:val="000000"/>
          <w:sz w:val="28"/>
          <w:szCs w:val="28"/>
          <w:lang w:val="es-ES"/>
        </w:rPr>
      </w:pPr>
      <w:r w:rsidRPr="005F5D4D">
        <w:rPr>
          <w:b/>
          <w:color w:val="000000"/>
          <w:sz w:val="28"/>
          <w:szCs w:val="28"/>
          <w:lang w:val="es-ES"/>
        </w:rPr>
        <w:t xml:space="preserve">APOYO AL PROGRAMA DE REFORMA DEL SECTOR DE TRANSPORTE Y LOGÍSTICA DE PANAMÁ </w:t>
      </w:r>
    </w:p>
    <w:p w:rsidR="005852B3" w:rsidRDefault="005852B3" w:rsidP="005852B3">
      <w:pPr>
        <w:pStyle w:val="ListParagraph"/>
        <w:shd w:val="clear" w:color="auto" w:fill="FFFFFF"/>
        <w:spacing w:before="120" w:after="120"/>
        <w:ind w:firstLine="540"/>
        <w:jc w:val="center"/>
        <w:rPr>
          <w:b/>
          <w:color w:val="000000"/>
          <w:sz w:val="28"/>
          <w:szCs w:val="28"/>
          <w:lang w:val="es-ES"/>
        </w:rPr>
      </w:pPr>
    </w:p>
    <w:p w:rsidR="005852B3" w:rsidRDefault="005852B3" w:rsidP="005852B3">
      <w:pPr>
        <w:pStyle w:val="ListParagraph"/>
        <w:shd w:val="clear" w:color="auto" w:fill="FFFFFF"/>
        <w:spacing w:before="120" w:after="120"/>
        <w:ind w:firstLine="540"/>
        <w:jc w:val="center"/>
        <w:rPr>
          <w:b/>
          <w:color w:val="000000"/>
          <w:sz w:val="28"/>
          <w:szCs w:val="28"/>
          <w:lang w:val="es-ES"/>
        </w:rPr>
      </w:pPr>
    </w:p>
    <w:p w:rsidR="005852B3" w:rsidRPr="005F5D4D" w:rsidRDefault="005852B3" w:rsidP="005852B3">
      <w:pPr>
        <w:pStyle w:val="ListParagraph"/>
        <w:shd w:val="clear" w:color="auto" w:fill="FFFFFF"/>
        <w:spacing w:before="120" w:after="120"/>
        <w:ind w:firstLine="540"/>
        <w:jc w:val="center"/>
        <w:rPr>
          <w:b/>
          <w:color w:val="000000"/>
          <w:sz w:val="28"/>
          <w:szCs w:val="28"/>
          <w:lang w:val="es-ES"/>
        </w:rPr>
      </w:pPr>
      <w:r w:rsidRPr="005F5D4D">
        <w:rPr>
          <w:b/>
          <w:color w:val="000000"/>
          <w:sz w:val="28"/>
          <w:szCs w:val="28"/>
          <w:lang w:val="es-ES"/>
        </w:rPr>
        <w:t xml:space="preserve">  </w:t>
      </w:r>
    </w:p>
    <w:p w:rsidR="005852B3" w:rsidRDefault="005852B3" w:rsidP="005852B3">
      <w:pPr>
        <w:pStyle w:val="ListParagraph"/>
        <w:shd w:val="clear" w:color="auto" w:fill="FFFFFF"/>
        <w:spacing w:before="120" w:after="120"/>
        <w:ind w:left="0" w:firstLine="540"/>
        <w:jc w:val="center"/>
        <w:rPr>
          <w:b/>
          <w:color w:val="000000"/>
          <w:sz w:val="28"/>
          <w:szCs w:val="28"/>
          <w:lang w:val="es-ES"/>
        </w:rPr>
      </w:pPr>
      <w:r w:rsidRPr="005F5D4D">
        <w:rPr>
          <w:b/>
          <w:color w:val="000000"/>
          <w:sz w:val="28"/>
          <w:szCs w:val="28"/>
          <w:lang w:val="es-ES"/>
        </w:rPr>
        <w:t>(PN-L111</w:t>
      </w:r>
      <w:r>
        <w:rPr>
          <w:b/>
          <w:color w:val="000000"/>
          <w:sz w:val="28"/>
          <w:szCs w:val="28"/>
          <w:lang w:val="es-ES"/>
        </w:rPr>
        <w:t>9</w:t>
      </w:r>
      <w:r w:rsidRPr="005F5D4D">
        <w:rPr>
          <w:b/>
          <w:color w:val="000000"/>
          <w:sz w:val="28"/>
          <w:szCs w:val="28"/>
          <w:lang w:val="es-ES"/>
        </w:rPr>
        <w:t>)</w:t>
      </w:r>
    </w:p>
    <w:p w:rsidR="005852B3" w:rsidRDefault="005852B3" w:rsidP="005852B3">
      <w:pPr>
        <w:pStyle w:val="ListParagraph"/>
        <w:shd w:val="clear" w:color="auto" w:fill="FFFFFF"/>
        <w:spacing w:before="120" w:after="120"/>
        <w:ind w:left="0" w:firstLine="540"/>
        <w:jc w:val="center"/>
        <w:rPr>
          <w:b/>
          <w:color w:val="000000"/>
          <w:sz w:val="28"/>
          <w:szCs w:val="28"/>
          <w:lang w:val="es-ES"/>
        </w:rPr>
      </w:pPr>
    </w:p>
    <w:p w:rsidR="005852B3" w:rsidRDefault="005852B3" w:rsidP="005852B3">
      <w:pPr>
        <w:pStyle w:val="ListParagraph"/>
        <w:shd w:val="clear" w:color="auto" w:fill="FFFFFF"/>
        <w:spacing w:before="120" w:after="120"/>
        <w:ind w:left="0" w:firstLine="540"/>
        <w:jc w:val="center"/>
        <w:rPr>
          <w:b/>
          <w:color w:val="000000"/>
          <w:sz w:val="28"/>
          <w:szCs w:val="28"/>
          <w:lang w:val="es-ES"/>
        </w:rPr>
      </w:pPr>
    </w:p>
    <w:p w:rsidR="005852B3" w:rsidRDefault="005852B3" w:rsidP="005852B3">
      <w:pPr>
        <w:pStyle w:val="ListParagraph"/>
        <w:shd w:val="clear" w:color="auto" w:fill="FFFFFF"/>
        <w:spacing w:before="120" w:after="120"/>
        <w:ind w:left="0" w:firstLine="540"/>
        <w:jc w:val="center"/>
        <w:rPr>
          <w:b/>
          <w:color w:val="000000"/>
          <w:sz w:val="28"/>
          <w:szCs w:val="28"/>
          <w:lang w:val="es-ES"/>
        </w:rPr>
      </w:pPr>
    </w:p>
    <w:p w:rsidR="005852B3" w:rsidRPr="00ED552A" w:rsidRDefault="005852B3" w:rsidP="005852B3">
      <w:pPr>
        <w:pStyle w:val="ListParagraph"/>
        <w:shd w:val="clear" w:color="auto" w:fill="FFFFFF"/>
        <w:spacing w:before="120" w:after="120"/>
        <w:ind w:left="0" w:firstLine="540"/>
        <w:jc w:val="center"/>
        <w:rPr>
          <w:b/>
          <w:color w:val="000000"/>
          <w:sz w:val="28"/>
          <w:szCs w:val="28"/>
          <w:lang w:val="es-ES"/>
        </w:rPr>
      </w:pPr>
    </w:p>
    <w:p w:rsidR="005852B3" w:rsidRPr="005F5D4D" w:rsidRDefault="007D390F" w:rsidP="005852B3">
      <w:pPr>
        <w:shd w:val="clear" w:color="auto" w:fill="FFFFFF"/>
        <w:spacing w:before="120" w:after="120"/>
        <w:jc w:val="center"/>
        <w:rPr>
          <w:b/>
          <w:color w:val="000000"/>
          <w:sz w:val="28"/>
          <w:szCs w:val="28"/>
          <w:lang w:val="es-ES"/>
        </w:rPr>
      </w:pPr>
      <w:r>
        <w:rPr>
          <w:b/>
          <w:color w:val="000000"/>
          <w:sz w:val="28"/>
          <w:szCs w:val="28"/>
          <w:lang w:val="es-ES"/>
        </w:rPr>
        <w:t>Enero</w:t>
      </w:r>
      <w:r w:rsidR="005852B3" w:rsidRPr="005F5D4D">
        <w:rPr>
          <w:b/>
          <w:color w:val="000000"/>
          <w:sz w:val="28"/>
          <w:szCs w:val="28"/>
          <w:lang w:val="es-ES"/>
        </w:rPr>
        <w:t xml:space="preserve"> de 201</w:t>
      </w:r>
      <w:r>
        <w:rPr>
          <w:b/>
          <w:color w:val="000000"/>
          <w:sz w:val="28"/>
          <w:szCs w:val="28"/>
          <w:lang w:val="es-ES"/>
        </w:rPr>
        <w:t>6</w:t>
      </w:r>
    </w:p>
    <w:p w:rsidR="005852B3" w:rsidRDefault="005852B3" w:rsidP="005852B3">
      <w:pPr>
        <w:pStyle w:val="ListParagraph"/>
        <w:shd w:val="clear" w:color="auto" w:fill="FFFFFF"/>
        <w:spacing w:before="120" w:after="120"/>
        <w:ind w:left="0" w:firstLine="540"/>
        <w:jc w:val="center"/>
        <w:rPr>
          <w:b/>
          <w:color w:val="000000"/>
          <w:sz w:val="28"/>
          <w:szCs w:val="28"/>
          <w:lang w:val="es-ES"/>
        </w:rPr>
      </w:pPr>
    </w:p>
    <w:p w:rsidR="005852B3" w:rsidRDefault="005852B3" w:rsidP="005852B3">
      <w:pPr>
        <w:pStyle w:val="ListParagraph"/>
        <w:shd w:val="clear" w:color="auto" w:fill="FFFFFF"/>
        <w:spacing w:before="120" w:after="120"/>
        <w:ind w:left="0" w:firstLine="540"/>
        <w:jc w:val="center"/>
        <w:rPr>
          <w:b/>
          <w:color w:val="000000"/>
          <w:sz w:val="28"/>
          <w:szCs w:val="28"/>
          <w:lang w:val="es-ES"/>
        </w:rPr>
      </w:pPr>
    </w:p>
    <w:p w:rsidR="005852B3" w:rsidRDefault="005852B3" w:rsidP="005852B3">
      <w:pPr>
        <w:pStyle w:val="ListParagraph"/>
        <w:shd w:val="clear" w:color="auto" w:fill="FFFFFF"/>
        <w:spacing w:before="120" w:after="120"/>
        <w:ind w:left="1080"/>
        <w:jc w:val="center"/>
        <w:rPr>
          <w:b/>
          <w:color w:val="000000"/>
          <w:sz w:val="28"/>
          <w:szCs w:val="28"/>
          <w:lang w:val="es-ES"/>
        </w:rPr>
      </w:pPr>
    </w:p>
    <w:p w:rsidR="005852B3" w:rsidRDefault="005852B3" w:rsidP="005852B3">
      <w:pPr>
        <w:pStyle w:val="ListParagraph"/>
        <w:shd w:val="clear" w:color="auto" w:fill="FFFFFF"/>
        <w:spacing w:before="120" w:after="120"/>
        <w:ind w:left="1080"/>
        <w:jc w:val="center"/>
        <w:rPr>
          <w:b/>
          <w:color w:val="000000"/>
          <w:sz w:val="28"/>
          <w:szCs w:val="28"/>
          <w:lang w:val="es-ES"/>
        </w:rPr>
      </w:pPr>
    </w:p>
    <w:p w:rsidR="005852B3" w:rsidRDefault="005852B3" w:rsidP="005852B3">
      <w:pPr>
        <w:pStyle w:val="ListParagraph"/>
        <w:shd w:val="clear" w:color="auto" w:fill="FFFFFF"/>
        <w:spacing w:before="120" w:after="120"/>
        <w:ind w:left="1080"/>
        <w:jc w:val="center"/>
        <w:rPr>
          <w:b/>
          <w:color w:val="000000"/>
          <w:sz w:val="28"/>
          <w:szCs w:val="28"/>
          <w:lang w:val="es-ES"/>
        </w:rPr>
      </w:pPr>
    </w:p>
    <w:p w:rsidR="005852B3" w:rsidRDefault="005852B3" w:rsidP="005852B3">
      <w:pPr>
        <w:pStyle w:val="ListParagraph"/>
        <w:shd w:val="clear" w:color="auto" w:fill="FFFFFF"/>
        <w:spacing w:before="120" w:after="120"/>
        <w:ind w:left="1080"/>
        <w:jc w:val="center"/>
        <w:rPr>
          <w:b/>
          <w:color w:val="000000"/>
          <w:sz w:val="28"/>
          <w:szCs w:val="28"/>
          <w:lang w:val="es-ES"/>
        </w:rPr>
      </w:pPr>
    </w:p>
    <w:p w:rsidR="005852B3" w:rsidRDefault="005852B3" w:rsidP="005852B3">
      <w:pPr>
        <w:pStyle w:val="ListParagraph"/>
        <w:shd w:val="clear" w:color="auto" w:fill="FFFFFF"/>
        <w:spacing w:before="120" w:after="120"/>
        <w:ind w:left="1080"/>
        <w:jc w:val="center"/>
        <w:rPr>
          <w:b/>
          <w:color w:val="000000"/>
          <w:sz w:val="28"/>
          <w:szCs w:val="28"/>
          <w:lang w:val="es-ES"/>
        </w:rPr>
      </w:pPr>
    </w:p>
    <w:p w:rsidR="005852B3" w:rsidRDefault="005852B3" w:rsidP="005852B3">
      <w:pPr>
        <w:pStyle w:val="ListParagraph"/>
        <w:shd w:val="clear" w:color="auto" w:fill="FFFFFF"/>
        <w:spacing w:before="120" w:after="120"/>
        <w:ind w:left="1080"/>
        <w:jc w:val="center"/>
        <w:rPr>
          <w:b/>
          <w:color w:val="000000"/>
          <w:sz w:val="28"/>
          <w:szCs w:val="28"/>
          <w:lang w:val="es-ES"/>
        </w:rPr>
      </w:pPr>
    </w:p>
    <w:p w:rsidR="005852B3" w:rsidRDefault="005852B3" w:rsidP="005852B3">
      <w:pPr>
        <w:pStyle w:val="ListParagraph"/>
        <w:shd w:val="clear" w:color="auto" w:fill="FFFFFF"/>
        <w:spacing w:before="120" w:after="120"/>
        <w:ind w:left="1080"/>
        <w:jc w:val="center"/>
        <w:rPr>
          <w:b/>
          <w:color w:val="000000"/>
          <w:sz w:val="28"/>
          <w:szCs w:val="28"/>
          <w:lang w:val="es-ES"/>
        </w:rPr>
      </w:pPr>
    </w:p>
    <w:p w:rsidR="005852B3" w:rsidRDefault="005852B3" w:rsidP="005852B3">
      <w:pPr>
        <w:pStyle w:val="ListParagraph"/>
        <w:shd w:val="clear" w:color="auto" w:fill="FFFFFF"/>
        <w:spacing w:before="120" w:after="120"/>
        <w:ind w:left="1080"/>
        <w:jc w:val="center"/>
        <w:rPr>
          <w:b/>
          <w:color w:val="000000"/>
          <w:sz w:val="28"/>
          <w:szCs w:val="28"/>
          <w:lang w:val="es-ES"/>
        </w:rPr>
      </w:pPr>
    </w:p>
    <w:p w:rsidR="005852B3" w:rsidRDefault="005852B3" w:rsidP="005852B3">
      <w:pPr>
        <w:pStyle w:val="ListParagraph"/>
        <w:shd w:val="clear" w:color="auto" w:fill="FFFFFF"/>
        <w:spacing w:before="120" w:after="120"/>
        <w:ind w:left="1080"/>
        <w:jc w:val="center"/>
        <w:rPr>
          <w:b/>
          <w:color w:val="000000"/>
          <w:sz w:val="28"/>
          <w:szCs w:val="28"/>
          <w:lang w:val="es-ES"/>
        </w:rPr>
      </w:pPr>
    </w:p>
    <w:p w:rsidR="005852B3" w:rsidRDefault="005852B3" w:rsidP="005852B3">
      <w:pPr>
        <w:pStyle w:val="ListParagraph"/>
        <w:shd w:val="clear" w:color="auto" w:fill="FFFFFF"/>
        <w:spacing w:before="120" w:after="120"/>
        <w:ind w:left="1080"/>
        <w:jc w:val="center"/>
        <w:rPr>
          <w:b/>
          <w:color w:val="000000"/>
          <w:sz w:val="28"/>
          <w:szCs w:val="28"/>
          <w:lang w:val="es-ES"/>
        </w:rPr>
      </w:pPr>
    </w:p>
    <w:p w:rsidR="005852B3" w:rsidRPr="00ED552A" w:rsidRDefault="005852B3" w:rsidP="005852B3">
      <w:pPr>
        <w:pStyle w:val="ListParagraph"/>
        <w:shd w:val="clear" w:color="auto" w:fill="FFFFFF"/>
        <w:spacing w:before="120" w:after="120"/>
        <w:ind w:left="1080"/>
        <w:jc w:val="center"/>
        <w:rPr>
          <w:b/>
          <w:color w:val="000000"/>
          <w:sz w:val="28"/>
          <w:szCs w:val="28"/>
          <w:lang w:val="es-ES"/>
        </w:rPr>
      </w:pPr>
    </w:p>
    <w:tbl>
      <w:tblPr>
        <w:tblStyle w:val="TableGrid"/>
        <w:tblW w:w="0" w:type="auto"/>
        <w:tblInd w:w="-162" w:type="dxa"/>
        <w:tblLook w:val="04A0" w:firstRow="1" w:lastRow="0" w:firstColumn="1" w:lastColumn="0" w:noHBand="0" w:noVBand="1"/>
      </w:tblPr>
      <w:tblGrid>
        <w:gridCol w:w="9018"/>
      </w:tblGrid>
      <w:tr w:rsidR="005852B3" w:rsidRPr="001E63CD" w:rsidTr="001933FE">
        <w:tc>
          <w:tcPr>
            <w:tcW w:w="9576" w:type="dxa"/>
          </w:tcPr>
          <w:p w:rsidR="005852B3" w:rsidRPr="00ED552A" w:rsidRDefault="005852B3" w:rsidP="001933FE">
            <w:pPr>
              <w:rPr>
                <w:color w:val="000000"/>
                <w:lang w:val="es-ES"/>
              </w:rPr>
            </w:pPr>
            <w:r>
              <w:rPr>
                <w:color w:val="000000"/>
                <w:lang w:val="es-ES"/>
              </w:rPr>
              <w:t>Esta evaluación fue preparada por el consultor Marcio Cracel, en coordinación con Reinaldo Fioravanti y Eduardo Café, ambos de INE/TSP.</w:t>
            </w:r>
          </w:p>
        </w:tc>
      </w:tr>
    </w:tbl>
    <w:p w:rsidR="005852B3" w:rsidRDefault="005852B3" w:rsidP="005852B3">
      <w:pPr>
        <w:pStyle w:val="ListParagraph"/>
        <w:shd w:val="clear" w:color="auto" w:fill="FFFFFF"/>
        <w:spacing w:before="120" w:after="120"/>
        <w:ind w:left="1080"/>
        <w:jc w:val="center"/>
        <w:rPr>
          <w:b/>
          <w:color w:val="000000"/>
          <w:lang w:val="es-ES"/>
        </w:rPr>
      </w:pPr>
    </w:p>
    <w:p w:rsidR="005852B3" w:rsidRDefault="005852B3" w:rsidP="00546746">
      <w:pPr>
        <w:pStyle w:val="ListParagraph"/>
        <w:keepNext/>
        <w:numPr>
          <w:ilvl w:val="0"/>
          <w:numId w:val="38"/>
        </w:numPr>
        <w:shd w:val="clear" w:color="auto" w:fill="FFFFFF"/>
        <w:spacing w:before="120" w:after="120"/>
        <w:contextualSpacing w:val="0"/>
        <w:jc w:val="both"/>
        <w:outlineLvl w:val="0"/>
        <w:rPr>
          <w:b/>
          <w:color w:val="000000"/>
          <w:lang w:val="es-ES"/>
        </w:rPr>
      </w:pPr>
      <w:bookmarkStart w:id="0" w:name="_Ref442274218"/>
      <w:r w:rsidRPr="009D1982">
        <w:rPr>
          <w:b/>
          <w:color w:val="000000"/>
          <w:lang w:val="es-ES"/>
        </w:rPr>
        <w:t>Objetivo</w:t>
      </w:r>
      <w:bookmarkEnd w:id="0"/>
    </w:p>
    <w:p w:rsidR="005852B3" w:rsidRPr="00426750" w:rsidRDefault="005852B3" w:rsidP="00546746">
      <w:pPr>
        <w:pStyle w:val="ListParagraph"/>
        <w:keepNext/>
        <w:numPr>
          <w:ilvl w:val="1"/>
          <w:numId w:val="38"/>
        </w:numPr>
        <w:spacing w:before="120" w:after="120"/>
        <w:ind w:left="907" w:hanging="547"/>
        <w:contextualSpacing w:val="0"/>
        <w:jc w:val="both"/>
        <w:rPr>
          <w:color w:val="000000"/>
          <w:lang w:val="es-ES"/>
        </w:rPr>
      </w:pPr>
      <w:r w:rsidRPr="00426750">
        <w:rPr>
          <w:color w:val="000000"/>
          <w:lang w:val="es-ES"/>
        </w:rPr>
        <w:t>El objetivo del estudio es demostrar que existen las condiciones para llevarse a cabo en 2020 una evaluación del impacto ex-post utilizando el método de control sintético. Se buscará, con esta evaluación,</w:t>
      </w:r>
      <w:r w:rsidRPr="00223CBC">
        <w:rPr>
          <w:color w:val="000000"/>
          <w:lang w:val="es-ES"/>
        </w:rPr>
        <w:t xml:space="preserve"> verificar el impacto de las acciones de política implementadas por el Gobierno de Panamá en coordinación con el Banco Interamericano de Desarrollo (BID), por medio del Programático (tres años después de la implementación de su tercera fase), el cual está orientado al fortalecimiento del sector de logística</w:t>
      </w:r>
      <w:r w:rsidRPr="00426750">
        <w:rPr>
          <w:color w:val="000000"/>
          <w:lang w:val="es-ES"/>
        </w:rPr>
        <w:t xml:space="preserve">. </w:t>
      </w:r>
    </w:p>
    <w:p w:rsidR="005852B3" w:rsidRPr="00223CBC" w:rsidRDefault="005852B3" w:rsidP="00546746">
      <w:pPr>
        <w:pStyle w:val="ListParagraph"/>
        <w:numPr>
          <w:ilvl w:val="1"/>
          <w:numId w:val="38"/>
        </w:numPr>
        <w:shd w:val="clear" w:color="auto" w:fill="FFFFFF"/>
        <w:spacing w:before="120" w:after="120"/>
        <w:ind w:left="900" w:hanging="540"/>
        <w:contextualSpacing w:val="0"/>
        <w:jc w:val="both"/>
        <w:rPr>
          <w:color w:val="000000"/>
          <w:lang w:val="es-ES"/>
        </w:rPr>
      </w:pPr>
      <w:r w:rsidRPr="001A3501">
        <w:rPr>
          <w:color w:val="000000"/>
          <w:lang w:val="es-ES"/>
        </w:rPr>
        <w:t xml:space="preserve">El estudio proveerá las evidencias que existen hoy y que muy posiblemente seguirán existiendo </w:t>
      </w:r>
      <w:r w:rsidRPr="00223CBC">
        <w:rPr>
          <w:color w:val="000000"/>
          <w:lang w:val="es-ES"/>
        </w:rPr>
        <w:t xml:space="preserve">en 5 años las condiciones para llevarse a cabo una evaluación de impacto ex-post utilizando el mismo método aplicado en la evaluación ex-ante presentada en este estudio. Prácticamente, lo que se quiere demonstrar es que se cuenta con la información y que existen grupos de países que podrán ser comparados con Panamá después del tratamiento. Inclusive si en los próximos 5 años algunos de estos países sufran tratamiento y así no podrán ser usados para comparación, será demostrado que es posible retirarlos de la muestra y que existen otros grupos de países que podrán ser seleccionados para la comparación. </w:t>
      </w:r>
    </w:p>
    <w:tbl>
      <w:tblPr>
        <w:tblStyle w:val="TableGrid"/>
        <w:tblW w:w="0" w:type="auto"/>
        <w:tblInd w:w="900" w:type="dxa"/>
        <w:tblLook w:val="04A0" w:firstRow="1" w:lastRow="0" w:firstColumn="1" w:lastColumn="0" w:noHBand="0" w:noVBand="1"/>
      </w:tblPr>
      <w:tblGrid>
        <w:gridCol w:w="7956"/>
      </w:tblGrid>
      <w:tr w:rsidR="005852B3" w:rsidRPr="001E63CD" w:rsidTr="001933FE">
        <w:tc>
          <w:tcPr>
            <w:tcW w:w="9576" w:type="dxa"/>
          </w:tcPr>
          <w:p w:rsidR="005852B3" w:rsidRDefault="005852B3" w:rsidP="001933FE">
            <w:pPr>
              <w:pStyle w:val="ListParagraph"/>
              <w:spacing w:before="120" w:after="120"/>
              <w:ind w:left="0"/>
              <w:contextualSpacing w:val="0"/>
              <w:jc w:val="both"/>
              <w:rPr>
                <w:color w:val="000000"/>
                <w:lang w:val="es-ES"/>
              </w:rPr>
            </w:pPr>
            <w:r w:rsidRPr="00063DAF">
              <w:rPr>
                <w:b/>
                <w:color w:val="000000"/>
                <w:lang w:val="es-ES"/>
              </w:rPr>
              <w:t>Supuesto:</w:t>
            </w:r>
            <w:r>
              <w:rPr>
                <w:color w:val="000000"/>
                <w:lang w:val="es-ES"/>
              </w:rPr>
              <w:t xml:space="preserve"> A partir de la implementación de: (i) La Estrategia Nacional de Logística, que contempla entre sus objetivos principales promover la expansión del uso de HUBS logísticos con la introducción de servicios de valor agregado y (ii) del Plan Maestro de Transporte y logística, que promueve las inversiones en la infraestructura para la creación de los corredores de exportación, se genera en 2020 un incremento de 79.8% a 84% entre la relación de las exportaciones de bienes y servicios y el PIB nacional. Con esto, se</w:t>
            </w:r>
            <w:r w:rsidRPr="00875ACE">
              <w:rPr>
                <w:color w:val="000000"/>
                <w:lang w:val="es-ES"/>
              </w:rPr>
              <w:t xml:space="preserve"> atender</w:t>
            </w:r>
            <w:r>
              <w:rPr>
                <w:color w:val="000000"/>
                <w:lang w:val="es-ES"/>
              </w:rPr>
              <w:t>á de forma más</w:t>
            </w:r>
            <w:r w:rsidRPr="00875ACE">
              <w:rPr>
                <w:color w:val="000000"/>
                <w:lang w:val="es-ES"/>
              </w:rPr>
              <w:t xml:space="preserve"> eficaz y </w:t>
            </w:r>
            <w:r>
              <w:rPr>
                <w:color w:val="000000"/>
                <w:lang w:val="es-ES"/>
              </w:rPr>
              <w:t>eficiente</w:t>
            </w:r>
            <w:r w:rsidRPr="00875ACE">
              <w:rPr>
                <w:color w:val="000000"/>
                <w:lang w:val="es-ES"/>
              </w:rPr>
              <w:t xml:space="preserve"> la demanda logística generada por los usuarios internacionales, los sectores productivos nacionales, el consumo interno y el comercio exterior de</w:t>
            </w:r>
            <w:r>
              <w:rPr>
                <w:color w:val="000000"/>
                <w:lang w:val="es-ES"/>
              </w:rPr>
              <w:t>l país, creando condiciones que generen oportunidades de nuevas actividades económicas para el país, lo que también ayudará a mitigar el importante déficit en la balanza comercial que enfrenta el país.</w:t>
            </w:r>
          </w:p>
        </w:tc>
      </w:tr>
    </w:tbl>
    <w:p w:rsidR="005852B3" w:rsidRPr="008809B3" w:rsidRDefault="005852B3" w:rsidP="00546746">
      <w:pPr>
        <w:pStyle w:val="ListParagraph"/>
        <w:numPr>
          <w:ilvl w:val="0"/>
          <w:numId w:val="38"/>
        </w:numPr>
        <w:shd w:val="clear" w:color="auto" w:fill="FFFFFF"/>
        <w:spacing w:before="120" w:after="120"/>
        <w:contextualSpacing w:val="0"/>
        <w:jc w:val="both"/>
        <w:outlineLvl w:val="0"/>
        <w:rPr>
          <w:color w:val="000000"/>
          <w:lang w:val="es-ES"/>
        </w:rPr>
      </w:pPr>
      <w:r>
        <w:rPr>
          <w:b/>
          <w:color w:val="000000"/>
          <w:lang w:val="es-ES"/>
        </w:rPr>
        <w:t>Contexto y Antecedentes para la Evaluación</w:t>
      </w:r>
      <w:r w:rsidRPr="008809B3">
        <w:rPr>
          <w:color w:val="000000"/>
          <w:lang w:val="es-ES"/>
        </w:rPr>
        <w:t xml:space="preserve">    </w:t>
      </w:r>
    </w:p>
    <w:p w:rsidR="005852B3" w:rsidRPr="008230E3" w:rsidRDefault="005852B3" w:rsidP="00546746">
      <w:pPr>
        <w:pStyle w:val="ListParagraph"/>
        <w:numPr>
          <w:ilvl w:val="1"/>
          <w:numId w:val="38"/>
        </w:numPr>
        <w:shd w:val="clear" w:color="auto" w:fill="FFFFFF"/>
        <w:spacing w:before="120" w:after="120"/>
        <w:ind w:left="900" w:hanging="540"/>
        <w:contextualSpacing w:val="0"/>
        <w:jc w:val="both"/>
        <w:rPr>
          <w:color w:val="000000"/>
          <w:lang w:val="es-ES"/>
        </w:rPr>
      </w:pPr>
      <w:r w:rsidRPr="007D11A2">
        <w:rPr>
          <w:color w:val="000000"/>
          <w:lang w:val="es-ES"/>
        </w:rPr>
        <w:t>El Canal de Panamá, con su estratégica ubicación en el punto más angosto entre el océano Atlántico y el océano Pacífico, ha tenido un efecto de amplias proyecciones sobre los adelantos económicos y comerciales durante casi todo el presente siglo. Ha contribuido significativamente al progreso mundial y se enaltece como un logro de ingeniería excepcional, ya que proporciona una vía de tránsito corta y relativamente barata entre estos dos grandes océanos, influenciando considerablemente sobre los patrones del comercio mundial e impulsando también el crecimiento en los países desarrollados.</w:t>
      </w:r>
    </w:p>
    <w:p w:rsidR="005852B3" w:rsidRPr="006E195D" w:rsidRDefault="005852B3" w:rsidP="00546746">
      <w:pPr>
        <w:pStyle w:val="ListParagraph"/>
        <w:numPr>
          <w:ilvl w:val="1"/>
          <w:numId w:val="38"/>
        </w:numPr>
        <w:shd w:val="clear" w:color="auto" w:fill="FFFFFF"/>
        <w:spacing w:before="120" w:after="120"/>
        <w:ind w:left="900" w:hanging="540"/>
        <w:contextualSpacing w:val="0"/>
        <w:jc w:val="both"/>
        <w:rPr>
          <w:color w:val="000000"/>
          <w:lang w:val="es-ES"/>
        </w:rPr>
      </w:pPr>
      <w:r w:rsidRPr="00F37714">
        <w:rPr>
          <w:color w:val="000000"/>
          <w:lang w:val="es-ES"/>
        </w:rPr>
        <w:t>Cada año pasan cerca de 14.000 barcos cargados con 300 millones de toneladas de mercancías, el 5% del comercio mundial. El tráfico diario de buques por el Can</w:t>
      </w:r>
      <w:r>
        <w:rPr>
          <w:color w:val="000000"/>
          <w:lang w:val="es-ES"/>
        </w:rPr>
        <w:t xml:space="preserve">al oscila entre los 35 y los 40 navíos </w:t>
      </w:r>
      <w:r w:rsidRPr="006E195D">
        <w:rPr>
          <w:color w:val="000000"/>
          <w:lang w:val="es-ES"/>
        </w:rPr>
        <w:t>oriundos de 144 rutas diferente</w:t>
      </w:r>
      <w:r>
        <w:rPr>
          <w:color w:val="000000"/>
          <w:lang w:val="es-ES"/>
        </w:rPr>
        <w:t>s</w:t>
      </w:r>
      <w:r w:rsidRPr="006E195D">
        <w:rPr>
          <w:color w:val="000000"/>
          <w:lang w:val="es-ES"/>
        </w:rPr>
        <w:t xml:space="preserve"> con destino </w:t>
      </w:r>
      <w:r>
        <w:rPr>
          <w:color w:val="000000"/>
          <w:lang w:val="es-ES"/>
        </w:rPr>
        <w:t xml:space="preserve">para 161 países. </w:t>
      </w:r>
      <w:r w:rsidRPr="004375A0">
        <w:rPr>
          <w:color w:val="000000"/>
          <w:lang w:val="es-ES"/>
        </w:rPr>
        <w:t xml:space="preserve">El </w:t>
      </w:r>
      <w:r>
        <w:rPr>
          <w:color w:val="000000"/>
          <w:lang w:val="es-ES"/>
        </w:rPr>
        <w:t>costo</w:t>
      </w:r>
      <w:r w:rsidRPr="004375A0">
        <w:rPr>
          <w:color w:val="000000"/>
          <w:lang w:val="es-ES"/>
        </w:rPr>
        <w:t xml:space="preserve"> de un tránsito por el Canal varía en función del peso del barco. El precio medio que paga un buque ‘</w:t>
      </w:r>
      <w:proofErr w:type="spellStart"/>
      <w:r w:rsidRPr="004375A0">
        <w:rPr>
          <w:color w:val="000000"/>
          <w:lang w:val="es-ES"/>
        </w:rPr>
        <w:t>Panamax</w:t>
      </w:r>
      <w:proofErr w:type="spellEnd"/>
      <w:r w:rsidRPr="004375A0">
        <w:rPr>
          <w:color w:val="000000"/>
          <w:lang w:val="es-ES"/>
        </w:rPr>
        <w:t xml:space="preserve">’ es de unos </w:t>
      </w:r>
      <w:r w:rsidRPr="004375A0">
        <w:rPr>
          <w:color w:val="000000"/>
          <w:lang w:val="es-ES"/>
        </w:rPr>
        <w:lastRenderedPageBreak/>
        <w:t xml:space="preserve">80.000 dólares, una cuantía elevada pero muy inferior a lo que supondría rodear el continente por Cabo de Hornos. </w:t>
      </w:r>
      <w:r>
        <w:rPr>
          <w:color w:val="000000"/>
          <w:lang w:val="es-ES"/>
        </w:rPr>
        <w:t xml:space="preserve"> A u</w:t>
      </w:r>
      <w:r w:rsidRPr="00C15175">
        <w:rPr>
          <w:color w:val="000000"/>
          <w:lang w:val="es-ES"/>
        </w:rPr>
        <w:t>n barco le tom</w:t>
      </w:r>
      <w:r>
        <w:rPr>
          <w:color w:val="000000"/>
          <w:lang w:val="es-ES"/>
        </w:rPr>
        <w:t>a u</w:t>
      </w:r>
      <w:r w:rsidRPr="00C15175">
        <w:rPr>
          <w:color w:val="000000"/>
          <w:lang w:val="es-ES"/>
        </w:rPr>
        <w:t>n promedio de 8 a 10 horas atravesar el Canal de Panamá, si tomara otra ruta dando la vuelta por Cabo de Hornos demoraría 10 días más para llegar a su destino.</w:t>
      </w:r>
      <w:r>
        <w:rPr>
          <w:color w:val="000000"/>
          <w:lang w:val="es-ES"/>
        </w:rPr>
        <w:t xml:space="preserve"> L</w:t>
      </w:r>
      <w:r w:rsidRPr="006E195D">
        <w:rPr>
          <w:color w:val="000000"/>
          <w:lang w:val="es-ES"/>
        </w:rPr>
        <w:t xml:space="preserve">a actividad de transbordo genera aproximadamente </w:t>
      </w:r>
      <w:r>
        <w:rPr>
          <w:color w:val="000000"/>
          <w:lang w:val="es-ES"/>
        </w:rPr>
        <w:t>US$ 1.2</w:t>
      </w:r>
      <w:r w:rsidRPr="006E195D">
        <w:rPr>
          <w:color w:val="000000"/>
          <w:lang w:val="es-ES"/>
        </w:rPr>
        <w:t xml:space="preserve"> MM anuales</w:t>
      </w:r>
      <w:r>
        <w:rPr>
          <w:color w:val="000000"/>
          <w:lang w:val="es-ES"/>
        </w:rPr>
        <w:t>, lo</w:t>
      </w:r>
      <w:r w:rsidRPr="006E195D">
        <w:rPr>
          <w:color w:val="000000"/>
          <w:lang w:val="es-ES"/>
        </w:rPr>
        <w:t xml:space="preserve"> que representó en 2014 2.1% del PIB nacional</w:t>
      </w:r>
      <w:r>
        <w:rPr>
          <w:rStyle w:val="FootnoteReference"/>
          <w:color w:val="000000"/>
          <w:lang w:val="es-ES"/>
        </w:rPr>
        <w:footnoteReference w:id="7"/>
      </w:r>
      <w:r w:rsidRPr="006E195D">
        <w:rPr>
          <w:color w:val="000000"/>
          <w:lang w:val="es-ES"/>
        </w:rPr>
        <w:t>. En su totalidad, se estima que todas las actividades ligadas directa o indirectamente al canal suman alrededor de 6% del PIB</w:t>
      </w:r>
      <w:r>
        <w:rPr>
          <w:color w:val="000000"/>
          <w:lang w:val="es-ES"/>
        </w:rPr>
        <w:t>.</w:t>
      </w:r>
      <w:r>
        <w:rPr>
          <w:rStyle w:val="FootnoteReference"/>
          <w:color w:val="000000"/>
          <w:lang w:val="es-ES"/>
        </w:rPr>
        <w:footnoteReference w:id="8"/>
      </w:r>
    </w:p>
    <w:p w:rsidR="005852B3" w:rsidRDefault="005852B3" w:rsidP="00546746">
      <w:pPr>
        <w:pStyle w:val="ListParagraph"/>
        <w:numPr>
          <w:ilvl w:val="1"/>
          <w:numId w:val="38"/>
        </w:numPr>
        <w:shd w:val="clear" w:color="auto" w:fill="FFFFFF"/>
        <w:spacing w:before="120" w:after="120"/>
        <w:ind w:left="900" w:hanging="540"/>
        <w:contextualSpacing w:val="0"/>
        <w:jc w:val="both"/>
        <w:rPr>
          <w:color w:val="000000"/>
          <w:lang w:val="es-ES"/>
        </w:rPr>
      </w:pPr>
      <w:r>
        <w:rPr>
          <w:color w:val="000000"/>
          <w:lang w:val="es-ES"/>
        </w:rPr>
        <w:t>Estudios preparados por los organismos internacionales y por agencias especializadas en el tema logístico, apuntan que Panamá podría aprovechar mucho más esta situación privilegiada de conexión entre los océanos Pacífico y Atlántico, al ofrecer a los usuarios del canal otros tipos de servicios (diferentes de transbordo</w:t>
      </w:r>
      <w:r>
        <w:rPr>
          <w:rStyle w:val="FootnoteReference"/>
          <w:color w:val="000000"/>
          <w:lang w:val="es-ES"/>
        </w:rPr>
        <w:footnoteReference w:id="9"/>
      </w:r>
      <w:r>
        <w:rPr>
          <w:color w:val="000000"/>
          <w:lang w:val="es-ES"/>
        </w:rPr>
        <w:t xml:space="preserve">) que podrían traer beneficios financieros para aquellos, así como generar más oportunidades de negocios para el país. Diversos países que cuentan con situación similar, sea por tener un canal estratégico (Egipto y Turquía), o por estar localizado en corredores marítimos de ruta de mercancías (Singapur y Hong Kong) vienen implementando políticas orientadas a aprovechar esta oportunidad presentada. </w:t>
      </w:r>
    </w:p>
    <w:p w:rsidR="005852B3" w:rsidRDefault="005852B3" w:rsidP="00546746">
      <w:pPr>
        <w:pStyle w:val="ListParagraph"/>
        <w:numPr>
          <w:ilvl w:val="1"/>
          <w:numId w:val="38"/>
        </w:numPr>
        <w:shd w:val="clear" w:color="auto" w:fill="FFFFFF"/>
        <w:spacing w:before="120" w:after="120"/>
        <w:ind w:left="900" w:hanging="540"/>
        <w:contextualSpacing w:val="0"/>
        <w:jc w:val="both"/>
        <w:rPr>
          <w:color w:val="000000"/>
          <w:lang w:val="es-ES"/>
        </w:rPr>
      </w:pPr>
      <w:r>
        <w:rPr>
          <w:color w:val="000000"/>
          <w:lang w:val="es-ES"/>
        </w:rPr>
        <w:t xml:space="preserve">Para la implementación de las políticas se necesitan importantes inversiones financieras, principalmente en los sectores de infraestructura y logística (transporte, almacenamiento y comunicación). En este sentido, el Gobierno de Panamá está involucrado en un amplio programa de promoción en los sectores de infraestructura y logística, a través de inversiones y fortalecimiento institucional en la logística del canal actual, así como en la construcción de un nuevo canal que permitirá ampliar la cantidad de buques diarios y permitirá que buques de mayor capacidad pasen por el canal.  </w:t>
      </w:r>
    </w:p>
    <w:p w:rsidR="005852B3" w:rsidRPr="00C341F3" w:rsidRDefault="005852B3" w:rsidP="00546746">
      <w:pPr>
        <w:pStyle w:val="ListParagraph"/>
        <w:numPr>
          <w:ilvl w:val="1"/>
          <w:numId w:val="38"/>
        </w:numPr>
        <w:shd w:val="clear" w:color="auto" w:fill="FFFFFF"/>
        <w:spacing w:before="120" w:after="120"/>
        <w:ind w:left="900" w:hanging="540"/>
        <w:contextualSpacing w:val="0"/>
        <w:jc w:val="both"/>
        <w:rPr>
          <w:color w:val="000000"/>
          <w:lang w:val="es-ES"/>
        </w:rPr>
      </w:pPr>
      <w:r w:rsidRPr="00C341F3">
        <w:rPr>
          <w:color w:val="000000"/>
          <w:lang w:val="es-ES"/>
        </w:rPr>
        <w:t>Contar con una actividad con tamaña potencialidad hace con que la economía panameña responda</w:t>
      </w:r>
      <w:r w:rsidRPr="00D434D7">
        <w:rPr>
          <w:color w:val="000000"/>
          <w:lang w:val="es-ES"/>
        </w:rPr>
        <w:t xml:space="preserve"> mucho más a las necesidades del comercio internacional que a la demanda interna de su población. </w:t>
      </w:r>
      <w:r w:rsidRPr="00C341F3">
        <w:rPr>
          <w:color w:val="000000"/>
          <w:lang w:val="es-ES"/>
        </w:rPr>
        <w:t xml:space="preserve">Con esto: (i) su economía se encuentra dolarizada y carece de Banco Central; (ii) se crearon </w:t>
      </w:r>
      <w:r>
        <w:rPr>
          <w:color w:val="000000"/>
          <w:lang w:val="es-ES"/>
        </w:rPr>
        <w:t xml:space="preserve">las </w:t>
      </w:r>
      <w:r w:rsidRPr="00C341F3">
        <w:rPr>
          <w:color w:val="000000"/>
          <w:lang w:val="es-ES"/>
        </w:rPr>
        <w:t xml:space="preserve">Zonas Francas, como Colón, de libre circulación de capitales y mercancías, y sin impuestos, lo que ha propiciado la instalación de gran número de empresas; </w:t>
      </w:r>
      <w:r>
        <w:rPr>
          <w:color w:val="000000"/>
          <w:lang w:val="es-ES"/>
        </w:rPr>
        <w:t xml:space="preserve">y </w:t>
      </w:r>
      <w:r w:rsidRPr="00C341F3">
        <w:rPr>
          <w:color w:val="000000"/>
          <w:lang w:val="es-ES"/>
        </w:rPr>
        <w:t xml:space="preserve">(iii) Panamá es </w:t>
      </w:r>
      <w:r>
        <w:rPr>
          <w:color w:val="000000"/>
          <w:lang w:val="es-ES"/>
        </w:rPr>
        <w:t xml:space="preserve">uno </w:t>
      </w:r>
      <w:r w:rsidRPr="00C341F3">
        <w:rPr>
          <w:color w:val="000000"/>
          <w:lang w:val="es-ES"/>
        </w:rPr>
        <w:t>de los países con la mayor flota mercante, gracias a las "banderas de conveniencia"</w:t>
      </w:r>
      <w:r>
        <w:rPr>
          <w:rStyle w:val="FootnoteReference"/>
          <w:color w:val="000000"/>
          <w:lang w:val="es-ES"/>
        </w:rPr>
        <w:footnoteReference w:id="10"/>
      </w:r>
      <w:r>
        <w:rPr>
          <w:color w:val="000000"/>
          <w:lang w:val="es-ES"/>
        </w:rPr>
        <w:t>.</w:t>
      </w:r>
    </w:p>
    <w:p w:rsidR="005852B3" w:rsidRPr="004375A0" w:rsidRDefault="005852B3" w:rsidP="005852B3">
      <w:pPr>
        <w:pStyle w:val="ListParagraph"/>
        <w:shd w:val="clear" w:color="auto" w:fill="FFFFFF"/>
        <w:spacing w:before="120" w:after="120"/>
        <w:ind w:left="900"/>
        <w:contextualSpacing w:val="0"/>
        <w:jc w:val="both"/>
        <w:rPr>
          <w:color w:val="000000"/>
          <w:lang w:val="es-ES"/>
        </w:rPr>
      </w:pPr>
      <w:r>
        <w:rPr>
          <w:color w:val="000000"/>
          <w:lang w:val="es-ES"/>
        </w:rPr>
        <w:t>De esta manera, l</w:t>
      </w:r>
      <w:r w:rsidRPr="004375A0">
        <w:rPr>
          <w:color w:val="000000"/>
          <w:lang w:val="es-ES"/>
        </w:rPr>
        <w:t>a economía de Panamá ha crecido a un ritmo sostenido, el Producto Interno Bruto (PIB) creció un promedio de 7,8% anual entre 2008 y 2014, en tanto que el promedio de la región fue de 3,2%. Este crecimiento fue impulsado por la inversión, especialmente la relacionada con la expansión del Canal de Panamá y la ejecución de un ambicioso programa de inversi</w:t>
      </w:r>
      <w:r>
        <w:rPr>
          <w:color w:val="000000"/>
          <w:lang w:val="es-ES"/>
        </w:rPr>
        <w:t xml:space="preserve">ón pública </w:t>
      </w:r>
      <w:r>
        <w:rPr>
          <w:color w:val="000000"/>
          <w:lang w:val="es-ES"/>
        </w:rPr>
        <w:lastRenderedPageBreak/>
        <w:t>en infraestructura</w:t>
      </w:r>
      <w:r w:rsidRPr="004375A0">
        <w:rPr>
          <w:color w:val="000000"/>
          <w:lang w:val="es-ES"/>
        </w:rPr>
        <w:t>. Según datos del Ministerio de Economía y Finanzas (MEF), en 2014, el país tuvo un crecimiento de 6,2%.</w:t>
      </w:r>
    </w:p>
    <w:p w:rsidR="005852B3" w:rsidRDefault="005852B3" w:rsidP="00546746">
      <w:pPr>
        <w:pStyle w:val="ListParagraph"/>
        <w:numPr>
          <w:ilvl w:val="1"/>
          <w:numId w:val="38"/>
        </w:numPr>
        <w:shd w:val="clear" w:color="auto" w:fill="FFFFFF"/>
        <w:spacing w:before="120" w:after="120"/>
        <w:ind w:left="900" w:hanging="540"/>
        <w:contextualSpacing w:val="0"/>
        <w:jc w:val="both"/>
        <w:rPr>
          <w:color w:val="000000"/>
          <w:lang w:val="es-ES"/>
        </w:rPr>
      </w:pPr>
      <w:r w:rsidRPr="004375A0">
        <w:rPr>
          <w:color w:val="000000"/>
          <w:lang w:val="es-ES"/>
        </w:rPr>
        <w:t>A pesar de constantes crecimientos económicos, por encima de</w:t>
      </w:r>
      <w:r>
        <w:rPr>
          <w:color w:val="000000"/>
          <w:lang w:val="es-ES"/>
        </w:rPr>
        <w:t>l</w:t>
      </w:r>
      <w:r w:rsidRPr="004375A0">
        <w:rPr>
          <w:color w:val="000000"/>
          <w:lang w:val="es-ES"/>
        </w:rPr>
        <w:t xml:space="preserve"> 6% anual, la balanza comercial presenta un déficit de exportaciones respecto a importaciones de bienes, de alrededor de US$7.000 millones anuales (14,8% del PIB)</w:t>
      </w:r>
      <w:r w:rsidRPr="004375A0">
        <w:rPr>
          <w:color w:val="000000"/>
          <w:vertAlign w:val="superscript"/>
          <w:lang w:val="es-ES"/>
        </w:rPr>
        <w:footnoteReference w:id="11"/>
      </w:r>
      <w:r w:rsidRPr="004375A0">
        <w:rPr>
          <w:color w:val="000000"/>
          <w:lang w:val="es-ES"/>
        </w:rPr>
        <w:t>. Ese déficit se compensa parcialmente con el superávit comercial de la Zona Libre de Colón (ZLC), que maneja importaciones y reimportaciones significativas para el tamaño de la economía nacional. Adicionalmente, existe un superávit en el comercio de servicios que ayuda a disminuir el déficit externo.</w:t>
      </w:r>
    </w:p>
    <w:p w:rsidR="005852B3" w:rsidRPr="004375A0" w:rsidRDefault="005852B3" w:rsidP="00546746">
      <w:pPr>
        <w:pStyle w:val="ListParagraph"/>
        <w:numPr>
          <w:ilvl w:val="1"/>
          <w:numId w:val="38"/>
        </w:numPr>
        <w:shd w:val="clear" w:color="auto" w:fill="FFFFFF"/>
        <w:spacing w:before="120" w:after="120"/>
        <w:ind w:left="900" w:hanging="540"/>
        <w:contextualSpacing w:val="0"/>
        <w:jc w:val="both"/>
        <w:rPr>
          <w:color w:val="000000"/>
          <w:lang w:val="es-ES"/>
        </w:rPr>
      </w:pPr>
      <w:r>
        <w:rPr>
          <w:color w:val="000000"/>
          <w:lang w:val="es-ES"/>
        </w:rPr>
        <w:t xml:space="preserve">En este sentido, la Estrategia Nacional de Logística y el Plan Maestro de Transporte y Logística apoyaran la disminución de esta diferencia a través del incentivo a la diversificación de los servicios llevados a cabo en el país, especialmente con aquellos relacionados a los servicios de valor agregado oriundo de los HUBS logísticos, así como la mejora de los corredores de exportación, los cuales tendrán un impacto significativo en el aumento de las exportaciones de bienes y servicios y mitigación del déficit de la balanza comercial.   </w:t>
      </w:r>
    </w:p>
    <w:p w:rsidR="005852B3" w:rsidRPr="005852B3" w:rsidRDefault="005852B3" w:rsidP="00546746">
      <w:pPr>
        <w:pStyle w:val="ListParagraph"/>
        <w:numPr>
          <w:ilvl w:val="0"/>
          <w:numId w:val="38"/>
        </w:numPr>
        <w:shd w:val="clear" w:color="auto" w:fill="FFFFFF"/>
        <w:spacing w:before="120" w:after="120"/>
        <w:contextualSpacing w:val="0"/>
        <w:jc w:val="both"/>
        <w:outlineLvl w:val="0"/>
        <w:rPr>
          <w:b/>
          <w:lang w:val="es-ES"/>
        </w:rPr>
      </w:pPr>
      <w:r>
        <w:rPr>
          <w:b/>
          <w:color w:val="000000"/>
          <w:lang w:val="es-ES"/>
        </w:rPr>
        <w:t>El método</w:t>
      </w:r>
      <w:r w:rsidRPr="00223247">
        <w:rPr>
          <w:b/>
          <w:color w:val="000000"/>
          <w:lang w:val="es-ES"/>
        </w:rPr>
        <w:t xml:space="preserve"> de Control Sintético.</w:t>
      </w:r>
    </w:p>
    <w:p w:rsidR="005852B3" w:rsidRPr="007261FC" w:rsidRDefault="005852B3" w:rsidP="00965C57">
      <w:pPr>
        <w:pStyle w:val="ListParagraph"/>
        <w:numPr>
          <w:ilvl w:val="0"/>
          <w:numId w:val="15"/>
        </w:numPr>
        <w:shd w:val="clear" w:color="auto" w:fill="FFFFFF"/>
        <w:spacing w:before="120" w:after="120"/>
        <w:contextualSpacing w:val="0"/>
        <w:jc w:val="both"/>
        <w:outlineLvl w:val="1"/>
        <w:rPr>
          <w:b/>
          <w:color w:val="000000"/>
          <w:lang w:val="es-ES"/>
        </w:rPr>
      </w:pPr>
      <w:r>
        <w:rPr>
          <w:b/>
          <w:color w:val="000000"/>
          <w:lang w:val="es-ES"/>
        </w:rPr>
        <w:t>Descripción</w:t>
      </w:r>
    </w:p>
    <w:p w:rsidR="005852B3" w:rsidRDefault="005852B3" w:rsidP="00546746">
      <w:pPr>
        <w:pStyle w:val="ListParagraph"/>
        <w:numPr>
          <w:ilvl w:val="1"/>
          <w:numId w:val="38"/>
        </w:numPr>
        <w:shd w:val="clear" w:color="auto" w:fill="FFFFFF"/>
        <w:spacing w:before="120" w:after="120"/>
        <w:ind w:left="900" w:hanging="540"/>
        <w:contextualSpacing w:val="0"/>
        <w:jc w:val="both"/>
        <w:rPr>
          <w:color w:val="000000"/>
          <w:lang w:val="es-ES"/>
        </w:rPr>
      </w:pPr>
      <w:r w:rsidRPr="00600E1F">
        <w:rPr>
          <w:color w:val="000000"/>
          <w:lang w:val="es-ES"/>
        </w:rPr>
        <w:t xml:space="preserve">El método </w:t>
      </w:r>
      <w:r>
        <w:rPr>
          <w:color w:val="000000"/>
          <w:lang w:val="es-ES"/>
        </w:rPr>
        <w:t>provee</w:t>
      </w:r>
      <w:r w:rsidRPr="00600E1F">
        <w:rPr>
          <w:color w:val="000000"/>
          <w:lang w:val="es-ES"/>
        </w:rPr>
        <w:t xml:space="preserve"> los lineamientos para estimar los efectos de políticas públicas resultado de un tratamiento específico aplicado a una unidad</w:t>
      </w:r>
      <w:r>
        <w:rPr>
          <w:color w:val="000000"/>
          <w:lang w:val="es-ES"/>
        </w:rPr>
        <w:t xml:space="preserve"> agregada (ciudades, regiones, o países</w:t>
      </w:r>
      <w:r w:rsidR="00546746">
        <w:rPr>
          <w:color w:val="000000"/>
          <w:lang w:val="es-ES"/>
        </w:rPr>
        <w:t xml:space="preserve">) </w:t>
      </w:r>
      <w:r w:rsidR="00546746" w:rsidRPr="00600E1F">
        <w:rPr>
          <w:color w:val="000000"/>
          <w:lang w:val="es-ES"/>
        </w:rPr>
        <w:t>que</w:t>
      </w:r>
      <w:r w:rsidRPr="00600E1F">
        <w:rPr>
          <w:color w:val="000000"/>
          <w:lang w:val="es-ES"/>
        </w:rPr>
        <w:t xml:space="preserve"> presenta</w:t>
      </w:r>
      <w:r>
        <w:rPr>
          <w:color w:val="000000"/>
          <w:lang w:val="es-ES"/>
        </w:rPr>
        <w:t>n</w:t>
      </w:r>
      <w:r w:rsidRPr="00600E1F">
        <w:rPr>
          <w:color w:val="000000"/>
          <w:lang w:val="es-ES"/>
        </w:rPr>
        <w:t xml:space="preserve"> problemas en un </w:t>
      </w:r>
      <w:r>
        <w:rPr>
          <w:color w:val="000000"/>
          <w:lang w:val="es-ES"/>
        </w:rPr>
        <w:t>determinado sector</w:t>
      </w:r>
      <w:r w:rsidRPr="00600E1F">
        <w:rPr>
          <w:color w:val="000000"/>
          <w:lang w:val="es-ES"/>
        </w:rPr>
        <w:t xml:space="preserve">. </w:t>
      </w:r>
    </w:p>
    <w:p w:rsidR="005852B3" w:rsidRPr="00600E1F" w:rsidRDefault="005852B3" w:rsidP="00546746">
      <w:pPr>
        <w:pStyle w:val="ListParagraph"/>
        <w:numPr>
          <w:ilvl w:val="1"/>
          <w:numId w:val="38"/>
        </w:numPr>
        <w:shd w:val="clear" w:color="auto" w:fill="FFFFFF"/>
        <w:spacing w:before="120" w:after="120"/>
        <w:ind w:left="900" w:hanging="540"/>
        <w:contextualSpacing w:val="0"/>
        <w:jc w:val="both"/>
        <w:rPr>
          <w:color w:val="000000"/>
          <w:lang w:val="es-ES"/>
        </w:rPr>
      </w:pPr>
      <w:r w:rsidRPr="00A869F8">
        <w:rPr>
          <w:color w:val="000000"/>
          <w:lang w:val="es-ES"/>
        </w:rPr>
        <w:t>Para unidades agregadas, como regiones o países, puede no existir una unidad no tratada que proporcione una aproximación razonable a las características de la unidad tratada.</w:t>
      </w:r>
      <w:r>
        <w:rPr>
          <w:color w:val="000000"/>
          <w:lang w:val="es-ES"/>
        </w:rPr>
        <w:t xml:space="preserve"> </w:t>
      </w:r>
      <w:r w:rsidRPr="00A869F8">
        <w:rPr>
          <w:color w:val="000000"/>
          <w:lang w:val="es-ES"/>
        </w:rPr>
        <w:t xml:space="preserve">El método de control sintético se basa en la observación de que una combinación de unidades no tratadas (es decir, </w:t>
      </w:r>
      <w:r>
        <w:rPr>
          <w:color w:val="000000"/>
          <w:lang w:val="es-ES"/>
        </w:rPr>
        <w:t xml:space="preserve">un “control sintético”), de esta manera </w:t>
      </w:r>
      <w:r w:rsidRPr="00A869F8">
        <w:rPr>
          <w:color w:val="000000"/>
          <w:lang w:val="es-ES"/>
        </w:rPr>
        <w:t>frecuentemente proporciona una aproximación más cercana a las características de la unidad afectada por la intervención de política pública que cualquier unidad individual.</w:t>
      </w:r>
      <w:r>
        <w:rPr>
          <w:color w:val="000000"/>
          <w:lang w:val="es-ES"/>
        </w:rPr>
        <w:t xml:space="preserve"> </w:t>
      </w:r>
      <w:r w:rsidRPr="00A869F8">
        <w:rPr>
          <w:color w:val="000000"/>
          <w:lang w:val="es-ES"/>
        </w:rPr>
        <w:t xml:space="preserve">El método de control sintético emplea como unidad de control la media ponderada de las unidades no tratadas que mejor </w:t>
      </w:r>
      <w:r>
        <w:rPr>
          <w:color w:val="000000"/>
          <w:lang w:val="es-ES"/>
        </w:rPr>
        <w:t>se aproximen</w:t>
      </w:r>
      <w:r w:rsidRPr="00A869F8">
        <w:rPr>
          <w:color w:val="000000"/>
          <w:lang w:val="es-ES"/>
        </w:rPr>
        <w:t xml:space="preserve"> </w:t>
      </w:r>
      <w:r>
        <w:rPr>
          <w:color w:val="000000"/>
          <w:lang w:val="es-ES"/>
        </w:rPr>
        <w:t xml:space="preserve">de </w:t>
      </w:r>
      <w:r w:rsidRPr="00A869F8">
        <w:rPr>
          <w:color w:val="000000"/>
          <w:lang w:val="es-ES"/>
        </w:rPr>
        <w:t>las carac</w:t>
      </w:r>
      <w:r>
        <w:rPr>
          <w:color w:val="000000"/>
          <w:lang w:val="es-ES"/>
        </w:rPr>
        <w:t>terísticas de la unidad tratada (</w:t>
      </w:r>
      <w:proofErr w:type="spellStart"/>
      <w:r w:rsidRPr="00C32B66">
        <w:rPr>
          <w:color w:val="000000"/>
          <w:lang w:val="es-ES"/>
        </w:rPr>
        <w:t>Abadie</w:t>
      </w:r>
      <w:proofErr w:type="spellEnd"/>
      <w:r w:rsidRPr="00C32B66">
        <w:rPr>
          <w:color w:val="000000"/>
          <w:lang w:val="es-ES"/>
        </w:rPr>
        <w:t xml:space="preserve"> y </w:t>
      </w:r>
      <w:proofErr w:type="spellStart"/>
      <w:r w:rsidRPr="005852B3">
        <w:rPr>
          <w:color w:val="000000"/>
          <w:lang w:val="es-ES"/>
        </w:rPr>
        <w:t>Gardeazabal</w:t>
      </w:r>
      <w:proofErr w:type="spellEnd"/>
      <w:r w:rsidRPr="00C32B66">
        <w:rPr>
          <w:color w:val="000000"/>
          <w:lang w:val="es-ES"/>
        </w:rPr>
        <w:t>).</w:t>
      </w:r>
    </w:p>
    <w:p w:rsidR="005852B3" w:rsidRDefault="005852B3" w:rsidP="00546746">
      <w:pPr>
        <w:pStyle w:val="ListParagraph"/>
        <w:numPr>
          <w:ilvl w:val="1"/>
          <w:numId w:val="38"/>
        </w:numPr>
        <w:shd w:val="clear" w:color="auto" w:fill="FFFFFF"/>
        <w:spacing w:before="120" w:after="120"/>
        <w:ind w:left="900" w:hanging="540"/>
        <w:contextualSpacing w:val="0"/>
        <w:jc w:val="both"/>
        <w:rPr>
          <w:color w:val="000000"/>
          <w:lang w:val="es-ES"/>
        </w:rPr>
      </w:pPr>
      <w:r>
        <w:rPr>
          <w:color w:val="000000"/>
          <w:lang w:val="es-ES"/>
        </w:rPr>
        <w:t xml:space="preserve">El método recomienda que la unidad sintética debe ser seleccionada a partir de un grupo de unidades con características similares (clones), y que también presenten los síntomas de la unidad a ser tratada. Este grupo de unidades es denominado </w:t>
      </w:r>
      <w:r>
        <w:rPr>
          <w:b/>
          <w:i/>
          <w:color w:val="000000"/>
          <w:lang w:val="es-ES"/>
        </w:rPr>
        <w:t>el grupo de control</w:t>
      </w:r>
      <w:r w:rsidRPr="00726AD1">
        <w:rPr>
          <w:b/>
          <w:i/>
          <w:color w:val="000000"/>
          <w:lang w:val="es-ES"/>
        </w:rPr>
        <w:t xml:space="preserve"> o contra factual</w:t>
      </w:r>
      <w:r>
        <w:rPr>
          <w:color w:val="000000"/>
          <w:lang w:val="es-ES"/>
        </w:rPr>
        <w:t>.</w:t>
      </w:r>
    </w:p>
    <w:p w:rsidR="005852B3" w:rsidRDefault="005852B3" w:rsidP="00546746">
      <w:pPr>
        <w:pStyle w:val="ListParagraph"/>
        <w:numPr>
          <w:ilvl w:val="1"/>
          <w:numId w:val="38"/>
        </w:numPr>
        <w:shd w:val="clear" w:color="auto" w:fill="FFFFFF"/>
        <w:spacing w:before="120" w:after="120"/>
        <w:ind w:left="900" w:hanging="540"/>
        <w:contextualSpacing w:val="0"/>
        <w:jc w:val="both"/>
        <w:rPr>
          <w:color w:val="000000"/>
          <w:lang w:val="es-ES"/>
        </w:rPr>
      </w:pPr>
      <w:r>
        <w:rPr>
          <w:color w:val="000000"/>
          <w:lang w:val="es-ES"/>
        </w:rPr>
        <w:t xml:space="preserve">El síntoma del problema debe ser representado a través de un único indicador, denominado </w:t>
      </w:r>
      <w:r w:rsidRPr="00726AD1">
        <w:rPr>
          <w:b/>
          <w:i/>
          <w:color w:val="000000"/>
          <w:lang w:val="es-ES"/>
        </w:rPr>
        <w:t>variable de interés</w:t>
      </w:r>
      <w:r>
        <w:rPr>
          <w:color w:val="000000"/>
          <w:lang w:val="es-ES"/>
        </w:rPr>
        <w:t xml:space="preserve">, que debe ser el más similar posible con los síntomas de las unidades del grupo de control. Para la selección de las unidades del grupo de control, son especificadas las </w:t>
      </w:r>
      <w:r w:rsidRPr="00726AD1">
        <w:rPr>
          <w:b/>
          <w:i/>
          <w:color w:val="000000"/>
          <w:lang w:val="es-ES"/>
        </w:rPr>
        <w:t>variables de control</w:t>
      </w:r>
      <w:r>
        <w:rPr>
          <w:color w:val="000000"/>
          <w:lang w:val="es-ES"/>
        </w:rPr>
        <w:t xml:space="preserve">, las cuales son aquellas que pueden comprobar que la unidad tratada es realmente casi un clone de las unidades del grupo de control. Una de las características del grupo de </w:t>
      </w:r>
      <w:r>
        <w:rPr>
          <w:color w:val="000000"/>
          <w:lang w:val="es-ES"/>
        </w:rPr>
        <w:lastRenderedPageBreak/>
        <w:t>control es que no deberá contar con el mismo tratamiento de la unidad tratada hasta la evaluación final después del tratamiento.</w:t>
      </w:r>
    </w:p>
    <w:p w:rsidR="005852B3" w:rsidRPr="007261FC" w:rsidRDefault="005852B3" w:rsidP="00965C57">
      <w:pPr>
        <w:pStyle w:val="ListParagraph"/>
        <w:numPr>
          <w:ilvl w:val="0"/>
          <w:numId w:val="15"/>
        </w:numPr>
        <w:shd w:val="clear" w:color="auto" w:fill="FFFFFF"/>
        <w:spacing w:before="120" w:after="120"/>
        <w:contextualSpacing w:val="0"/>
        <w:jc w:val="both"/>
        <w:outlineLvl w:val="0"/>
        <w:rPr>
          <w:b/>
          <w:color w:val="000000"/>
          <w:lang w:val="es-ES"/>
        </w:rPr>
      </w:pPr>
      <w:r>
        <w:rPr>
          <w:b/>
          <w:color w:val="000000"/>
          <w:lang w:val="es-ES"/>
        </w:rPr>
        <w:t>Países del Pool de Donantes</w:t>
      </w:r>
    </w:p>
    <w:p w:rsidR="005852B3" w:rsidRDefault="005852B3" w:rsidP="00546746">
      <w:pPr>
        <w:pStyle w:val="ListParagraph"/>
        <w:numPr>
          <w:ilvl w:val="1"/>
          <w:numId w:val="38"/>
        </w:numPr>
        <w:shd w:val="clear" w:color="auto" w:fill="FFFFFF"/>
        <w:spacing w:before="120" w:after="120"/>
        <w:ind w:left="900" w:hanging="540"/>
        <w:contextualSpacing w:val="0"/>
        <w:jc w:val="both"/>
        <w:rPr>
          <w:color w:val="000000"/>
          <w:lang w:val="es-ES"/>
        </w:rPr>
      </w:pPr>
      <w:r>
        <w:rPr>
          <w:color w:val="000000"/>
          <w:lang w:val="es-ES"/>
        </w:rPr>
        <w:t xml:space="preserve">En el caso concreto </w:t>
      </w:r>
      <w:r w:rsidR="00546746">
        <w:rPr>
          <w:color w:val="000000"/>
          <w:lang w:val="es-ES"/>
        </w:rPr>
        <w:t>de esta</w:t>
      </w:r>
      <w:r>
        <w:rPr>
          <w:color w:val="000000"/>
          <w:lang w:val="es-ES"/>
        </w:rPr>
        <w:t xml:space="preserve"> evaluación, Panamá es la unidad de tratamiento, la variable de interés es la relación entre las exportaciones de bienes y servicios / PIB nacional. A partir de un grupo de 3</w:t>
      </w:r>
      <w:r w:rsidR="007D390F">
        <w:rPr>
          <w:color w:val="000000"/>
          <w:lang w:val="es-ES"/>
        </w:rPr>
        <w:t>1</w:t>
      </w:r>
      <w:r>
        <w:rPr>
          <w:color w:val="000000"/>
          <w:lang w:val="es-ES"/>
        </w:rPr>
        <w:t xml:space="preserve"> países </w:t>
      </w:r>
      <w:r w:rsidRPr="003E1F78">
        <w:rPr>
          <w:b/>
          <w:i/>
          <w:color w:val="000000"/>
          <w:lang w:val="es-ES"/>
        </w:rPr>
        <w:t>(pool de donantes),</w:t>
      </w:r>
      <w:r>
        <w:rPr>
          <w:color w:val="000000"/>
          <w:lang w:val="es-ES"/>
        </w:rPr>
        <w:t xml:space="preserve"> con 1</w:t>
      </w:r>
      <w:r w:rsidR="00296583">
        <w:rPr>
          <w:color w:val="000000"/>
          <w:lang w:val="es-ES"/>
        </w:rPr>
        <w:t>7</w:t>
      </w:r>
      <w:r>
        <w:rPr>
          <w:color w:val="000000"/>
          <w:lang w:val="es-ES"/>
        </w:rPr>
        <w:t xml:space="preserve"> variables de control, fue seleccionado un Panamá Sintético con 5 países del pool de donantes. El pool de donantes está detallado en el Cuadro I a continuación. Es importante mencionar que para la selección del pool de donantes fueron escogidos preferencialmente países que cuentan con un canal estratégico o que estén localizados en corredores marítimos uniendo océanos con grandes flujos de mercancías, así como algunos vecinos en la región.</w:t>
      </w:r>
    </w:p>
    <w:tbl>
      <w:tblPr>
        <w:tblStyle w:val="TableGrid"/>
        <w:tblW w:w="0" w:type="auto"/>
        <w:tblInd w:w="900" w:type="dxa"/>
        <w:tblLook w:val="04A0" w:firstRow="1" w:lastRow="0" w:firstColumn="1" w:lastColumn="0" w:noHBand="0" w:noVBand="1"/>
      </w:tblPr>
      <w:tblGrid>
        <w:gridCol w:w="2025"/>
        <w:gridCol w:w="1970"/>
        <w:gridCol w:w="1977"/>
        <w:gridCol w:w="1984"/>
      </w:tblGrid>
      <w:tr w:rsidR="005852B3" w:rsidRPr="00431177" w:rsidTr="007D390F">
        <w:trPr>
          <w:trHeight w:val="458"/>
        </w:trPr>
        <w:tc>
          <w:tcPr>
            <w:tcW w:w="7956"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5852B3" w:rsidRPr="00431177" w:rsidRDefault="005852B3" w:rsidP="001933FE">
            <w:pPr>
              <w:ind w:hanging="18"/>
              <w:jc w:val="center"/>
              <w:rPr>
                <w:rFonts w:eastAsia="Calibri"/>
                <w:b/>
                <w:sz w:val="20"/>
                <w:szCs w:val="20"/>
                <w:lang w:val="es-ES_tradnl"/>
              </w:rPr>
            </w:pPr>
            <w:r w:rsidRPr="00431177">
              <w:rPr>
                <w:rFonts w:eastAsia="Calibri"/>
                <w:b/>
                <w:sz w:val="20"/>
                <w:szCs w:val="20"/>
                <w:lang w:val="es-ES_tradnl"/>
              </w:rPr>
              <w:t>Cuadro I – Lista de Países del Pool de Donantes</w:t>
            </w:r>
          </w:p>
        </w:tc>
      </w:tr>
      <w:tr w:rsidR="007D390F" w:rsidRPr="00431177" w:rsidTr="001933FE">
        <w:tc>
          <w:tcPr>
            <w:tcW w:w="2169" w:type="dxa"/>
            <w:tcBorders>
              <w:top w:val="single" w:sz="4" w:space="0" w:color="auto"/>
              <w:left w:val="single" w:sz="4" w:space="0" w:color="auto"/>
              <w:bottom w:val="single" w:sz="4" w:space="0" w:color="auto"/>
              <w:right w:val="single" w:sz="4" w:space="0" w:color="auto"/>
            </w:tcBorders>
            <w:shd w:val="clear" w:color="auto" w:fill="auto"/>
            <w:hideMark/>
          </w:tcPr>
          <w:p w:rsidR="007D390F" w:rsidRPr="00431177" w:rsidRDefault="007D390F" w:rsidP="00965C57">
            <w:pPr>
              <w:pStyle w:val="ListParagraph"/>
              <w:numPr>
                <w:ilvl w:val="0"/>
                <w:numId w:val="16"/>
              </w:numPr>
              <w:jc w:val="both"/>
              <w:rPr>
                <w:rFonts w:eastAsia="Calibri"/>
                <w:sz w:val="20"/>
                <w:szCs w:val="20"/>
                <w:lang w:val="es-ES_tradnl"/>
              </w:rPr>
            </w:pPr>
            <w:r w:rsidRPr="00431177">
              <w:rPr>
                <w:rFonts w:eastAsia="Calibri"/>
                <w:sz w:val="20"/>
                <w:szCs w:val="20"/>
                <w:lang w:val="es-ES_tradnl"/>
              </w:rPr>
              <w:t>Panamá</w:t>
            </w:r>
          </w:p>
        </w:tc>
        <w:tc>
          <w:tcPr>
            <w:tcW w:w="2169" w:type="dxa"/>
            <w:tcBorders>
              <w:top w:val="single" w:sz="4" w:space="0" w:color="auto"/>
              <w:left w:val="single" w:sz="4" w:space="0" w:color="auto"/>
              <w:bottom w:val="single" w:sz="4" w:space="0" w:color="auto"/>
              <w:right w:val="single" w:sz="4" w:space="0" w:color="auto"/>
            </w:tcBorders>
            <w:shd w:val="clear" w:color="auto" w:fill="auto"/>
            <w:hideMark/>
          </w:tcPr>
          <w:p w:rsidR="007D390F" w:rsidRPr="00431177" w:rsidRDefault="007D390F" w:rsidP="007D390F">
            <w:pPr>
              <w:ind w:hanging="18"/>
              <w:jc w:val="both"/>
              <w:rPr>
                <w:rFonts w:eastAsia="Calibri"/>
                <w:sz w:val="20"/>
                <w:szCs w:val="20"/>
                <w:lang w:val="es-ES_tradnl"/>
              </w:rPr>
            </w:pPr>
            <w:r w:rsidRPr="00431177">
              <w:rPr>
                <w:rFonts w:eastAsia="Calibri"/>
                <w:sz w:val="20"/>
                <w:szCs w:val="20"/>
                <w:lang w:val="es-ES_tradnl"/>
              </w:rPr>
              <w:t>10. Vietnam</w:t>
            </w:r>
          </w:p>
        </w:tc>
        <w:tc>
          <w:tcPr>
            <w:tcW w:w="2169" w:type="dxa"/>
            <w:tcBorders>
              <w:top w:val="single" w:sz="4" w:space="0" w:color="auto"/>
              <w:left w:val="single" w:sz="4" w:space="0" w:color="auto"/>
              <w:bottom w:val="single" w:sz="4" w:space="0" w:color="auto"/>
              <w:right w:val="single" w:sz="4" w:space="0" w:color="auto"/>
            </w:tcBorders>
            <w:hideMark/>
          </w:tcPr>
          <w:p w:rsidR="007D390F" w:rsidRPr="00431177" w:rsidRDefault="007D390F" w:rsidP="007D390F">
            <w:pPr>
              <w:ind w:hanging="18"/>
              <w:jc w:val="both"/>
              <w:rPr>
                <w:rFonts w:eastAsia="Calibri"/>
                <w:sz w:val="20"/>
                <w:szCs w:val="20"/>
                <w:lang w:val="es-ES_tradnl"/>
              </w:rPr>
            </w:pPr>
            <w:r w:rsidRPr="00431177">
              <w:rPr>
                <w:rFonts w:eastAsia="Calibri"/>
                <w:sz w:val="20"/>
                <w:szCs w:val="20"/>
                <w:lang w:val="es-ES_tradnl"/>
              </w:rPr>
              <w:t>20. Holanda</w:t>
            </w:r>
          </w:p>
        </w:tc>
        <w:tc>
          <w:tcPr>
            <w:tcW w:w="2169" w:type="dxa"/>
            <w:tcBorders>
              <w:top w:val="single" w:sz="4" w:space="0" w:color="auto"/>
              <w:left w:val="single" w:sz="4" w:space="0" w:color="auto"/>
              <w:bottom w:val="single" w:sz="4" w:space="0" w:color="auto"/>
              <w:right w:val="single" w:sz="4" w:space="0" w:color="auto"/>
            </w:tcBorders>
            <w:hideMark/>
          </w:tcPr>
          <w:p w:rsidR="007D390F" w:rsidRPr="00431177" w:rsidRDefault="007D390F" w:rsidP="007D390F">
            <w:pPr>
              <w:ind w:hanging="18"/>
              <w:jc w:val="both"/>
              <w:rPr>
                <w:rFonts w:eastAsia="Calibri"/>
                <w:sz w:val="20"/>
                <w:szCs w:val="20"/>
                <w:lang w:val="es-ES_tradnl"/>
              </w:rPr>
            </w:pPr>
            <w:r w:rsidRPr="00431177">
              <w:rPr>
                <w:rFonts w:eastAsia="Calibri"/>
                <w:sz w:val="20"/>
                <w:szCs w:val="20"/>
                <w:lang w:val="es-ES_tradnl"/>
              </w:rPr>
              <w:t>29. Costa Rica</w:t>
            </w:r>
          </w:p>
        </w:tc>
      </w:tr>
      <w:tr w:rsidR="007D390F" w:rsidRPr="00431177" w:rsidTr="007D390F">
        <w:tc>
          <w:tcPr>
            <w:tcW w:w="2028" w:type="dxa"/>
            <w:tcBorders>
              <w:top w:val="single" w:sz="4" w:space="0" w:color="auto"/>
              <w:left w:val="single" w:sz="4" w:space="0" w:color="auto"/>
              <w:bottom w:val="single" w:sz="4" w:space="0" w:color="auto"/>
              <w:right w:val="single" w:sz="4" w:space="0" w:color="auto"/>
            </w:tcBorders>
            <w:shd w:val="clear" w:color="auto" w:fill="auto"/>
            <w:hideMark/>
          </w:tcPr>
          <w:p w:rsidR="007D390F" w:rsidRPr="00431177" w:rsidRDefault="007D390F" w:rsidP="00965C57">
            <w:pPr>
              <w:pStyle w:val="ListParagraph"/>
              <w:numPr>
                <w:ilvl w:val="0"/>
                <w:numId w:val="16"/>
              </w:numPr>
              <w:jc w:val="both"/>
              <w:rPr>
                <w:rFonts w:eastAsia="Calibri"/>
                <w:sz w:val="20"/>
                <w:szCs w:val="20"/>
                <w:lang w:val="es-ES_tradnl"/>
              </w:rPr>
            </w:pPr>
            <w:r w:rsidRPr="00431177">
              <w:rPr>
                <w:rFonts w:eastAsia="Calibri"/>
                <w:sz w:val="20"/>
                <w:szCs w:val="20"/>
                <w:lang w:val="es-ES_tradnl"/>
              </w:rPr>
              <w:t>Pakistán</w:t>
            </w: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7D390F" w:rsidRPr="00431177" w:rsidRDefault="007D390F" w:rsidP="007D390F">
            <w:pPr>
              <w:ind w:hanging="18"/>
              <w:jc w:val="both"/>
              <w:rPr>
                <w:rFonts w:eastAsia="Calibri"/>
                <w:sz w:val="20"/>
                <w:szCs w:val="20"/>
                <w:lang w:val="es-ES_tradnl"/>
              </w:rPr>
            </w:pPr>
            <w:r w:rsidRPr="00431177">
              <w:rPr>
                <w:rFonts w:eastAsia="Calibri"/>
                <w:sz w:val="20"/>
                <w:szCs w:val="20"/>
                <w:lang w:val="es-ES_tradnl"/>
              </w:rPr>
              <w:t>11. Malasia</w:t>
            </w:r>
          </w:p>
        </w:tc>
        <w:tc>
          <w:tcPr>
            <w:tcW w:w="1965" w:type="dxa"/>
            <w:tcBorders>
              <w:top w:val="single" w:sz="4" w:space="0" w:color="auto"/>
              <w:left w:val="single" w:sz="4" w:space="0" w:color="auto"/>
              <w:bottom w:val="single" w:sz="4" w:space="0" w:color="auto"/>
              <w:right w:val="single" w:sz="4" w:space="0" w:color="auto"/>
            </w:tcBorders>
          </w:tcPr>
          <w:p w:rsidR="007D390F" w:rsidRPr="00431177" w:rsidRDefault="007D390F" w:rsidP="007D390F">
            <w:pPr>
              <w:ind w:hanging="18"/>
              <w:jc w:val="both"/>
              <w:rPr>
                <w:rFonts w:eastAsia="Calibri"/>
                <w:sz w:val="20"/>
                <w:szCs w:val="20"/>
                <w:lang w:val="es-ES_tradnl"/>
              </w:rPr>
            </w:pPr>
            <w:r w:rsidRPr="00431177">
              <w:rPr>
                <w:rFonts w:eastAsia="Calibri"/>
                <w:sz w:val="20"/>
                <w:szCs w:val="20"/>
                <w:lang w:val="es-ES_tradnl"/>
              </w:rPr>
              <w:t>21. Israel</w:t>
            </w:r>
          </w:p>
        </w:tc>
        <w:tc>
          <w:tcPr>
            <w:tcW w:w="1989" w:type="dxa"/>
            <w:tcBorders>
              <w:top w:val="single" w:sz="4" w:space="0" w:color="auto"/>
              <w:left w:val="single" w:sz="4" w:space="0" w:color="auto"/>
              <w:bottom w:val="single" w:sz="4" w:space="0" w:color="auto"/>
              <w:right w:val="single" w:sz="4" w:space="0" w:color="auto"/>
            </w:tcBorders>
          </w:tcPr>
          <w:p w:rsidR="007D390F" w:rsidRPr="00431177" w:rsidRDefault="007D390F" w:rsidP="007D390F">
            <w:pPr>
              <w:tabs>
                <w:tab w:val="center" w:pos="967"/>
              </w:tabs>
              <w:ind w:hanging="18"/>
              <w:jc w:val="both"/>
              <w:rPr>
                <w:rFonts w:eastAsia="Calibri"/>
                <w:sz w:val="20"/>
                <w:szCs w:val="20"/>
                <w:lang w:val="es-ES_tradnl"/>
              </w:rPr>
            </w:pPr>
            <w:r w:rsidRPr="00431177">
              <w:rPr>
                <w:rFonts w:eastAsia="Calibri"/>
                <w:sz w:val="20"/>
                <w:szCs w:val="20"/>
                <w:lang w:val="es-ES_tradnl"/>
              </w:rPr>
              <w:t>30. Guatemala</w:t>
            </w:r>
          </w:p>
        </w:tc>
      </w:tr>
      <w:tr w:rsidR="007D390F" w:rsidRPr="00431177" w:rsidTr="007D390F">
        <w:tc>
          <w:tcPr>
            <w:tcW w:w="2028" w:type="dxa"/>
            <w:tcBorders>
              <w:top w:val="single" w:sz="4" w:space="0" w:color="auto"/>
              <w:left w:val="single" w:sz="4" w:space="0" w:color="auto"/>
              <w:bottom w:val="single" w:sz="4" w:space="0" w:color="auto"/>
              <w:right w:val="single" w:sz="4" w:space="0" w:color="auto"/>
            </w:tcBorders>
            <w:hideMark/>
          </w:tcPr>
          <w:p w:rsidR="007D390F" w:rsidRPr="00431177" w:rsidRDefault="007D390F" w:rsidP="00965C57">
            <w:pPr>
              <w:pStyle w:val="ListParagraph"/>
              <w:numPr>
                <w:ilvl w:val="0"/>
                <w:numId w:val="16"/>
              </w:numPr>
              <w:jc w:val="both"/>
              <w:rPr>
                <w:rFonts w:eastAsia="Calibri"/>
                <w:sz w:val="20"/>
                <w:szCs w:val="20"/>
                <w:lang w:val="es-ES_tradnl"/>
              </w:rPr>
            </w:pPr>
            <w:r w:rsidRPr="00431177">
              <w:rPr>
                <w:rFonts w:eastAsia="Calibri"/>
                <w:sz w:val="20"/>
                <w:szCs w:val="20"/>
                <w:lang w:val="es-ES_tradnl"/>
              </w:rPr>
              <w:t>Turquía</w:t>
            </w:r>
          </w:p>
        </w:tc>
        <w:tc>
          <w:tcPr>
            <w:tcW w:w="1974" w:type="dxa"/>
            <w:tcBorders>
              <w:top w:val="single" w:sz="4" w:space="0" w:color="auto"/>
              <w:left w:val="single" w:sz="4" w:space="0" w:color="auto"/>
              <w:bottom w:val="single" w:sz="4" w:space="0" w:color="auto"/>
              <w:right w:val="single" w:sz="4" w:space="0" w:color="auto"/>
            </w:tcBorders>
          </w:tcPr>
          <w:p w:rsidR="007D390F" w:rsidRPr="00431177" w:rsidRDefault="007D390F" w:rsidP="007D390F">
            <w:pPr>
              <w:ind w:hanging="18"/>
              <w:jc w:val="both"/>
              <w:rPr>
                <w:rFonts w:eastAsia="Calibri"/>
                <w:sz w:val="20"/>
                <w:szCs w:val="20"/>
                <w:lang w:val="es-ES_tradnl"/>
              </w:rPr>
            </w:pPr>
            <w:r w:rsidRPr="00431177">
              <w:rPr>
                <w:rFonts w:eastAsia="Calibri"/>
                <w:sz w:val="20"/>
                <w:szCs w:val="20"/>
                <w:lang w:val="es-ES_tradnl"/>
              </w:rPr>
              <w:t>13. Italia</w:t>
            </w:r>
          </w:p>
        </w:tc>
        <w:tc>
          <w:tcPr>
            <w:tcW w:w="1965" w:type="dxa"/>
            <w:tcBorders>
              <w:top w:val="single" w:sz="4" w:space="0" w:color="auto"/>
              <w:left w:val="single" w:sz="4" w:space="0" w:color="auto"/>
              <w:bottom w:val="single" w:sz="4" w:space="0" w:color="auto"/>
              <w:right w:val="single" w:sz="4" w:space="0" w:color="auto"/>
            </w:tcBorders>
          </w:tcPr>
          <w:p w:rsidR="007D390F" w:rsidRPr="00431177" w:rsidRDefault="007D390F" w:rsidP="007D390F">
            <w:pPr>
              <w:ind w:hanging="18"/>
              <w:jc w:val="both"/>
              <w:rPr>
                <w:rFonts w:eastAsia="Calibri"/>
                <w:sz w:val="20"/>
                <w:szCs w:val="20"/>
                <w:lang w:val="es-ES_tradnl"/>
              </w:rPr>
            </w:pPr>
            <w:r w:rsidRPr="00431177">
              <w:rPr>
                <w:rFonts w:eastAsia="Calibri"/>
                <w:sz w:val="20"/>
                <w:szCs w:val="20"/>
                <w:lang w:val="es-ES_tradnl"/>
              </w:rPr>
              <w:t>22. Bélgica</w:t>
            </w:r>
          </w:p>
        </w:tc>
        <w:tc>
          <w:tcPr>
            <w:tcW w:w="1989" w:type="dxa"/>
            <w:tcBorders>
              <w:top w:val="single" w:sz="4" w:space="0" w:color="auto"/>
              <w:left w:val="single" w:sz="4" w:space="0" w:color="auto"/>
              <w:bottom w:val="single" w:sz="4" w:space="0" w:color="auto"/>
              <w:right w:val="single" w:sz="4" w:space="0" w:color="auto"/>
            </w:tcBorders>
          </w:tcPr>
          <w:p w:rsidR="007D390F" w:rsidRPr="00431177" w:rsidRDefault="007D390F" w:rsidP="007D390F">
            <w:pPr>
              <w:ind w:hanging="18"/>
              <w:jc w:val="both"/>
              <w:rPr>
                <w:rFonts w:eastAsia="Calibri"/>
                <w:sz w:val="20"/>
                <w:szCs w:val="20"/>
                <w:lang w:val="es-ES_tradnl"/>
              </w:rPr>
            </w:pPr>
            <w:r w:rsidRPr="00431177">
              <w:rPr>
                <w:rFonts w:eastAsia="Calibri"/>
                <w:sz w:val="20"/>
                <w:szCs w:val="20"/>
                <w:lang w:val="es-ES_tradnl"/>
              </w:rPr>
              <w:t>31. El Salvador</w:t>
            </w:r>
          </w:p>
        </w:tc>
      </w:tr>
      <w:tr w:rsidR="007D390F" w:rsidRPr="00431177" w:rsidTr="007D390F">
        <w:tc>
          <w:tcPr>
            <w:tcW w:w="2028" w:type="dxa"/>
            <w:tcBorders>
              <w:top w:val="single" w:sz="4" w:space="0" w:color="auto"/>
              <w:left w:val="single" w:sz="4" w:space="0" w:color="auto"/>
              <w:bottom w:val="single" w:sz="4" w:space="0" w:color="auto"/>
              <w:right w:val="single" w:sz="4" w:space="0" w:color="auto"/>
            </w:tcBorders>
            <w:hideMark/>
          </w:tcPr>
          <w:p w:rsidR="007D390F" w:rsidRPr="00431177" w:rsidRDefault="007D390F" w:rsidP="00965C57">
            <w:pPr>
              <w:pStyle w:val="ListParagraph"/>
              <w:numPr>
                <w:ilvl w:val="0"/>
                <w:numId w:val="16"/>
              </w:numPr>
              <w:jc w:val="both"/>
              <w:rPr>
                <w:rFonts w:eastAsia="Calibri"/>
                <w:sz w:val="20"/>
                <w:szCs w:val="20"/>
                <w:lang w:val="es-ES_tradnl"/>
              </w:rPr>
            </w:pPr>
            <w:r w:rsidRPr="00431177">
              <w:rPr>
                <w:rFonts w:eastAsia="Calibri"/>
                <w:sz w:val="20"/>
                <w:szCs w:val="20"/>
                <w:lang w:val="es-ES_tradnl"/>
              </w:rPr>
              <w:t>Francia</w:t>
            </w:r>
          </w:p>
        </w:tc>
        <w:tc>
          <w:tcPr>
            <w:tcW w:w="1974" w:type="dxa"/>
            <w:tcBorders>
              <w:top w:val="single" w:sz="4" w:space="0" w:color="auto"/>
              <w:left w:val="single" w:sz="4" w:space="0" w:color="auto"/>
              <w:bottom w:val="single" w:sz="4" w:space="0" w:color="auto"/>
              <w:right w:val="single" w:sz="4" w:space="0" w:color="auto"/>
            </w:tcBorders>
          </w:tcPr>
          <w:p w:rsidR="007D390F" w:rsidRPr="00431177" w:rsidRDefault="007D390F" w:rsidP="007D390F">
            <w:pPr>
              <w:ind w:hanging="18"/>
              <w:jc w:val="both"/>
              <w:rPr>
                <w:rFonts w:eastAsia="Calibri"/>
                <w:sz w:val="20"/>
                <w:szCs w:val="20"/>
                <w:lang w:val="es-ES_tradnl"/>
              </w:rPr>
            </w:pPr>
            <w:r w:rsidRPr="00431177">
              <w:rPr>
                <w:rFonts w:eastAsia="Calibri"/>
                <w:sz w:val="20"/>
                <w:szCs w:val="20"/>
                <w:lang w:val="es-ES_tradnl"/>
              </w:rPr>
              <w:t>14. Filipinas</w:t>
            </w:r>
          </w:p>
        </w:tc>
        <w:tc>
          <w:tcPr>
            <w:tcW w:w="1965" w:type="dxa"/>
            <w:tcBorders>
              <w:top w:val="single" w:sz="4" w:space="0" w:color="auto"/>
              <w:left w:val="single" w:sz="4" w:space="0" w:color="auto"/>
              <w:bottom w:val="single" w:sz="4" w:space="0" w:color="auto"/>
              <w:right w:val="single" w:sz="4" w:space="0" w:color="auto"/>
            </w:tcBorders>
          </w:tcPr>
          <w:p w:rsidR="007D390F" w:rsidRPr="00431177" w:rsidRDefault="007D390F" w:rsidP="007D390F">
            <w:pPr>
              <w:ind w:hanging="18"/>
              <w:jc w:val="both"/>
              <w:rPr>
                <w:rFonts w:eastAsia="Calibri"/>
                <w:sz w:val="20"/>
                <w:szCs w:val="20"/>
                <w:lang w:val="es-ES_tradnl"/>
              </w:rPr>
            </w:pPr>
            <w:r w:rsidRPr="00431177">
              <w:rPr>
                <w:rFonts w:eastAsia="Calibri"/>
                <w:sz w:val="20"/>
                <w:szCs w:val="20"/>
                <w:lang w:val="es-ES_tradnl"/>
              </w:rPr>
              <w:t>23. Jamaica</w:t>
            </w:r>
          </w:p>
        </w:tc>
        <w:tc>
          <w:tcPr>
            <w:tcW w:w="1989" w:type="dxa"/>
            <w:tcBorders>
              <w:top w:val="single" w:sz="4" w:space="0" w:color="auto"/>
              <w:left w:val="single" w:sz="4" w:space="0" w:color="auto"/>
              <w:bottom w:val="single" w:sz="4" w:space="0" w:color="auto"/>
              <w:right w:val="single" w:sz="4" w:space="0" w:color="auto"/>
            </w:tcBorders>
          </w:tcPr>
          <w:p w:rsidR="007D390F" w:rsidRPr="00431177" w:rsidRDefault="007D390F" w:rsidP="007D390F">
            <w:pPr>
              <w:ind w:hanging="18"/>
              <w:jc w:val="both"/>
              <w:rPr>
                <w:rFonts w:eastAsia="Calibri"/>
                <w:sz w:val="20"/>
                <w:szCs w:val="20"/>
                <w:lang w:val="es-ES_tradnl"/>
              </w:rPr>
            </w:pPr>
          </w:p>
        </w:tc>
      </w:tr>
      <w:tr w:rsidR="007D390F" w:rsidRPr="00431177" w:rsidTr="007D390F">
        <w:tc>
          <w:tcPr>
            <w:tcW w:w="2028" w:type="dxa"/>
            <w:tcBorders>
              <w:top w:val="single" w:sz="4" w:space="0" w:color="auto"/>
              <w:left w:val="single" w:sz="4" w:space="0" w:color="auto"/>
              <w:bottom w:val="single" w:sz="4" w:space="0" w:color="auto"/>
              <w:right w:val="single" w:sz="4" w:space="0" w:color="auto"/>
            </w:tcBorders>
          </w:tcPr>
          <w:p w:rsidR="007D390F" w:rsidRPr="00431177" w:rsidRDefault="007D390F" w:rsidP="00965C57">
            <w:pPr>
              <w:pStyle w:val="ListParagraph"/>
              <w:numPr>
                <w:ilvl w:val="0"/>
                <w:numId w:val="16"/>
              </w:numPr>
              <w:jc w:val="both"/>
              <w:rPr>
                <w:rFonts w:eastAsia="Calibri"/>
                <w:sz w:val="20"/>
                <w:szCs w:val="20"/>
                <w:lang w:val="es-ES_tradnl"/>
              </w:rPr>
            </w:pPr>
            <w:r w:rsidRPr="00431177">
              <w:rPr>
                <w:rFonts w:eastAsia="Calibri"/>
                <w:sz w:val="20"/>
                <w:szCs w:val="20"/>
                <w:lang w:val="es-ES_tradnl"/>
              </w:rPr>
              <w:t>Tailandia</w:t>
            </w:r>
          </w:p>
        </w:tc>
        <w:tc>
          <w:tcPr>
            <w:tcW w:w="1974" w:type="dxa"/>
            <w:tcBorders>
              <w:top w:val="single" w:sz="4" w:space="0" w:color="auto"/>
              <w:left w:val="single" w:sz="4" w:space="0" w:color="auto"/>
              <w:bottom w:val="single" w:sz="4" w:space="0" w:color="auto"/>
              <w:right w:val="single" w:sz="4" w:space="0" w:color="auto"/>
            </w:tcBorders>
          </w:tcPr>
          <w:p w:rsidR="007D390F" w:rsidRPr="00431177" w:rsidRDefault="007D390F" w:rsidP="007D390F">
            <w:pPr>
              <w:ind w:hanging="18"/>
              <w:jc w:val="both"/>
              <w:rPr>
                <w:rFonts w:eastAsia="Calibri"/>
                <w:sz w:val="20"/>
                <w:szCs w:val="20"/>
                <w:lang w:val="es-ES_tradnl"/>
              </w:rPr>
            </w:pPr>
            <w:r w:rsidRPr="00431177">
              <w:rPr>
                <w:rFonts w:eastAsia="Calibri"/>
                <w:sz w:val="20"/>
                <w:szCs w:val="20"/>
                <w:lang w:val="es-ES_tradnl"/>
              </w:rPr>
              <w:t>15. Nova Zelandia</w:t>
            </w:r>
          </w:p>
        </w:tc>
        <w:tc>
          <w:tcPr>
            <w:tcW w:w="1965" w:type="dxa"/>
            <w:tcBorders>
              <w:top w:val="single" w:sz="4" w:space="0" w:color="auto"/>
              <w:left w:val="single" w:sz="4" w:space="0" w:color="auto"/>
              <w:bottom w:val="single" w:sz="4" w:space="0" w:color="auto"/>
              <w:right w:val="single" w:sz="4" w:space="0" w:color="auto"/>
            </w:tcBorders>
          </w:tcPr>
          <w:p w:rsidR="007D390F" w:rsidRPr="00431177" w:rsidRDefault="007D390F" w:rsidP="007D390F">
            <w:pPr>
              <w:ind w:hanging="18"/>
              <w:jc w:val="both"/>
              <w:rPr>
                <w:rFonts w:eastAsia="Calibri"/>
                <w:sz w:val="20"/>
                <w:szCs w:val="20"/>
                <w:lang w:val="es-ES_tradnl"/>
              </w:rPr>
            </w:pPr>
            <w:r w:rsidRPr="00431177">
              <w:rPr>
                <w:rFonts w:eastAsia="Calibri"/>
                <w:sz w:val="20"/>
                <w:szCs w:val="20"/>
                <w:lang w:val="es-ES_tradnl"/>
              </w:rPr>
              <w:t>24. Hong Kong</w:t>
            </w:r>
          </w:p>
        </w:tc>
        <w:tc>
          <w:tcPr>
            <w:tcW w:w="1989" w:type="dxa"/>
            <w:tcBorders>
              <w:top w:val="single" w:sz="4" w:space="0" w:color="auto"/>
              <w:left w:val="single" w:sz="4" w:space="0" w:color="auto"/>
              <w:bottom w:val="single" w:sz="4" w:space="0" w:color="auto"/>
              <w:right w:val="single" w:sz="4" w:space="0" w:color="auto"/>
            </w:tcBorders>
          </w:tcPr>
          <w:p w:rsidR="007D390F" w:rsidRPr="00431177" w:rsidRDefault="007D390F" w:rsidP="007D390F">
            <w:pPr>
              <w:ind w:hanging="18"/>
              <w:jc w:val="both"/>
              <w:rPr>
                <w:rFonts w:eastAsia="Calibri"/>
                <w:sz w:val="20"/>
                <w:szCs w:val="20"/>
                <w:lang w:val="es-ES_tradnl"/>
              </w:rPr>
            </w:pPr>
          </w:p>
        </w:tc>
      </w:tr>
      <w:tr w:rsidR="007D390F" w:rsidRPr="00431177" w:rsidTr="007D390F">
        <w:tc>
          <w:tcPr>
            <w:tcW w:w="2028" w:type="dxa"/>
            <w:tcBorders>
              <w:top w:val="single" w:sz="4" w:space="0" w:color="auto"/>
              <w:left w:val="single" w:sz="4" w:space="0" w:color="auto"/>
              <w:bottom w:val="single" w:sz="4" w:space="0" w:color="auto"/>
              <w:right w:val="single" w:sz="4" w:space="0" w:color="auto"/>
            </w:tcBorders>
          </w:tcPr>
          <w:p w:rsidR="007D390F" w:rsidRPr="00431177" w:rsidRDefault="007D390F" w:rsidP="00965C57">
            <w:pPr>
              <w:pStyle w:val="ListParagraph"/>
              <w:numPr>
                <w:ilvl w:val="0"/>
                <w:numId w:val="16"/>
              </w:numPr>
              <w:jc w:val="both"/>
              <w:rPr>
                <w:rFonts w:eastAsia="Calibri"/>
                <w:sz w:val="20"/>
                <w:szCs w:val="20"/>
                <w:lang w:val="es-ES_tradnl"/>
              </w:rPr>
            </w:pPr>
            <w:r w:rsidRPr="00431177">
              <w:rPr>
                <w:rFonts w:eastAsia="Calibri"/>
                <w:sz w:val="20"/>
                <w:szCs w:val="20"/>
                <w:lang w:val="es-ES_tradnl"/>
              </w:rPr>
              <w:t>España</w:t>
            </w:r>
          </w:p>
        </w:tc>
        <w:tc>
          <w:tcPr>
            <w:tcW w:w="1974" w:type="dxa"/>
            <w:tcBorders>
              <w:top w:val="single" w:sz="4" w:space="0" w:color="auto"/>
              <w:left w:val="single" w:sz="4" w:space="0" w:color="auto"/>
              <w:bottom w:val="single" w:sz="4" w:space="0" w:color="auto"/>
              <w:right w:val="single" w:sz="4" w:space="0" w:color="auto"/>
            </w:tcBorders>
          </w:tcPr>
          <w:p w:rsidR="007D390F" w:rsidRPr="00431177" w:rsidRDefault="007D390F" w:rsidP="007D390F">
            <w:pPr>
              <w:ind w:hanging="18"/>
              <w:jc w:val="both"/>
              <w:rPr>
                <w:rFonts w:eastAsia="Calibri"/>
                <w:sz w:val="20"/>
                <w:szCs w:val="20"/>
                <w:lang w:val="es-ES_tradnl"/>
              </w:rPr>
            </w:pPr>
            <w:r w:rsidRPr="00431177">
              <w:rPr>
                <w:rFonts w:eastAsia="Calibri"/>
                <w:sz w:val="20"/>
                <w:szCs w:val="20"/>
                <w:lang w:val="es-ES_tradnl"/>
              </w:rPr>
              <w:t>16. Inglaterra</w:t>
            </w:r>
          </w:p>
        </w:tc>
        <w:tc>
          <w:tcPr>
            <w:tcW w:w="1965" w:type="dxa"/>
            <w:tcBorders>
              <w:top w:val="single" w:sz="4" w:space="0" w:color="auto"/>
              <w:left w:val="single" w:sz="4" w:space="0" w:color="auto"/>
              <w:bottom w:val="single" w:sz="4" w:space="0" w:color="auto"/>
              <w:right w:val="single" w:sz="4" w:space="0" w:color="auto"/>
            </w:tcBorders>
          </w:tcPr>
          <w:p w:rsidR="007D390F" w:rsidRPr="00431177" w:rsidRDefault="007D390F" w:rsidP="007D390F">
            <w:pPr>
              <w:ind w:hanging="18"/>
              <w:jc w:val="both"/>
              <w:rPr>
                <w:rFonts w:eastAsia="Calibri"/>
                <w:sz w:val="20"/>
                <w:szCs w:val="20"/>
                <w:lang w:val="es-ES_tradnl"/>
              </w:rPr>
            </w:pPr>
            <w:r w:rsidRPr="00431177">
              <w:rPr>
                <w:rFonts w:eastAsia="Calibri"/>
                <w:sz w:val="20"/>
                <w:szCs w:val="20"/>
                <w:lang w:val="es-ES_tradnl"/>
              </w:rPr>
              <w:t>25. Singapur</w:t>
            </w:r>
          </w:p>
        </w:tc>
        <w:tc>
          <w:tcPr>
            <w:tcW w:w="1989" w:type="dxa"/>
            <w:tcBorders>
              <w:top w:val="single" w:sz="4" w:space="0" w:color="auto"/>
              <w:left w:val="single" w:sz="4" w:space="0" w:color="auto"/>
              <w:bottom w:val="single" w:sz="4" w:space="0" w:color="auto"/>
              <w:right w:val="single" w:sz="4" w:space="0" w:color="auto"/>
            </w:tcBorders>
          </w:tcPr>
          <w:p w:rsidR="007D390F" w:rsidRPr="00431177" w:rsidRDefault="007D390F" w:rsidP="007D390F">
            <w:pPr>
              <w:ind w:hanging="18"/>
              <w:jc w:val="both"/>
              <w:rPr>
                <w:rFonts w:eastAsia="Calibri"/>
                <w:sz w:val="20"/>
                <w:szCs w:val="20"/>
                <w:lang w:val="es-ES_tradnl"/>
              </w:rPr>
            </w:pPr>
          </w:p>
        </w:tc>
      </w:tr>
      <w:tr w:rsidR="007D390F" w:rsidRPr="00431177" w:rsidTr="007D390F">
        <w:tc>
          <w:tcPr>
            <w:tcW w:w="2028" w:type="dxa"/>
            <w:tcBorders>
              <w:top w:val="single" w:sz="4" w:space="0" w:color="auto"/>
              <w:left w:val="single" w:sz="4" w:space="0" w:color="auto"/>
              <w:bottom w:val="single" w:sz="4" w:space="0" w:color="auto"/>
              <w:right w:val="single" w:sz="4" w:space="0" w:color="auto"/>
            </w:tcBorders>
          </w:tcPr>
          <w:p w:rsidR="007D390F" w:rsidRPr="00431177" w:rsidRDefault="007D390F" w:rsidP="00965C57">
            <w:pPr>
              <w:pStyle w:val="ListParagraph"/>
              <w:numPr>
                <w:ilvl w:val="0"/>
                <w:numId w:val="16"/>
              </w:numPr>
              <w:jc w:val="both"/>
              <w:rPr>
                <w:rFonts w:eastAsia="Calibri"/>
                <w:sz w:val="20"/>
                <w:szCs w:val="20"/>
                <w:lang w:val="es-ES_tradnl"/>
              </w:rPr>
            </w:pPr>
            <w:r w:rsidRPr="00431177">
              <w:rPr>
                <w:rFonts w:eastAsia="Calibri"/>
                <w:sz w:val="20"/>
                <w:szCs w:val="20"/>
                <w:lang w:val="es-ES_tradnl"/>
              </w:rPr>
              <w:t>Marrocos</w:t>
            </w:r>
          </w:p>
        </w:tc>
        <w:tc>
          <w:tcPr>
            <w:tcW w:w="1974" w:type="dxa"/>
            <w:tcBorders>
              <w:top w:val="single" w:sz="4" w:space="0" w:color="auto"/>
              <w:left w:val="single" w:sz="4" w:space="0" w:color="auto"/>
              <w:bottom w:val="single" w:sz="4" w:space="0" w:color="auto"/>
              <w:right w:val="single" w:sz="4" w:space="0" w:color="auto"/>
            </w:tcBorders>
          </w:tcPr>
          <w:p w:rsidR="007D390F" w:rsidRPr="00431177" w:rsidRDefault="007D390F" w:rsidP="007D390F">
            <w:pPr>
              <w:ind w:hanging="18"/>
              <w:jc w:val="both"/>
              <w:rPr>
                <w:rFonts w:eastAsia="Calibri"/>
                <w:sz w:val="20"/>
                <w:szCs w:val="20"/>
                <w:lang w:val="es-ES_tradnl"/>
              </w:rPr>
            </w:pPr>
            <w:r w:rsidRPr="00431177">
              <w:rPr>
                <w:rFonts w:eastAsia="Calibri"/>
                <w:sz w:val="20"/>
                <w:szCs w:val="20"/>
                <w:lang w:val="es-ES_tradnl"/>
              </w:rPr>
              <w:t>17. Grecia</w:t>
            </w:r>
          </w:p>
        </w:tc>
        <w:tc>
          <w:tcPr>
            <w:tcW w:w="1965" w:type="dxa"/>
            <w:tcBorders>
              <w:top w:val="single" w:sz="4" w:space="0" w:color="auto"/>
              <w:left w:val="single" w:sz="4" w:space="0" w:color="auto"/>
              <w:bottom w:val="single" w:sz="4" w:space="0" w:color="auto"/>
              <w:right w:val="single" w:sz="4" w:space="0" w:color="auto"/>
            </w:tcBorders>
          </w:tcPr>
          <w:p w:rsidR="007D390F" w:rsidRPr="00431177" w:rsidRDefault="007D390F" w:rsidP="007D390F">
            <w:pPr>
              <w:ind w:hanging="18"/>
              <w:jc w:val="both"/>
              <w:rPr>
                <w:rFonts w:eastAsia="Calibri"/>
                <w:sz w:val="20"/>
                <w:szCs w:val="20"/>
                <w:lang w:val="es-ES_tradnl"/>
              </w:rPr>
            </w:pPr>
            <w:r w:rsidRPr="00431177">
              <w:rPr>
                <w:rFonts w:eastAsia="Calibri"/>
                <w:sz w:val="20"/>
                <w:szCs w:val="20"/>
                <w:lang w:val="es-ES_tradnl"/>
              </w:rPr>
              <w:t>26. Malta</w:t>
            </w:r>
          </w:p>
        </w:tc>
        <w:tc>
          <w:tcPr>
            <w:tcW w:w="1989" w:type="dxa"/>
            <w:tcBorders>
              <w:top w:val="single" w:sz="4" w:space="0" w:color="auto"/>
              <w:left w:val="single" w:sz="4" w:space="0" w:color="auto"/>
              <w:bottom w:val="single" w:sz="4" w:space="0" w:color="auto"/>
              <w:right w:val="single" w:sz="4" w:space="0" w:color="auto"/>
            </w:tcBorders>
          </w:tcPr>
          <w:p w:rsidR="007D390F" w:rsidRPr="00431177" w:rsidRDefault="007D390F" w:rsidP="007D390F">
            <w:pPr>
              <w:ind w:hanging="18"/>
              <w:jc w:val="both"/>
              <w:rPr>
                <w:rFonts w:eastAsia="Calibri"/>
                <w:sz w:val="20"/>
                <w:szCs w:val="20"/>
                <w:lang w:val="es-ES_tradnl"/>
              </w:rPr>
            </w:pPr>
          </w:p>
        </w:tc>
      </w:tr>
      <w:tr w:rsidR="007D390F" w:rsidRPr="00431177" w:rsidTr="007D390F">
        <w:tc>
          <w:tcPr>
            <w:tcW w:w="2028" w:type="dxa"/>
            <w:tcBorders>
              <w:top w:val="single" w:sz="4" w:space="0" w:color="auto"/>
              <w:left w:val="single" w:sz="4" w:space="0" w:color="auto"/>
              <w:bottom w:val="single" w:sz="4" w:space="0" w:color="auto"/>
              <w:right w:val="single" w:sz="4" w:space="0" w:color="auto"/>
            </w:tcBorders>
          </w:tcPr>
          <w:p w:rsidR="007D390F" w:rsidRPr="00431177" w:rsidRDefault="007D390F" w:rsidP="00965C57">
            <w:pPr>
              <w:pStyle w:val="ListParagraph"/>
              <w:numPr>
                <w:ilvl w:val="0"/>
                <w:numId w:val="16"/>
              </w:numPr>
              <w:jc w:val="both"/>
              <w:rPr>
                <w:rFonts w:eastAsia="Calibri"/>
                <w:sz w:val="20"/>
                <w:szCs w:val="20"/>
                <w:lang w:val="es-ES_tradnl"/>
              </w:rPr>
            </w:pPr>
            <w:r w:rsidRPr="00431177">
              <w:rPr>
                <w:rFonts w:eastAsia="Calibri"/>
                <w:sz w:val="20"/>
                <w:szCs w:val="20"/>
                <w:lang w:val="es-ES_tradnl"/>
              </w:rPr>
              <w:t>Japón</w:t>
            </w:r>
          </w:p>
        </w:tc>
        <w:tc>
          <w:tcPr>
            <w:tcW w:w="1974" w:type="dxa"/>
            <w:tcBorders>
              <w:top w:val="single" w:sz="4" w:space="0" w:color="auto"/>
              <w:left w:val="single" w:sz="4" w:space="0" w:color="auto"/>
              <w:bottom w:val="single" w:sz="4" w:space="0" w:color="auto"/>
              <w:right w:val="single" w:sz="4" w:space="0" w:color="auto"/>
            </w:tcBorders>
          </w:tcPr>
          <w:p w:rsidR="007D390F" w:rsidRPr="00431177" w:rsidRDefault="007D390F" w:rsidP="007D390F">
            <w:pPr>
              <w:ind w:hanging="18"/>
              <w:jc w:val="both"/>
              <w:rPr>
                <w:rFonts w:eastAsia="Calibri"/>
                <w:sz w:val="20"/>
                <w:szCs w:val="20"/>
                <w:lang w:val="es-ES_tradnl"/>
              </w:rPr>
            </w:pPr>
            <w:r w:rsidRPr="00431177">
              <w:rPr>
                <w:rFonts w:eastAsia="Calibri"/>
                <w:sz w:val="20"/>
                <w:szCs w:val="20"/>
                <w:lang w:val="es-ES_tradnl"/>
              </w:rPr>
              <w:t>18. Corea del Sur</w:t>
            </w:r>
          </w:p>
        </w:tc>
        <w:tc>
          <w:tcPr>
            <w:tcW w:w="1965" w:type="dxa"/>
            <w:tcBorders>
              <w:top w:val="single" w:sz="4" w:space="0" w:color="auto"/>
              <w:left w:val="single" w:sz="4" w:space="0" w:color="auto"/>
              <w:bottom w:val="single" w:sz="4" w:space="0" w:color="auto"/>
              <w:right w:val="single" w:sz="4" w:space="0" w:color="auto"/>
            </w:tcBorders>
          </w:tcPr>
          <w:p w:rsidR="007D390F" w:rsidRPr="00431177" w:rsidRDefault="007D390F" w:rsidP="007D390F">
            <w:pPr>
              <w:ind w:hanging="18"/>
              <w:jc w:val="both"/>
              <w:rPr>
                <w:rFonts w:eastAsia="Calibri"/>
                <w:sz w:val="20"/>
                <w:szCs w:val="20"/>
                <w:lang w:val="es-ES_tradnl"/>
              </w:rPr>
            </w:pPr>
            <w:r w:rsidRPr="00431177">
              <w:rPr>
                <w:rFonts w:eastAsia="Calibri"/>
                <w:sz w:val="20"/>
                <w:szCs w:val="20"/>
                <w:lang w:val="es-ES_tradnl"/>
              </w:rPr>
              <w:t>27. Nicaragua</w:t>
            </w:r>
          </w:p>
        </w:tc>
        <w:tc>
          <w:tcPr>
            <w:tcW w:w="1989" w:type="dxa"/>
            <w:tcBorders>
              <w:top w:val="single" w:sz="4" w:space="0" w:color="auto"/>
              <w:left w:val="single" w:sz="4" w:space="0" w:color="auto"/>
              <w:bottom w:val="single" w:sz="4" w:space="0" w:color="auto"/>
              <w:right w:val="single" w:sz="4" w:space="0" w:color="auto"/>
            </w:tcBorders>
          </w:tcPr>
          <w:p w:rsidR="007D390F" w:rsidRPr="00431177" w:rsidRDefault="007D390F" w:rsidP="007D390F">
            <w:pPr>
              <w:ind w:hanging="18"/>
              <w:jc w:val="both"/>
              <w:rPr>
                <w:rFonts w:eastAsia="Calibri"/>
                <w:sz w:val="20"/>
                <w:szCs w:val="20"/>
                <w:lang w:val="es-ES_tradnl"/>
              </w:rPr>
            </w:pPr>
          </w:p>
        </w:tc>
      </w:tr>
      <w:tr w:rsidR="007D390F" w:rsidRPr="00431177" w:rsidTr="007D390F">
        <w:trPr>
          <w:trHeight w:val="55"/>
        </w:trPr>
        <w:tc>
          <w:tcPr>
            <w:tcW w:w="2028" w:type="dxa"/>
            <w:tcBorders>
              <w:top w:val="single" w:sz="4" w:space="0" w:color="auto"/>
              <w:left w:val="single" w:sz="4" w:space="0" w:color="auto"/>
              <w:bottom w:val="single" w:sz="4" w:space="0" w:color="auto"/>
              <w:right w:val="single" w:sz="4" w:space="0" w:color="auto"/>
            </w:tcBorders>
          </w:tcPr>
          <w:p w:rsidR="007D390F" w:rsidRPr="00431177" w:rsidRDefault="007D390F" w:rsidP="00965C57">
            <w:pPr>
              <w:pStyle w:val="ListParagraph"/>
              <w:numPr>
                <w:ilvl w:val="0"/>
                <w:numId w:val="16"/>
              </w:numPr>
              <w:jc w:val="both"/>
              <w:rPr>
                <w:rFonts w:eastAsia="Calibri"/>
                <w:sz w:val="20"/>
                <w:szCs w:val="20"/>
                <w:lang w:val="es-ES_tradnl"/>
              </w:rPr>
            </w:pPr>
            <w:r w:rsidRPr="00431177">
              <w:rPr>
                <w:rFonts w:eastAsia="Calibri"/>
                <w:sz w:val="20"/>
                <w:szCs w:val="20"/>
                <w:lang w:val="es-ES_tradnl"/>
              </w:rPr>
              <w:t>Alemana</w:t>
            </w:r>
          </w:p>
        </w:tc>
        <w:tc>
          <w:tcPr>
            <w:tcW w:w="1974" w:type="dxa"/>
            <w:tcBorders>
              <w:top w:val="single" w:sz="4" w:space="0" w:color="auto"/>
              <w:left w:val="single" w:sz="4" w:space="0" w:color="auto"/>
              <w:bottom w:val="single" w:sz="4" w:space="0" w:color="auto"/>
              <w:right w:val="single" w:sz="4" w:space="0" w:color="auto"/>
            </w:tcBorders>
          </w:tcPr>
          <w:p w:rsidR="007D390F" w:rsidRPr="00431177" w:rsidRDefault="007D390F" w:rsidP="007D390F">
            <w:pPr>
              <w:ind w:hanging="18"/>
              <w:jc w:val="both"/>
              <w:rPr>
                <w:rFonts w:eastAsia="Calibri"/>
                <w:sz w:val="20"/>
                <w:szCs w:val="20"/>
                <w:lang w:val="es-ES_tradnl"/>
              </w:rPr>
            </w:pPr>
            <w:r w:rsidRPr="00431177">
              <w:rPr>
                <w:rFonts w:eastAsia="Calibri"/>
                <w:sz w:val="20"/>
                <w:szCs w:val="20"/>
                <w:lang w:val="es-ES_tradnl"/>
              </w:rPr>
              <w:t>19. Portugal</w:t>
            </w:r>
          </w:p>
        </w:tc>
        <w:tc>
          <w:tcPr>
            <w:tcW w:w="1965" w:type="dxa"/>
            <w:tcBorders>
              <w:top w:val="single" w:sz="4" w:space="0" w:color="auto"/>
              <w:left w:val="single" w:sz="4" w:space="0" w:color="auto"/>
              <w:bottom w:val="single" w:sz="4" w:space="0" w:color="auto"/>
              <w:right w:val="single" w:sz="4" w:space="0" w:color="auto"/>
            </w:tcBorders>
          </w:tcPr>
          <w:p w:rsidR="007D390F" w:rsidRPr="00431177" w:rsidRDefault="007D390F" w:rsidP="007D390F">
            <w:pPr>
              <w:ind w:hanging="18"/>
              <w:jc w:val="both"/>
              <w:rPr>
                <w:rFonts w:eastAsia="Calibri"/>
                <w:sz w:val="20"/>
                <w:szCs w:val="20"/>
                <w:lang w:val="es-ES_tradnl"/>
              </w:rPr>
            </w:pPr>
            <w:r w:rsidRPr="00431177">
              <w:rPr>
                <w:rFonts w:eastAsia="Calibri"/>
                <w:sz w:val="20"/>
                <w:szCs w:val="20"/>
                <w:lang w:val="es-ES_tradnl"/>
              </w:rPr>
              <w:t>28. Egipto</w:t>
            </w:r>
          </w:p>
        </w:tc>
        <w:tc>
          <w:tcPr>
            <w:tcW w:w="1989" w:type="dxa"/>
            <w:tcBorders>
              <w:top w:val="single" w:sz="4" w:space="0" w:color="auto"/>
              <w:left w:val="single" w:sz="4" w:space="0" w:color="auto"/>
              <w:bottom w:val="single" w:sz="4" w:space="0" w:color="auto"/>
              <w:right w:val="single" w:sz="4" w:space="0" w:color="auto"/>
            </w:tcBorders>
          </w:tcPr>
          <w:p w:rsidR="007D390F" w:rsidRPr="00431177" w:rsidRDefault="007D390F" w:rsidP="007D390F">
            <w:pPr>
              <w:ind w:hanging="18"/>
              <w:jc w:val="both"/>
              <w:rPr>
                <w:rFonts w:eastAsia="Calibri"/>
                <w:sz w:val="20"/>
                <w:szCs w:val="20"/>
                <w:lang w:val="es-ES_tradnl"/>
              </w:rPr>
            </w:pPr>
          </w:p>
        </w:tc>
      </w:tr>
    </w:tbl>
    <w:p w:rsidR="005852B3" w:rsidRDefault="005852B3" w:rsidP="00965C57">
      <w:pPr>
        <w:pStyle w:val="ListParagraph"/>
        <w:numPr>
          <w:ilvl w:val="0"/>
          <w:numId w:val="15"/>
        </w:numPr>
        <w:shd w:val="clear" w:color="auto" w:fill="FFFFFF"/>
        <w:spacing w:before="120" w:after="120"/>
        <w:contextualSpacing w:val="0"/>
        <w:jc w:val="both"/>
        <w:outlineLvl w:val="1"/>
        <w:rPr>
          <w:b/>
          <w:color w:val="000000"/>
          <w:lang w:val="es-ES"/>
        </w:rPr>
      </w:pPr>
      <w:r w:rsidRPr="00715035">
        <w:rPr>
          <w:b/>
          <w:color w:val="000000"/>
          <w:lang w:val="es-ES"/>
        </w:rPr>
        <w:t>Variables de referencia / Interés y Control</w:t>
      </w:r>
    </w:p>
    <w:p w:rsidR="005852B3" w:rsidRPr="00715035" w:rsidRDefault="005852B3" w:rsidP="00546746">
      <w:pPr>
        <w:pStyle w:val="ListParagraph"/>
        <w:numPr>
          <w:ilvl w:val="1"/>
          <w:numId w:val="38"/>
        </w:numPr>
        <w:shd w:val="clear" w:color="auto" w:fill="FFFFFF"/>
        <w:spacing w:before="120" w:after="120"/>
        <w:ind w:left="900" w:hanging="540"/>
        <w:contextualSpacing w:val="0"/>
        <w:jc w:val="both"/>
        <w:rPr>
          <w:b/>
          <w:color w:val="000000"/>
          <w:lang w:val="es-ES"/>
        </w:rPr>
      </w:pPr>
      <w:r>
        <w:rPr>
          <w:color w:val="000000"/>
          <w:lang w:val="es-ES"/>
        </w:rPr>
        <w:t xml:space="preserve">La variable de interés es la relación entre las </w:t>
      </w:r>
      <w:r w:rsidRPr="00715035">
        <w:rPr>
          <w:color w:val="000000"/>
          <w:lang w:val="es-ES"/>
        </w:rPr>
        <w:t xml:space="preserve">Exportaciones de Bienes y Servicios </w:t>
      </w:r>
      <w:r>
        <w:rPr>
          <w:color w:val="000000"/>
          <w:lang w:val="es-ES"/>
        </w:rPr>
        <w:t xml:space="preserve">y el PIB. Las variables de control fueron seleccionadas a partir de un universo de variables relacionadas con el tema logístico. En particular fueron utilizadas las que más pudiesen proveer las evidencias de la similitud del país tratado (Panamá) con los países que conforman el grupo Panamá sintético. El Cuadro II a continuación presenta las variables, con sus periodos respectivos y sus fuentes de información. </w:t>
      </w:r>
    </w:p>
    <w:tbl>
      <w:tblPr>
        <w:tblStyle w:val="TableGrid"/>
        <w:tblW w:w="10080" w:type="dxa"/>
        <w:tblInd w:w="-432" w:type="dxa"/>
        <w:tblLook w:val="04A0" w:firstRow="1" w:lastRow="0" w:firstColumn="1" w:lastColumn="0" w:noHBand="0" w:noVBand="1"/>
      </w:tblPr>
      <w:tblGrid>
        <w:gridCol w:w="2610"/>
        <w:gridCol w:w="7470"/>
      </w:tblGrid>
      <w:tr w:rsidR="00C65733" w:rsidRPr="00546746" w:rsidTr="005177B2">
        <w:tc>
          <w:tcPr>
            <w:tcW w:w="2610" w:type="dxa"/>
            <w:shd w:val="clear" w:color="auto" w:fill="BFBFBF" w:themeFill="background1" w:themeFillShade="BF"/>
          </w:tcPr>
          <w:p w:rsidR="00C65733" w:rsidRPr="00546746" w:rsidRDefault="00C65733" w:rsidP="001933FE">
            <w:pPr>
              <w:pStyle w:val="ListParagraph"/>
              <w:ind w:left="360"/>
              <w:jc w:val="center"/>
              <w:rPr>
                <w:rFonts w:eastAsia="Calibri"/>
                <w:b/>
                <w:sz w:val="20"/>
                <w:szCs w:val="20"/>
                <w:lang w:val="es-ES_tradnl"/>
              </w:rPr>
            </w:pPr>
            <w:r w:rsidRPr="00546746">
              <w:rPr>
                <w:rFonts w:eastAsia="Calibri"/>
                <w:b/>
                <w:sz w:val="20"/>
                <w:szCs w:val="20"/>
                <w:lang w:val="es-ES_tradnl"/>
              </w:rPr>
              <w:t>Variable</w:t>
            </w:r>
          </w:p>
        </w:tc>
        <w:tc>
          <w:tcPr>
            <w:tcW w:w="7470" w:type="dxa"/>
            <w:shd w:val="clear" w:color="auto" w:fill="BFBFBF" w:themeFill="background1" w:themeFillShade="BF"/>
          </w:tcPr>
          <w:p w:rsidR="00C65733" w:rsidRPr="00546746" w:rsidRDefault="00431177" w:rsidP="001933FE">
            <w:pPr>
              <w:pStyle w:val="ListParagraph"/>
              <w:ind w:left="360"/>
              <w:jc w:val="center"/>
              <w:rPr>
                <w:rFonts w:eastAsia="Calibri"/>
                <w:b/>
                <w:sz w:val="20"/>
                <w:szCs w:val="20"/>
                <w:lang w:val="es-ES_tradnl"/>
              </w:rPr>
            </w:pPr>
            <w:r w:rsidRPr="00546746">
              <w:rPr>
                <w:rFonts w:eastAsia="Calibri"/>
                <w:b/>
                <w:sz w:val="20"/>
                <w:szCs w:val="20"/>
                <w:lang w:val="es-ES_tradnl"/>
              </w:rPr>
              <w:t>Descripción</w:t>
            </w:r>
          </w:p>
        </w:tc>
      </w:tr>
      <w:tr w:rsidR="00C65733" w:rsidRPr="00546746" w:rsidTr="005177B2">
        <w:tc>
          <w:tcPr>
            <w:tcW w:w="2610" w:type="dxa"/>
          </w:tcPr>
          <w:p w:rsidR="00C65733" w:rsidRPr="00431177" w:rsidRDefault="00BB6C0D" w:rsidP="00965C57">
            <w:pPr>
              <w:pStyle w:val="ListParagraph"/>
              <w:numPr>
                <w:ilvl w:val="0"/>
                <w:numId w:val="14"/>
              </w:numPr>
              <w:ind w:left="360"/>
              <w:jc w:val="both"/>
              <w:rPr>
                <w:rFonts w:eastAsia="Calibri"/>
                <w:sz w:val="20"/>
                <w:szCs w:val="20"/>
              </w:rPr>
            </w:pPr>
            <w:r w:rsidRPr="00431177">
              <w:rPr>
                <w:rFonts w:eastAsia="Calibri"/>
                <w:sz w:val="20"/>
                <w:szCs w:val="20"/>
              </w:rPr>
              <w:t>Country name</w:t>
            </w:r>
          </w:p>
        </w:tc>
        <w:tc>
          <w:tcPr>
            <w:tcW w:w="7470" w:type="dxa"/>
          </w:tcPr>
          <w:p w:rsidR="00C65733" w:rsidRPr="00546746" w:rsidRDefault="00502F0E" w:rsidP="00C65733">
            <w:pPr>
              <w:pStyle w:val="ListParagraph"/>
              <w:ind w:left="360"/>
              <w:jc w:val="both"/>
              <w:rPr>
                <w:rFonts w:eastAsia="Calibri"/>
                <w:sz w:val="20"/>
                <w:szCs w:val="20"/>
                <w:lang w:val="es-ES_tradnl"/>
              </w:rPr>
            </w:pPr>
            <w:r w:rsidRPr="00546746">
              <w:rPr>
                <w:rFonts w:eastAsia="Calibri"/>
                <w:sz w:val="20"/>
                <w:szCs w:val="20"/>
                <w:lang w:val="es-ES_tradnl"/>
              </w:rPr>
              <w:t>-</w:t>
            </w:r>
          </w:p>
        </w:tc>
      </w:tr>
      <w:tr w:rsidR="00C65733" w:rsidRPr="00546746" w:rsidTr="005177B2">
        <w:tc>
          <w:tcPr>
            <w:tcW w:w="2610" w:type="dxa"/>
          </w:tcPr>
          <w:p w:rsidR="00C65733" w:rsidRPr="00431177" w:rsidRDefault="00BB6C0D" w:rsidP="00965C57">
            <w:pPr>
              <w:pStyle w:val="ListParagraph"/>
              <w:numPr>
                <w:ilvl w:val="0"/>
                <w:numId w:val="14"/>
              </w:numPr>
              <w:ind w:left="360"/>
              <w:jc w:val="both"/>
              <w:rPr>
                <w:rFonts w:eastAsia="Calibri"/>
                <w:sz w:val="20"/>
                <w:szCs w:val="20"/>
              </w:rPr>
            </w:pPr>
            <w:r w:rsidRPr="00431177">
              <w:rPr>
                <w:rFonts w:eastAsia="Calibri"/>
                <w:sz w:val="20"/>
                <w:szCs w:val="20"/>
              </w:rPr>
              <w:t>Country Number</w:t>
            </w:r>
          </w:p>
        </w:tc>
        <w:tc>
          <w:tcPr>
            <w:tcW w:w="7470" w:type="dxa"/>
          </w:tcPr>
          <w:p w:rsidR="00C65733" w:rsidRPr="00546746" w:rsidRDefault="00502F0E" w:rsidP="00C65733">
            <w:pPr>
              <w:pStyle w:val="ListParagraph"/>
              <w:ind w:left="360"/>
              <w:jc w:val="both"/>
              <w:rPr>
                <w:rFonts w:eastAsia="Calibri"/>
                <w:sz w:val="20"/>
                <w:szCs w:val="20"/>
                <w:lang w:val="es-ES_tradnl"/>
              </w:rPr>
            </w:pPr>
            <w:r w:rsidRPr="00546746">
              <w:rPr>
                <w:rFonts w:eastAsia="Calibri"/>
                <w:sz w:val="20"/>
                <w:szCs w:val="20"/>
                <w:lang w:val="es-ES_tradnl"/>
              </w:rPr>
              <w:t>-</w:t>
            </w:r>
          </w:p>
        </w:tc>
      </w:tr>
      <w:tr w:rsidR="00C65733" w:rsidRPr="00546746" w:rsidTr="005177B2">
        <w:tc>
          <w:tcPr>
            <w:tcW w:w="2610" w:type="dxa"/>
          </w:tcPr>
          <w:p w:rsidR="00C65733" w:rsidRPr="00431177" w:rsidRDefault="00BB6C0D" w:rsidP="00965C57">
            <w:pPr>
              <w:pStyle w:val="ListParagraph"/>
              <w:numPr>
                <w:ilvl w:val="0"/>
                <w:numId w:val="14"/>
              </w:numPr>
              <w:ind w:left="360"/>
              <w:jc w:val="both"/>
              <w:rPr>
                <w:rFonts w:eastAsia="Calibri"/>
                <w:sz w:val="20"/>
                <w:szCs w:val="20"/>
              </w:rPr>
            </w:pPr>
            <w:r w:rsidRPr="00431177">
              <w:rPr>
                <w:rFonts w:eastAsia="Calibri"/>
                <w:sz w:val="20"/>
                <w:szCs w:val="20"/>
              </w:rPr>
              <w:t>Year</w:t>
            </w:r>
          </w:p>
        </w:tc>
        <w:tc>
          <w:tcPr>
            <w:tcW w:w="7470" w:type="dxa"/>
          </w:tcPr>
          <w:p w:rsidR="00C65733" w:rsidRPr="00546746" w:rsidRDefault="00502F0E" w:rsidP="00C65733">
            <w:pPr>
              <w:pStyle w:val="ListParagraph"/>
              <w:ind w:left="360"/>
              <w:jc w:val="both"/>
              <w:rPr>
                <w:rFonts w:eastAsia="Calibri"/>
                <w:sz w:val="20"/>
                <w:szCs w:val="20"/>
                <w:lang w:val="es-ES_tradnl"/>
              </w:rPr>
            </w:pPr>
            <w:r w:rsidRPr="00546746">
              <w:rPr>
                <w:rFonts w:eastAsia="Calibri"/>
                <w:sz w:val="20"/>
                <w:szCs w:val="20"/>
                <w:lang w:val="es-ES_tradnl"/>
              </w:rPr>
              <w:t>-</w:t>
            </w:r>
          </w:p>
        </w:tc>
      </w:tr>
      <w:tr w:rsidR="00C65733" w:rsidRPr="001E63CD" w:rsidTr="005177B2">
        <w:tc>
          <w:tcPr>
            <w:tcW w:w="2610" w:type="dxa"/>
          </w:tcPr>
          <w:p w:rsidR="00C65733" w:rsidRPr="00431177" w:rsidRDefault="00BB6C0D" w:rsidP="00BB6C0D">
            <w:pPr>
              <w:pStyle w:val="ListParagraph"/>
              <w:numPr>
                <w:ilvl w:val="0"/>
                <w:numId w:val="14"/>
              </w:numPr>
              <w:ind w:left="342"/>
              <w:jc w:val="both"/>
              <w:rPr>
                <w:rFonts w:eastAsia="Calibri"/>
                <w:sz w:val="20"/>
                <w:szCs w:val="20"/>
              </w:rPr>
            </w:pPr>
            <w:r w:rsidRPr="00431177">
              <w:rPr>
                <w:rFonts w:eastAsia="Calibri"/>
                <w:sz w:val="20"/>
                <w:szCs w:val="20"/>
              </w:rPr>
              <w:t>Exports of goods and services (% of GDP)</w:t>
            </w:r>
          </w:p>
        </w:tc>
        <w:tc>
          <w:tcPr>
            <w:tcW w:w="7470" w:type="dxa"/>
          </w:tcPr>
          <w:p w:rsidR="00C65733" w:rsidRPr="00546746" w:rsidRDefault="00274390" w:rsidP="00281268">
            <w:pPr>
              <w:pStyle w:val="ListParagraph"/>
              <w:ind w:left="24"/>
              <w:jc w:val="both"/>
              <w:rPr>
                <w:rFonts w:eastAsia="Calibri"/>
                <w:sz w:val="20"/>
                <w:szCs w:val="20"/>
                <w:lang w:val="es-ES_tradnl"/>
              </w:rPr>
            </w:pPr>
            <w:r w:rsidRPr="00546746">
              <w:rPr>
                <w:rFonts w:eastAsia="Calibri"/>
                <w:sz w:val="20"/>
                <w:szCs w:val="20"/>
                <w:lang w:val="es-ES_tradnl"/>
              </w:rPr>
              <w:t>Las exportaciones de bienes y servicios representan el valor de todos los bienes y otros servicios de mercado prestados al resto del mundo. Incluyen el valor de las mercancías, fletes, seguros, transporte, viajes, regalías, derechos de licencia y otros servicios, tales como la comunicación, la construcción, financiero, información, negocio, personal y servicios del gobierno. Excluyen la remuneración de los empleados y los ingresos por inversiones (anteriormente denominados servicios de los factores) y los pagos de transferencia.</w:t>
            </w:r>
          </w:p>
        </w:tc>
      </w:tr>
      <w:tr w:rsidR="00C65733" w:rsidRPr="001E63CD" w:rsidTr="005177B2">
        <w:tc>
          <w:tcPr>
            <w:tcW w:w="2610" w:type="dxa"/>
          </w:tcPr>
          <w:p w:rsidR="00C65733" w:rsidRPr="00431177" w:rsidRDefault="00BB6C0D" w:rsidP="00BB6C0D">
            <w:pPr>
              <w:pStyle w:val="ListParagraph"/>
              <w:numPr>
                <w:ilvl w:val="0"/>
                <w:numId w:val="14"/>
              </w:numPr>
              <w:ind w:left="342"/>
              <w:jc w:val="both"/>
              <w:rPr>
                <w:rFonts w:eastAsia="Calibri"/>
                <w:sz w:val="20"/>
                <w:szCs w:val="20"/>
              </w:rPr>
            </w:pPr>
            <w:r w:rsidRPr="00431177">
              <w:rPr>
                <w:rFonts w:eastAsia="Calibri"/>
                <w:sz w:val="20"/>
                <w:szCs w:val="20"/>
              </w:rPr>
              <w:t>Trade (% of GDP)</w:t>
            </w:r>
          </w:p>
        </w:tc>
        <w:tc>
          <w:tcPr>
            <w:tcW w:w="7470" w:type="dxa"/>
          </w:tcPr>
          <w:p w:rsidR="00C65733" w:rsidRPr="00546746" w:rsidRDefault="00274390" w:rsidP="00E2561A">
            <w:pPr>
              <w:jc w:val="both"/>
              <w:rPr>
                <w:rFonts w:eastAsia="Calibri"/>
                <w:sz w:val="20"/>
                <w:szCs w:val="20"/>
                <w:lang w:val="es-ES_tradnl"/>
              </w:rPr>
            </w:pPr>
            <w:r w:rsidRPr="00546746">
              <w:rPr>
                <w:rFonts w:eastAsia="Calibri"/>
                <w:sz w:val="20"/>
                <w:szCs w:val="20"/>
                <w:lang w:val="es-ES_tradnl"/>
              </w:rPr>
              <w:t>El comercio es la suma de las exportaciones e importaciones de bienes y servicios medido como proporción del producto interno bruto</w:t>
            </w:r>
          </w:p>
        </w:tc>
      </w:tr>
      <w:tr w:rsidR="00C65733" w:rsidRPr="001E63CD" w:rsidTr="005177B2">
        <w:tc>
          <w:tcPr>
            <w:tcW w:w="2610" w:type="dxa"/>
          </w:tcPr>
          <w:p w:rsidR="00C65733" w:rsidRPr="00431177" w:rsidRDefault="00BB6C0D" w:rsidP="00BB6C0D">
            <w:pPr>
              <w:pStyle w:val="ListParagraph"/>
              <w:numPr>
                <w:ilvl w:val="0"/>
                <w:numId w:val="14"/>
              </w:numPr>
              <w:ind w:left="342" w:hanging="342"/>
              <w:jc w:val="both"/>
              <w:rPr>
                <w:rFonts w:eastAsia="Calibri"/>
                <w:sz w:val="20"/>
                <w:szCs w:val="20"/>
              </w:rPr>
            </w:pPr>
            <w:r w:rsidRPr="00431177">
              <w:rPr>
                <w:rFonts w:eastAsia="Calibri"/>
                <w:sz w:val="20"/>
                <w:szCs w:val="20"/>
              </w:rPr>
              <w:t>Logistics performance index: Overall (1=low to 5=high)</w:t>
            </w:r>
          </w:p>
        </w:tc>
        <w:tc>
          <w:tcPr>
            <w:tcW w:w="7470" w:type="dxa"/>
          </w:tcPr>
          <w:p w:rsidR="00C65733" w:rsidRPr="00546746" w:rsidRDefault="00274390" w:rsidP="00281268">
            <w:pPr>
              <w:pStyle w:val="ListParagraph"/>
              <w:ind w:left="24"/>
              <w:jc w:val="both"/>
              <w:rPr>
                <w:rFonts w:eastAsia="Calibri"/>
                <w:sz w:val="20"/>
                <w:szCs w:val="20"/>
                <w:lang w:val="es-ES_tradnl"/>
              </w:rPr>
            </w:pPr>
            <w:r w:rsidRPr="00546746">
              <w:rPr>
                <w:rFonts w:eastAsia="Calibri"/>
                <w:sz w:val="20"/>
                <w:szCs w:val="20"/>
                <w:lang w:val="es-ES_tradnl"/>
              </w:rPr>
              <w:t xml:space="preserve">Índice de Desempeño Logístico puntuación global refleja las percepciones de la logística de un país basado en la eficiencia del proceso de despacho de aduanas, la calidad del comercio y la infraestructura relacionada con el transporte, la facilidad de organizar los envíos a precios competitivos, calidad de los servicios de logística, capacidad de seguimiento y rastreo de envíos, y la frecuencia con la que los envíos lleguen al destinatario dentro del tiempo programado. El índice varía de 1 a 5, con una puntuación </w:t>
            </w:r>
            <w:r w:rsidRPr="00546746">
              <w:rPr>
                <w:rFonts w:eastAsia="Calibri"/>
                <w:sz w:val="20"/>
                <w:szCs w:val="20"/>
                <w:lang w:val="es-ES_tradnl"/>
              </w:rPr>
              <w:lastRenderedPageBreak/>
              <w:t>más alta que representa un mejor rendimiento.</w:t>
            </w:r>
          </w:p>
        </w:tc>
      </w:tr>
      <w:tr w:rsidR="00C65733" w:rsidRPr="001E63CD" w:rsidTr="005177B2">
        <w:tc>
          <w:tcPr>
            <w:tcW w:w="2610" w:type="dxa"/>
          </w:tcPr>
          <w:p w:rsidR="00C65733" w:rsidRPr="00431177" w:rsidRDefault="00BB6C0D" w:rsidP="00BB6C0D">
            <w:pPr>
              <w:pStyle w:val="ListParagraph"/>
              <w:numPr>
                <w:ilvl w:val="0"/>
                <w:numId w:val="14"/>
              </w:numPr>
              <w:ind w:left="342"/>
              <w:jc w:val="both"/>
              <w:rPr>
                <w:rFonts w:eastAsia="Calibri"/>
                <w:sz w:val="20"/>
                <w:szCs w:val="20"/>
              </w:rPr>
            </w:pPr>
            <w:r w:rsidRPr="00431177">
              <w:rPr>
                <w:rFonts w:eastAsia="Calibri"/>
                <w:sz w:val="20"/>
                <w:szCs w:val="20"/>
              </w:rPr>
              <w:lastRenderedPageBreak/>
              <w:t>Transport services (% of commercial service exports)</w:t>
            </w:r>
          </w:p>
        </w:tc>
        <w:tc>
          <w:tcPr>
            <w:tcW w:w="7470" w:type="dxa"/>
          </w:tcPr>
          <w:p w:rsidR="00C65733" w:rsidRPr="00546746" w:rsidRDefault="00274390" w:rsidP="00E2561A">
            <w:pPr>
              <w:pStyle w:val="ListParagraph"/>
              <w:ind w:left="24"/>
              <w:jc w:val="both"/>
              <w:rPr>
                <w:rFonts w:eastAsia="Calibri"/>
                <w:sz w:val="20"/>
                <w:szCs w:val="20"/>
                <w:lang w:val="es-ES_tradnl"/>
              </w:rPr>
            </w:pPr>
            <w:r w:rsidRPr="00546746">
              <w:rPr>
                <w:rFonts w:eastAsia="Calibri"/>
                <w:sz w:val="20"/>
                <w:szCs w:val="20"/>
                <w:lang w:val="es-ES_tradnl"/>
              </w:rPr>
              <w:t>Servicios de transporte (% de las exportaciones de servicios comerciales) cubre todos los servicios de transporte (marítimo, aéreo, terrestre, por vías navegables interiores, espacial, y en tramitación) realizados por residentes de un país para los de otro y que implica el transporte de pasajeros, el movimiento de mercancías (carga ), alquiler de transporte con tripulación, y el apoyo relacionados y servicios auxiliares. Se excluyen los seguros de fletes, que se incluye en los servicios de seguros; bienes adquiridos en puertos por transportistas no residentes y las reparaciones de equipos de transporte, que están incluidos en los bienes; las reparaciones de instalaciones ferroviarias, puertos, y las instalaciones del aeródromo, que se incluyen en los servicios de construcción; y el alquiler de transportistas sin tripulación, que está incluido en otros servicios.</w:t>
            </w:r>
          </w:p>
        </w:tc>
      </w:tr>
      <w:tr w:rsidR="00C65733" w:rsidRPr="001E63CD" w:rsidTr="005177B2">
        <w:tc>
          <w:tcPr>
            <w:tcW w:w="2610" w:type="dxa"/>
          </w:tcPr>
          <w:p w:rsidR="00C65733" w:rsidRPr="00431177" w:rsidRDefault="00BB6C0D" w:rsidP="00BB6C0D">
            <w:pPr>
              <w:pStyle w:val="ListParagraph"/>
              <w:numPr>
                <w:ilvl w:val="0"/>
                <w:numId w:val="14"/>
              </w:numPr>
              <w:ind w:left="342"/>
              <w:jc w:val="both"/>
              <w:rPr>
                <w:rFonts w:eastAsia="Calibri"/>
                <w:sz w:val="20"/>
                <w:szCs w:val="20"/>
              </w:rPr>
            </w:pPr>
            <w:r w:rsidRPr="00431177">
              <w:rPr>
                <w:rFonts w:eastAsia="Calibri"/>
                <w:sz w:val="20"/>
                <w:szCs w:val="20"/>
              </w:rPr>
              <w:t xml:space="preserve">Communications, computer, etc. (% of service exports, </w:t>
            </w:r>
            <w:proofErr w:type="spellStart"/>
            <w:r w:rsidRPr="00431177">
              <w:rPr>
                <w:rFonts w:eastAsia="Calibri"/>
                <w:sz w:val="20"/>
                <w:szCs w:val="20"/>
              </w:rPr>
              <w:t>BoP</w:t>
            </w:r>
            <w:proofErr w:type="spellEnd"/>
            <w:r w:rsidRPr="00431177">
              <w:rPr>
                <w:rFonts w:eastAsia="Calibri"/>
                <w:sz w:val="20"/>
                <w:szCs w:val="20"/>
              </w:rPr>
              <w:t>)</w:t>
            </w:r>
          </w:p>
        </w:tc>
        <w:tc>
          <w:tcPr>
            <w:tcW w:w="7470" w:type="dxa"/>
          </w:tcPr>
          <w:p w:rsidR="00C65733" w:rsidRPr="00546746" w:rsidRDefault="00274390" w:rsidP="00E2561A">
            <w:pPr>
              <w:jc w:val="both"/>
              <w:rPr>
                <w:rFonts w:eastAsia="Calibri"/>
                <w:sz w:val="20"/>
                <w:szCs w:val="20"/>
                <w:lang w:val="es-ES_tradnl"/>
              </w:rPr>
            </w:pPr>
            <w:r w:rsidRPr="00546746">
              <w:rPr>
                <w:rFonts w:eastAsia="Calibri"/>
                <w:sz w:val="20"/>
                <w:szCs w:val="20"/>
                <w:lang w:val="es-ES_tradnl"/>
              </w:rPr>
              <w:t>Comunicaciones, equipo, información y otros servicios cubren las telecomunicaciones internacionales; datos de ordenador; transacciones de servicios relacionados con noticias entre residentes y no residentes; servicios de construcción; regalías y derechos de licencia; diversos negocios, profesionales y servicios técnicos; servicios personales, culturales y recreativos; servicios de manufactura en insumos físicos que son propiedad de otros; y los servicios de mantenimiento y reparación y servicios públicos no comprendidos en otra parte.</w:t>
            </w:r>
          </w:p>
        </w:tc>
      </w:tr>
      <w:tr w:rsidR="00C65733" w:rsidRPr="001E63CD" w:rsidTr="005177B2">
        <w:tc>
          <w:tcPr>
            <w:tcW w:w="2610" w:type="dxa"/>
          </w:tcPr>
          <w:p w:rsidR="00C65733" w:rsidRPr="00431177" w:rsidRDefault="00BB6C0D" w:rsidP="00BB6C0D">
            <w:pPr>
              <w:pStyle w:val="ListParagraph"/>
              <w:numPr>
                <w:ilvl w:val="0"/>
                <w:numId w:val="14"/>
              </w:numPr>
              <w:ind w:left="252"/>
              <w:jc w:val="both"/>
              <w:rPr>
                <w:rFonts w:eastAsia="Calibri"/>
                <w:sz w:val="20"/>
                <w:szCs w:val="20"/>
              </w:rPr>
            </w:pPr>
            <w:r w:rsidRPr="00431177">
              <w:rPr>
                <w:rFonts w:eastAsia="Calibri"/>
                <w:sz w:val="20"/>
                <w:szCs w:val="20"/>
              </w:rPr>
              <w:t>Average time to clear exports through customs (days</w:t>
            </w:r>
          </w:p>
        </w:tc>
        <w:tc>
          <w:tcPr>
            <w:tcW w:w="7470" w:type="dxa"/>
          </w:tcPr>
          <w:p w:rsidR="00C65733" w:rsidRPr="00546746" w:rsidRDefault="00274390" w:rsidP="00E2561A">
            <w:pPr>
              <w:jc w:val="both"/>
              <w:rPr>
                <w:rFonts w:eastAsia="Calibri"/>
                <w:sz w:val="20"/>
                <w:szCs w:val="20"/>
                <w:lang w:val="es-ES_tradnl"/>
              </w:rPr>
            </w:pPr>
            <w:r w:rsidRPr="00546746">
              <w:rPr>
                <w:rFonts w:eastAsia="Calibri"/>
                <w:sz w:val="20"/>
                <w:szCs w:val="20"/>
                <w:lang w:val="es-ES_tradnl"/>
              </w:rPr>
              <w:t>El tiempo medio para borrar las exportaciones por la aduana es el número promedio de días para las exportaciones directas a través de las costumbres</w:t>
            </w:r>
          </w:p>
        </w:tc>
      </w:tr>
      <w:tr w:rsidR="00C65733" w:rsidRPr="001E63CD" w:rsidTr="005177B2">
        <w:tc>
          <w:tcPr>
            <w:tcW w:w="2610" w:type="dxa"/>
          </w:tcPr>
          <w:p w:rsidR="00C65733" w:rsidRPr="00431177" w:rsidRDefault="008B4802" w:rsidP="008B4802">
            <w:pPr>
              <w:pStyle w:val="ListParagraph"/>
              <w:numPr>
                <w:ilvl w:val="0"/>
                <w:numId w:val="14"/>
              </w:numPr>
              <w:ind w:left="252"/>
              <w:jc w:val="both"/>
              <w:rPr>
                <w:rFonts w:eastAsia="Calibri"/>
                <w:sz w:val="20"/>
                <w:szCs w:val="20"/>
              </w:rPr>
            </w:pPr>
            <w:r w:rsidRPr="00431177">
              <w:rPr>
                <w:rFonts w:eastAsia="Calibri"/>
                <w:sz w:val="20"/>
                <w:szCs w:val="20"/>
              </w:rPr>
              <w:t>Service</w:t>
            </w:r>
            <w:r w:rsidR="005177B2" w:rsidRPr="00431177">
              <w:rPr>
                <w:rFonts w:eastAsia="Calibri"/>
                <w:sz w:val="20"/>
                <w:szCs w:val="20"/>
              </w:rPr>
              <w:t>s, etc., value added (% of GDP)</w:t>
            </w:r>
          </w:p>
        </w:tc>
        <w:tc>
          <w:tcPr>
            <w:tcW w:w="7470" w:type="dxa"/>
          </w:tcPr>
          <w:p w:rsidR="00C65733" w:rsidRPr="00546746" w:rsidRDefault="00274390" w:rsidP="00E2561A">
            <w:pPr>
              <w:jc w:val="both"/>
              <w:rPr>
                <w:rFonts w:eastAsia="Calibri"/>
                <w:sz w:val="20"/>
                <w:szCs w:val="20"/>
                <w:lang w:val="es-ES_tradnl"/>
              </w:rPr>
            </w:pPr>
            <w:r w:rsidRPr="00546746">
              <w:rPr>
                <w:rFonts w:eastAsia="Calibri"/>
                <w:sz w:val="20"/>
                <w:szCs w:val="20"/>
                <w:lang w:val="es-ES_tradnl"/>
              </w:rPr>
              <w:t xml:space="preserve">Servicios corresponden a las divisiones de la CIIU 50-99 e incluyen el valor agregado en el comercio al por mayor y al por menor (incluidos hoteles y restaurantes), el transporte, y el gobierno, financieros, profesionales, y servicios personales, tales como educación, salud, y servicios inmobiliarios. También se incluyen los cargos imputados </w:t>
            </w:r>
            <w:r w:rsidR="00546746" w:rsidRPr="00546746">
              <w:rPr>
                <w:rFonts w:eastAsia="Calibri"/>
                <w:sz w:val="20"/>
                <w:szCs w:val="20"/>
                <w:lang w:val="es-ES_tradnl"/>
              </w:rPr>
              <w:t>bancarios</w:t>
            </w:r>
            <w:r w:rsidRPr="00546746">
              <w:rPr>
                <w:rFonts w:eastAsia="Calibri"/>
                <w:sz w:val="20"/>
                <w:szCs w:val="20"/>
                <w:lang w:val="es-ES_tradnl"/>
              </w:rPr>
              <w:t xml:space="preserve"> de servicios, los derechos de importación y cualesquiera discrepancias estadísticas señaladas por los compiladores nacionales, así como las discrepancias que surgen de reajuste. El valor agregado es la producción neta de un sector después de sumar todos los productos y restar los insumos intermedios. Se calcula sin hacer deducciones por depreciación de los activos fabricados o agotamiento y degradación de los recursos naturales. El origen industrial de valor agregado se determina por la Clasificación Industrial Internacional Uniforme (CIIU), revisión 3. Nota: Para los países VAB, el valor añadido bruto al coste de los factores se utiliza como denominador.</w:t>
            </w:r>
          </w:p>
        </w:tc>
      </w:tr>
      <w:tr w:rsidR="00C65733" w:rsidRPr="001E63CD" w:rsidTr="005177B2">
        <w:tc>
          <w:tcPr>
            <w:tcW w:w="2610" w:type="dxa"/>
          </w:tcPr>
          <w:p w:rsidR="00C65733" w:rsidRPr="00431177" w:rsidRDefault="008B4802" w:rsidP="008B4802">
            <w:pPr>
              <w:pStyle w:val="ListParagraph"/>
              <w:numPr>
                <w:ilvl w:val="0"/>
                <w:numId w:val="14"/>
              </w:numPr>
              <w:ind w:left="252"/>
              <w:jc w:val="both"/>
              <w:rPr>
                <w:rFonts w:eastAsia="Calibri"/>
                <w:sz w:val="20"/>
                <w:szCs w:val="20"/>
              </w:rPr>
            </w:pPr>
            <w:r w:rsidRPr="00431177">
              <w:rPr>
                <w:rFonts w:eastAsia="Calibri"/>
                <w:sz w:val="20"/>
                <w:szCs w:val="20"/>
              </w:rPr>
              <w:t>Trade in services (% of GDP</w:t>
            </w:r>
          </w:p>
        </w:tc>
        <w:tc>
          <w:tcPr>
            <w:tcW w:w="7470" w:type="dxa"/>
          </w:tcPr>
          <w:p w:rsidR="00C65733" w:rsidRPr="00546746" w:rsidRDefault="00274390" w:rsidP="004C3EA9">
            <w:pPr>
              <w:jc w:val="both"/>
              <w:rPr>
                <w:rFonts w:eastAsia="Calibri"/>
                <w:sz w:val="20"/>
                <w:szCs w:val="20"/>
                <w:lang w:val="es-ES_tradnl"/>
              </w:rPr>
            </w:pPr>
            <w:r w:rsidRPr="00546746">
              <w:rPr>
                <w:rFonts w:eastAsia="Calibri"/>
                <w:sz w:val="20"/>
                <w:szCs w:val="20"/>
                <w:lang w:val="es-ES_tradnl"/>
              </w:rPr>
              <w:t>El comercio de servicios es la suma de las exportaciones e importaciones de servicios dividida por el valor del PIB, todo en dólares corrientes</w:t>
            </w:r>
          </w:p>
        </w:tc>
      </w:tr>
      <w:tr w:rsidR="00C65733" w:rsidRPr="00546746" w:rsidTr="005177B2">
        <w:tc>
          <w:tcPr>
            <w:tcW w:w="2610" w:type="dxa"/>
          </w:tcPr>
          <w:p w:rsidR="00C65733" w:rsidRPr="00431177" w:rsidRDefault="008B4802" w:rsidP="008B4802">
            <w:pPr>
              <w:pStyle w:val="ListParagraph"/>
              <w:numPr>
                <w:ilvl w:val="0"/>
                <w:numId w:val="14"/>
              </w:numPr>
              <w:ind w:left="252"/>
              <w:jc w:val="both"/>
              <w:rPr>
                <w:rFonts w:eastAsia="Calibri"/>
                <w:sz w:val="20"/>
                <w:szCs w:val="20"/>
              </w:rPr>
            </w:pPr>
            <w:r w:rsidRPr="00431177">
              <w:rPr>
                <w:rFonts w:eastAsia="Calibri"/>
                <w:sz w:val="20"/>
                <w:szCs w:val="20"/>
              </w:rPr>
              <w:t>Foreign direct investment, net inflows (% of GDP)</w:t>
            </w:r>
          </w:p>
        </w:tc>
        <w:tc>
          <w:tcPr>
            <w:tcW w:w="7470" w:type="dxa"/>
          </w:tcPr>
          <w:p w:rsidR="00C65733" w:rsidRPr="00546746" w:rsidRDefault="00274390" w:rsidP="004C3EA9">
            <w:pPr>
              <w:jc w:val="both"/>
              <w:rPr>
                <w:rFonts w:eastAsia="Calibri"/>
                <w:sz w:val="20"/>
                <w:szCs w:val="20"/>
                <w:lang w:val="es-ES_tradnl"/>
              </w:rPr>
            </w:pPr>
            <w:r w:rsidRPr="00546746">
              <w:rPr>
                <w:rFonts w:eastAsia="Calibri"/>
                <w:sz w:val="20"/>
                <w:szCs w:val="20"/>
                <w:lang w:val="es-ES_tradnl"/>
              </w:rPr>
              <w:t>La inversión extranjera directa se refiere a los flujos de capital de inversión directa en la economía declarante. Es la suma del capital accionario, la reinversión de las ganancias, y otros capitales. La inversión directa es una categoría de la inversión transfronteriza asociada a un residente en una economía que tiene control o un grado significativo de influencia en la gestión de una empresa que es residente en otra economía. La propiedad de 10 por ciento o más de las acciones ordinarias de derecho a voto es el criterio para determinar la existencia de una relación de inversión directa. Los datos están en dólares corrientes de EE.UU.</w:t>
            </w:r>
          </w:p>
        </w:tc>
      </w:tr>
      <w:tr w:rsidR="00C65733" w:rsidRPr="001E63CD" w:rsidTr="005177B2">
        <w:tc>
          <w:tcPr>
            <w:tcW w:w="2610" w:type="dxa"/>
          </w:tcPr>
          <w:p w:rsidR="00C65733" w:rsidRPr="00431177" w:rsidRDefault="00502F0E" w:rsidP="00502F0E">
            <w:pPr>
              <w:pStyle w:val="ListParagraph"/>
              <w:numPr>
                <w:ilvl w:val="0"/>
                <w:numId w:val="14"/>
              </w:numPr>
              <w:ind w:left="252"/>
              <w:jc w:val="both"/>
              <w:rPr>
                <w:rFonts w:eastAsia="Calibri"/>
                <w:sz w:val="20"/>
                <w:szCs w:val="20"/>
              </w:rPr>
            </w:pPr>
            <w:r w:rsidRPr="00431177">
              <w:rPr>
                <w:rFonts w:eastAsia="Calibri"/>
                <w:sz w:val="20"/>
                <w:szCs w:val="20"/>
              </w:rPr>
              <w:t>Time to export (days)</w:t>
            </w:r>
          </w:p>
        </w:tc>
        <w:tc>
          <w:tcPr>
            <w:tcW w:w="7470" w:type="dxa"/>
          </w:tcPr>
          <w:p w:rsidR="00C65733" w:rsidRPr="00546746" w:rsidRDefault="00274390" w:rsidP="00502F0E">
            <w:pPr>
              <w:jc w:val="both"/>
              <w:rPr>
                <w:rFonts w:eastAsia="Calibri"/>
                <w:sz w:val="20"/>
                <w:szCs w:val="20"/>
                <w:lang w:val="es-ES_tradnl"/>
              </w:rPr>
            </w:pPr>
            <w:r w:rsidRPr="00546746">
              <w:rPr>
                <w:rFonts w:eastAsia="Calibri"/>
                <w:sz w:val="20"/>
                <w:szCs w:val="20"/>
                <w:lang w:val="es-ES_tradnl"/>
              </w:rPr>
              <w:t>Tiempo para exportar es el tiempo necesario para cumplir con todos los procedimientos exigidos para exportar mercaderías. El tiempo se registra en días naturales. El cálculo de tiempo para un procedimiento comienza desde el momento en que se inicia y se prolongará hasta que se complete. Si un procedimiento se puede acelerar por un costo adicional, se elige el procedimiento legal más rápido. Se supone que ni el exportador ni el tiempo desechos importador y que cada uno se dedica a completar cada procedimiento restante sin demora. Los procedimientos que se pueden completar de forma paralela se miden como simultáneos. El tiempo de espera entre procedimientos - por ejemplo, durante la descarga del cargamento - se incluye en la medida</w:t>
            </w:r>
          </w:p>
        </w:tc>
      </w:tr>
      <w:tr w:rsidR="00C65733" w:rsidRPr="00546746" w:rsidTr="005177B2">
        <w:tc>
          <w:tcPr>
            <w:tcW w:w="2610" w:type="dxa"/>
          </w:tcPr>
          <w:p w:rsidR="00C65733" w:rsidRPr="00431177" w:rsidRDefault="00502F0E" w:rsidP="00502F0E">
            <w:pPr>
              <w:pStyle w:val="ListParagraph"/>
              <w:numPr>
                <w:ilvl w:val="0"/>
                <w:numId w:val="14"/>
              </w:numPr>
              <w:ind w:left="252"/>
              <w:jc w:val="both"/>
              <w:rPr>
                <w:rFonts w:eastAsia="Calibri"/>
                <w:sz w:val="20"/>
                <w:szCs w:val="20"/>
              </w:rPr>
            </w:pPr>
            <w:r w:rsidRPr="00431177">
              <w:rPr>
                <w:rFonts w:eastAsia="Calibri"/>
                <w:sz w:val="20"/>
                <w:szCs w:val="20"/>
              </w:rPr>
              <w:t>Cost to export (US$ per container)</w:t>
            </w:r>
          </w:p>
        </w:tc>
        <w:tc>
          <w:tcPr>
            <w:tcW w:w="7470" w:type="dxa"/>
          </w:tcPr>
          <w:p w:rsidR="00C65733" w:rsidRPr="00546746" w:rsidRDefault="00274390" w:rsidP="00502F0E">
            <w:pPr>
              <w:jc w:val="both"/>
              <w:rPr>
                <w:rFonts w:eastAsia="Calibri"/>
                <w:sz w:val="20"/>
                <w:szCs w:val="20"/>
                <w:lang w:val="es-ES_tradnl"/>
              </w:rPr>
            </w:pPr>
            <w:r w:rsidRPr="00546746">
              <w:rPr>
                <w:rFonts w:eastAsia="Calibri"/>
                <w:sz w:val="20"/>
                <w:szCs w:val="20"/>
                <w:lang w:val="es-ES_tradnl"/>
              </w:rPr>
              <w:t>Costo mide las tasas percibidas en un contenedor de 20 pies en dólares estadounidenses. Todos los costos asociados con la realización de los procedimientos para exportar o importar los productos están incluidos. Estos incluyen costos por documentos, tarifas administrativas para despacho de aduanas y control técnico; tasas de aduanas agente, gastos de manipulación de terminales y transporte terrestre. La medida de costo no incluye aranceles o impuestos comerciales. Sólo se registran los costos oficiales</w:t>
            </w:r>
          </w:p>
        </w:tc>
      </w:tr>
      <w:tr w:rsidR="00C65733" w:rsidRPr="00546746" w:rsidTr="005177B2">
        <w:tc>
          <w:tcPr>
            <w:tcW w:w="2610" w:type="dxa"/>
          </w:tcPr>
          <w:p w:rsidR="00C65733" w:rsidRPr="00431177" w:rsidRDefault="00502F0E" w:rsidP="00502F0E">
            <w:pPr>
              <w:pStyle w:val="ListParagraph"/>
              <w:numPr>
                <w:ilvl w:val="0"/>
                <w:numId w:val="14"/>
              </w:numPr>
              <w:ind w:left="252"/>
              <w:rPr>
                <w:rFonts w:eastAsia="Calibri"/>
                <w:sz w:val="20"/>
                <w:szCs w:val="20"/>
              </w:rPr>
            </w:pPr>
            <w:r w:rsidRPr="00431177">
              <w:rPr>
                <w:rFonts w:eastAsia="Calibri"/>
                <w:sz w:val="20"/>
                <w:szCs w:val="20"/>
              </w:rPr>
              <w:lastRenderedPageBreak/>
              <w:t>Cost to import (US$ per container)(IC.IMP.COST.CD)</w:t>
            </w:r>
          </w:p>
        </w:tc>
        <w:tc>
          <w:tcPr>
            <w:tcW w:w="7470" w:type="dxa"/>
          </w:tcPr>
          <w:p w:rsidR="00C65733" w:rsidRPr="00546746" w:rsidRDefault="00274390" w:rsidP="00502F0E">
            <w:pPr>
              <w:jc w:val="both"/>
              <w:rPr>
                <w:rFonts w:eastAsia="Calibri"/>
                <w:sz w:val="20"/>
                <w:szCs w:val="20"/>
                <w:lang w:val="es-ES_tradnl"/>
              </w:rPr>
            </w:pPr>
            <w:r w:rsidRPr="00546746">
              <w:rPr>
                <w:rFonts w:eastAsia="Calibri"/>
                <w:sz w:val="20"/>
                <w:szCs w:val="20"/>
                <w:lang w:val="es-ES_tradnl"/>
              </w:rPr>
              <w:t>Costo mide las tasas percibidas en un contenedor de 20 pies en dólares estadounidenses. Todos los costos asociados con la realización de los procedimientos para exportar o importar los productos están incluidos. Estos incluyen costos por documentos, tarifas administrativas para despacho de aduanas y control técnico, honorarios del corredor de aduana, gastos de manipulación terminal y transporte terrestre. La medida de costo no incluye aranceles o impuestos comerciales. Sólo se registran los costos oficiales</w:t>
            </w:r>
          </w:p>
        </w:tc>
      </w:tr>
      <w:tr w:rsidR="00C65733" w:rsidRPr="001E63CD" w:rsidTr="005177B2">
        <w:tc>
          <w:tcPr>
            <w:tcW w:w="2610" w:type="dxa"/>
          </w:tcPr>
          <w:p w:rsidR="00C65733" w:rsidRPr="00431177" w:rsidRDefault="00502F0E" w:rsidP="00502F0E">
            <w:pPr>
              <w:pStyle w:val="ListParagraph"/>
              <w:numPr>
                <w:ilvl w:val="0"/>
                <w:numId w:val="14"/>
              </w:numPr>
              <w:ind w:left="252"/>
              <w:rPr>
                <w:rFonts w:eastAsia="Calibri"/>
                <w:sz w:val="20"/>
                <w:szCs w:val="20"/>
              </w:rPr>
            </w:pPr>
            <w:r w:rsidRPr="00431177">
              <w:rPr>
                <w:rFonts w:eastAsia="Calibri"/>
                <w:sz w:val="20"/>
                <w:szCs w:val="20"/>
              </w:rPr>
              <w:t>Air transport, freight (million ton-km)</w:t>
            </w:r>
          </w:p>
        </w:tc>
        <w:tc>
          <w:tcPr>
            <w:tcW w:w="7470" w:type="dxa"/>
          </w:tcPr>
          <w:p w:rsidR="00C65733" w:rsidRPr="00546746" w:rsidRDefault="00274390" w:rsidP="00502F0E">
            <w:pPr>
              <w:jc w:val="both"/>
              <w:rPr>
                <w:rFonts w:eastAsia="Calibri"/>
                <w:sz w:val="20"/>
                <w:szCs w:val="20"/>
                <w:lang w:val="es-ES_tradnl"/>
              </w:rPr>
            </w:pPr>
            <w:r w:rsidRPr="00546746">
              <w:rPr>
                <w:rFonts w:eastAsia="Calibri"/>
                <w:sz w:val="20"/>
                <w:szCs w:val="20"/>
                <w:lang w:val="es-ES_tradnl"/>
              </w:rPr>
              <w:t>El flete aéreo es el volumen de la carga, expresa y valijas diplomáticas realiza en cada etapa de vuelo (operación de una aeronave desde el despegue hasta el aterrizaje siguiente), medido en toneladas métricas veces kilómetros recorridos.</w:t>
            </w:r>
          </w:p>
        </w:tc>
      </w:tr>
      <w:tr w:rsidR="00C65733" w:rsidRPr="001E63CD" w:rsidTr="005177B2">
        <w:trPr>
          <w:trHeight w:val="55"/>
        </w:trPr>
        <w:tc>
          <w:tcPr>
            <w:tcW w:w="2610" w:type="dxa"/>
          </w:tcPr>
          <w:p w:rsidR="00C65733" w:rsidRPr="00A147A9" w:rsidRDefault="00502F0E" w:rsidP="00502F0E">
            <w:pPr>
              <w:pStyle w:val="ListParagraph"/>
              <w:numPr>
                <w:ilvl w:val="0"/>
                <w:numId w:val="14"/>
              </w:numPr>
              <w:ind w:left="252"/>
              <w:rPr>
                <w:rFonts w:eastAsia="Calibri"/>
                <w:sz w:val="20"/>
                <w:szCs w:val="20"/>
                <w:lang w:val="fr-FR"/>
              </w:rPr>
            </w:pPr>
            <w:r w:rsidRPr="00A147A9">
              <w:rPr>
                <w:rFonts w:eastAsia="Calibri"/>
                <w:sz w:val="20"/>
                <w:szCs w:val="20"/>
                <w:lang w:val="fr-FR"/>
              </w:rPr>
              <w:t xml:space="preserve">Container port </w:t>
            </w:r>
            <w:proofErr w:type="spellStart"/>
            <w:r w:rsidRPr="00A147A9">
              <w:rPr>
                <w:rFonts w:eastAsia="Calibri"/>
                <w:sz w:val="20"/>
                <w:szCs w:val="20"/>
                <w:lang w:val="fr-FR"/>
              </w:rPr>
              <w:t>traffic</w:t>
            </w:r>
            <w:proofErr w:type="spellEnd"/>
            <w:r w:rsidRPr="00A147A9">
              <w:rPr>
                <w:rFonts w:eastAsia="Calibri"/>
                <w:sz w:val="20"/>
                <w:szCs w:val="20"/>
                <w:lang w:val="fr-FR"/>
              </w:rPr>
              <w:t xml:space="preserve"> (TEU: 20 foot </w:t>
            </w:r>
            <w:proofErr w:type="spellStart"/>
            <w:r w:rsidRPr="00A147A9">
              <w:rPr>
                <w:rFonts w:eastAsia="Calibri"/>
                <w:sz w:val="20"/>
                <w:szCs w:val="20"/>
                <w:lang w:val="fr-FR"/>
              </w:rPr>
              <w:t>equivalent</w:t>
            </w:r>
            <w:proofErr w:type="spellEnd"/>
            <w:r w:rsidRPr="00A147A9">
              <w:rPr>
                <w:rFonts w:eastAsia="Calibri"/>
                <w:sz w:val="20"/>
                <w:szCs w:val="20"/>
                <w:lang w:val="fr-FR"/>
              </w:rPr>
              <w:t xml:space="preserve"> </w:t>
            </w:r>
            <w:proofErr w:type="spellStart"/>
            <w:r w:rsidRPr="00A147A9">
              <w:rPr>
                <w:rFonts w:eastAsia="Calibri"/>
                <w:sz w:val="20"/>
                <w:szCs w:val="20"/>
                <w:lang w:val="fr-FR"/>
              </w:rPr>
              <w:t>units</w:t>
            </w:r>
            <w:proofErr w:type="spellEnd"/>
            <w:r w:rsidRPr="00A147A9">
              <w:rPr>
                <w:rFonts w:eastAsia="Calibri"/>
                <w:sz w:val="20"/>
                <w:szCs w:val="20"/>
                <w:lang w:val="fr-FR"/>
              </w:rPr>
              <w:t>)</w:t>
            </w:r>
          </w:p>
        </w:tc>
        <w:tc>
          <w:tcPr>
            <w:tcW w:w="7470" w:type="dxa"/>
          </w:tcPr>
          <w:p w:rsidR="00C65733" w:rsidRPr="00546746" w:rsidRDefault="00274390" w:rsidP="00502F0E">
            <w:pPr>
              <w:jc w:val="both"/>
              <w:rPr>
                <w:rFonts w:eastAsia="Calibri"/>
                <w:sz w:val="20"/>
                <w:szCs w:val="20"/>
                <w:lang w:val="es-ES_tradnl"/>
              </w:rPr>
            </w:pPr>
            <w:r w:rsidRPr="00546746">
              <w:rPr>
                <w:rFonts w:eastAsia="Calibri"/>
                <w:sz w:val="20"/>
                <w:szCs w:val="20"/>
                <w:lang w:val="es-ES_tradnl"/>
              </w:rPr>
              <w:t>El tráfico de contenedores Puerto mide el flujo de contenedores de tierra a los modos de transporte marítimo, y viceversa, en veinte pies unidades equivalentes (TEU), un recipiente de tamaño estándar. Los datos se refieren a la navegación de cabotaje, así como los viajes internacionales. Tráfico de transbordo se cuenta como dos ascensores en el puerto intermedio (una vez para en vacío y otra vez como un ascensor de salida) e incluye unidades vacías</w:t>
            </w:r>
          </w:p>
        </w:tc>
      </w:tr>
    </w:tbl>
    <w:p w:rsidR="005852B3" w:rsidRPr="00715035" w:rsidRDefault="005852B3" w:rsidP="00D344E0">
      <w:pPr>
        <w:pStyle w:val="ListParagraph"/>
        <w:keepNext/>
        <w:numPr>
          <w:ilvl w:val="0"/>
          <w:numId w:val="15"/>
        </w:numPr>
        <w:shd w:val="clear" w:color="auto" w:fill="FFFFFF"/>
        <w:spacing w:before="120" w:after="120"/>
        <w:contextualSpacing w:val="0"/>
        <w:jc w:val="both"/>
        <w:outlineLvl w:val="1"/>
        <w:rPr>
          <w:b/>
          <w:color w:val="000000"/>
          <w:lang w:val="es-ES"/>
        </w:rPr>
      </w:pPr>
      <w:r w:rsidRPr="00E353EA">
        <w:rPr>
          <w:color w:val="000000"/>
          <w:lang w:val="es-ES"/>
        </w:rPr>
        <w:t xml:space="preserve"> </w:t>
      </w:r>
      <w:r w:rsidRPr="00715035">
        <w:rPr>
          <w:b/>
          <w:color w:val="000000"/>
          <w:lang w:val="es-ES"/>
        </w:rPr>
        <w:t>Base de Datos</w:t>
      </w:r>
    </w:p>
    <w:p w:rsidR="005852B3" w:rsidRPr="00B83710" w:rsidRDefault="005852B3" w:rsidP="00546746">
      <w:pPr>
        <w:pStyle w:val="ListParagraph"/>
        <w:keepNext/>
        <w:numPr>
          <w:ilvl w:val="1"/>
          <w:numId w:val="38"/>
        </w:numPr>
        <w:shd w:val="clear" w:color="auto" w:fill="FFFFFF"/>
        <w:spacing w:before="120" w:after="120"/>
        <w:ind w:left="900" w:hanging="540"/>
        <w:contextualSpacing w:val="0"/>
        <w:jc w:val="both"/>
        <w:rPr>
          <w:color w:val="000000"/>
          <w:lang w:val="es-ES"/>
        </w:rPr>
      </w:pPr>
      <w:r w:rsidRPr="00B83710">
        <w:rPr>
          <w:color w:val="000000"/>
          <w:lang w:val="es-ES"/>
        </w:rPr>
        <w:t xml:space="preserve">La información fue colectada de la base de datos del </w:t>
      </w:r>
      <w:proofErr w:type="spellStart"/>
      <w:r w:rsidRPr="00B83710">
        <w:rPr>
          <w:color w:val="000000"/>
          <w:lang w:val="es-ES"/>
        </w:rPr>
        <w:t>World</w:t>
      </w:r>
      <w:proofErr w:type="spellEnd"/>
      <w:r w:rsidRPr="00B83710">
        <w:rPr>
          <w:color w:val="000000"/>
          <w:lang w:val="es-ES"/>
        </w:rPr>
        <w:t xml:space="preserve"> </w:t>
      </w:r>
      <w:proofErr w:type="spellStart"/>
      <w:r w:rsidRPr="00B83710">
        <w:rPr>
          <w:color w:val="000000"/>
          <w:lang w:val="es-ES"/>
        </w:rPr>
        <w:t>Development</w:t>
      </w:r>
      <w:proofErr w:type="spellEnd"/>
      <w:r w:rsidRPr="00B83710">
        <w:rPr>
          <w:color w:val="000000"/>
          <w:lang w:val="es-ES"/>
        </w:rPr>
        <w:t xml:space="preserve"> </w:t>
      </w:r>
      <w:proofErr w:type="spellStart"/>
      <w:r w:rsidRPr="00B83710">
        <w:rPr>
          <w:color w:val="000000"/>
          <w:lang w:val="es-ES"/>
        </w:rPr>
        <w:t>Indicators</w:t>
      </w:r>
      <w:proofErr w:type="spellEnd"/>
      <w:r w:rsidRPr="00B83710">
        <w:rPr>
          <w:color w:val="000000"/>
          <w:lang w:val="es-ES"/>
        </w:rPr>
        <w:t xml:space="preserve"> del Banco Mundial</w:t>
      </w:r>
      <w:r>
        <w:rPr>
          <w:rStyle w:val="FootnoteReference"/>
          <w:color w:val="000000"/>
          <w:lang w:val="es-ES"/>
        </w:rPr>
        <w:footnoteReference w:id="12"/>
      </w:r>
      <w:r w:rsidRPr="00B83710">
        <w:rPr>
          <w:color w:val="000000"/>
          <w:lang w:val="es-ES"/>
        </w:rPr>
        <w:t>.  El periodo seleccionado fue de 2005 a 2014 (10 años). Los datos a  continuación presentan una vista</w:t>
      </w:r>
      <w:r>
        <w:rPr>
          <w:color w:val="000000"/>
          <w:lang w:val="es-ES"/>
        </w:rPr>
        <w:t xml:space="preserve"> (corte)</w:t>
      </w:r>
      <w:r w:rsidRPr="00B83710">
        <w:rPr>
          <w:color w:val="000000"/>
          <w:lang w:val="es-ES"/>
        </w:rPr>
        <w:t xml:space="preserve"> </w:t>
      </w:r>
      <w:r>
        <w:rPr>
          <w:color w:val="000000"/>
          <w:lang w:val="es-ES"/>
        </w:rPr>
        <w:t>en</w:t>
      </w:r>
      <w:r w:rsidRPr="00B83710">
        <w:rPr>
          <w:color w:val="000000"/>
          <w:lang w:val="es-ES"/>
        </w:rPr>
        <w:t xml:space="preserve"> la base de datos almacenada en el software estadístico STATA con 340 observaciones para 1</w:t>
      </w:r>
      <w:r w:rsidR="00296583">
        <w:rPr>
          <w:color w:val="000000"/>
          <w:lang w:val="es-ES"/>
        </w:rPr>
        <w:t>7</w:t>
      </w:r>
      <w:r w:rsidRPr="00B83710">
        <w:rPr>
          <w:color w:val="000000"/>
          <w:lang w:val="es-ES"/>
        </w:rPr>
        <w:t xml:space="preserve"> variables, que fue el instrumento utilizado para toda la simulación. </w:t>
      </w:r>
    </w:p>
    <w:p w:rsidR="005852B3" w:rsidRDefault="005852B3" w:rsidP="0025681E">
      <w:pPr>
        <w:pStyle w:val="ListParagraph"/>
        <w:shd w:val="clear" w:color="auto" w:fill="FFFFFF"/>
        <w:spacing w:before="120" w:after="120"/>
        <w:ind w:left="-900"/>
        <w:contextualSpacing w:val="0"/>
        <w:jc w:val="center"/>
        <w:outlineLvl w:val="0"/>
        <w:rPr>
          <w:color w:val="000000"/>
          <w:lang w:val="es-ES"/>
        </w:rPr>
      </w:pPr>
      <w:r>
        <w:rPr>
          <w:noProof/>
        </w:rPr>
        <w:drawing>
          <wp:inline distT="0" distB="0" distL="0" distR="0" wp14:anchorId="65BC8FC8" wp14:editId="0DE4E15F">
            <wp:extent cx="6762445" cy="4689043"/>
            <wp:effectExtent l="0" t="0" r="63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822069" cy="4730386"/>
                    </a:xfrm>
                    <a:prstGeom prst="rect">
                      <a:avLst/>
                    </a:prstGeom>
                  </pic:spPr>
                </pic:pic>
              </a:graphicData>
            </a:graphic>
          </wp:inline>
        </w:drawing>
      </w:r>
    </w:p>
    <w:p w:rsidR="005852B3" w:rsidRDefault="005852B3" w:rsidP="00546746">
      <w:pPr>
        <w:pStyle w:val="ListParagraph"/>
        <w:keepNext/>
        <w:numPr>
          <w:ilvl w:val="0"/>
          <w:numId w:val="38"/>
        </w:numPr>
        <w:shd w:val="clear" w:color="auto" w:fill="FFFFFF"/>
        <w:spacing w:before="120" w:after="120"/>
        <w:contextualSpacing w:val="0"/>
        <w:jc w:val="both"/>
        <w:outlineLvl w:val="0"/>
        <w:rPr>
          <w:b/>
          <w:color w:val="000000"/>
          <w:lang w:val="es-ES"/>
        </w:rPr>
      </w:pPr>
      <w:r w:rsidRPr="00AA7073">
        <w:rPr>
          <w:b/>
          <w:color w:val="000000"/>
          <w:lang w:val="es-ES"/>
        </w:rPr>
        <w:lastRenderedPageBreak/>
        <w:t>La Evaluación</w:t>
      </w:r>
    </w:p>
    <w:p w:rsidR="005852B3" w:rsidRPr="005852B3" w:rsidRDefault="005852B3" w:rsidP="00546746">
      <w:pPr>
        <w:pStyle w:val="ListParagraph"/>
        <w:numPr>
          <w:ilvl w:val="1"/>
          <w:numId w:val="38"/>
        </w:numPr>
        <w:shd w:val="clear" w:color="auto" w:fill="FFFFFF"/>
        <w:spacing w:before="120" w:after="120"/>
        <w:ind w:left="900" w:hanging="540"/>
        <w:contextualSpacing w:val="0"/>
        <w:jc w:val="both"/>
        <w:rPr>
          <w:color w:val="000000"/>
          <w:lang w:val="es-ES"/>
        </w:rPr>
      </w:pPr>
      <w:r w:rsidRPr="005852B3">
        <w:rPr>
          <w:color w:val="000000"/>
          <w:lang w:val="es-ES"/>
        </w:rPr>
        <w:t>El ejemplo más ilustrativo de esta metodología es la estimación del impacto de la proposición en el año 1999 en California sobre la tasa de fumadores en dicho estado. La intervención afectó a todo California, por lo que el grupo de comparación fue definido con base al resto de los estados de EEUU. Como se observa en los siguientes gráficos, se parte de una situación en que el promedio del resto de los estados es bastante disímil, pero si se aplica la metodología se construye un “estado sintético” que tiene un comportamiento prácticamente idéntico a California. Con este estado sintético como grupo de comparación, se puede medir el impacto de la proposición en cuestión.</w:t>
      </w:r>
    </w:p>
    <w:p w:rsidR="005852B3" w:rsidRDefault="005852B3" w:rsidP="0025681E">
      <w:pPr>
        <w:pStyle w:val="ListParagraph"/>
        <w:shd w:val="clear" w:color="auto" w:fill="FFFFFF"/>
        <w:spacing w:before="120" w:after="120"/>
        <w:ind w:left="-180"/>
        <w:contextualSpacing w:val="0"/>
        <w:jc w:val="both"/>
        <w:rPr>
          <w:color w:val="000000"/>
        </w:rPr>
      </w:pPr>
      <w:r>
        <w:rPr>
          <w:noProof/>
        </w:rPr>
        <w:drawing>
          <wp:inline distT="0" distB="0" distL="0" distR="0" wp14:anchorId="20A6BAB4" wp14:editId="37553FEB">
            <wp:extent cx="5943600" cy="320040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200400"/>
                    </a:xfrm>
                    <a:prstGeom prst="rect">
                      <a:avLst/>
                    </a:prstGeom>
                  </pic:spPr>
                </pic:pic>
              </a:graphicData>
            </a:graphic>
          </wp:inline>
        </w:drawing>
      </w:r>
    </w:p>
    <w:p w:rsidR="005852B3" w:rsidRPr="0023137E" w:rsidRDefault="005852B3" w:rsidP="00546746">
      <w:pPr>
        <w:pStyle w:val="ListParagraph"/>
        <w:numPr>
          <w:ilvl w:val="1"/>
          <w:numId w:val="38"/>
        </w:numPr>
        <w:shd w:val="clear" w:color="auto" w:fill="FFFFFF"/>
        <w:spacing w:before="120" w:after="120"/>
        <w:ind w:left="907" w:hanging="547"/>
        <w:contextualSpacing w:val="0"/>
        <w:jc w:val="both"/>
        <w:rPr>
          <w:color w:val="000000"/>
          <w:lang w:val="es-ES"/>
        </w:rPr>
      </w:pPr>
      <w:r w:rsidRPr="005852B3">
        <w:rPr>
          <w:color w:val="000000"/>
          <w:lang w:val="es-ES"/>
        </w:rPr>
        <w:t xml:space="preserve">El gráfico anterior, tomada de </w:t>
      </w:r>
      <w:proofErr w:type="spellStart"/>
      <w:r w:rsidRPr="005852B3">
        <w:rPr>
          <w:color w:val="000000"/>
          <w:lang w:val="es-ES"/>
        </w:rPr>
        <w:t>Abadie</w:t>
      </w:r>
      <w:proofErr w:type="spellEnd"/>
      <w:r w:rsidRPr="005852B3">
        <w:rPr>
          <w:color w:val="000000"/>
          <w:lang w:val="es-ES"/>
        </w:rPr>
        <w:t xml:space="preserve"> et al. (2007) muestra la venta de paquetes de cigarrillos per cápita antes y después de la proposición 99, en California y en el resto del país. Se observa una tendencia decreciente a partir de mediados de los 70 en California y a partir de mediados de los 80 en el resto del país, y también se observa que en California la tendencia decreciente parece ampliarse a partir de la aprobación de la proposición 99. No obstante, dadas las diferencias en niveles y en tendencias entre ambos grupos, no es claro qué porcentaje de la diferencia observada en 1990 o 1995 es debido a la proposición y cual a las diferencias previas.</w:t>
      </w:r>
    </w:p>
    <w:p w:rsidR="005852B3" w:rsidRPr="0023137E" w:rsidRDefault="005852B3" w:rsidP="00546746">
      <w:pPr>
        <w:pStyle w:val="ListParagraph"/>
        <w:numPr>
          <w:ilvl w:val="1"/>
          <w:numId w:val="38"/>
        </w:numPr>
        <w:shd w:val="clear" w:color="auto" w:fill="FFFFFF"/>
        <w:spacing w:before="120" w:after="120"/>
        <w:ind w:left="907" w:hanging="547"/>
        <w:contextualSpacing w:val="0"/>
        <w:jc w:val="both"/>
        <w:rPr>
          <w:color w:val="000000"/>
          <w:lang w:val="es-ES"/>
        </w:rPr>
      </w:pPr>
      <w:r w:rsidRPr="005852B3">
        <w:rPr>
          <w:color w:val="000000"/>
          <w:lang w:val="es-ES"/>
        </w:rPr>
        <w:t xml:space="preserve">La metodología de </w:t>
      </w:r>
      <w:proofErr w:type="spellStart"/>
      <w:r w:rsidRPr="005852B3">
        <w:rPr>
          <w:color w:val="000000"/>
          <w:lang w:val="es-ES"/>
        </w:rPr>
        <w:t>Abadie</w:t>
      </w:r>
      <w:proofErr w:type="spellEnd"/>
      <w:r w:rsidRPr="005852B3">
        <w:rPr>
          <w:color w:val="000000"/>
          <w:lang w:val="es-ES"/>
        </w:rPr>
        <w:t xml:space="preserve"> y </w:t>
      </w:r>
      <w:proofErr w:type="spellStart"/>
      <w:r w:rsidRPr="005852B3">
        <w:rPr>
          <w:color w:val="000000"/>
          <w:lang w:val="es-ES"/>
        </w:rPr>
        <w:t>Gardeazabal</w:t>
      </w:r>
      <w:proofErr w:type="spellEnd"/>
      <w:r w:rsidRPr="005852B3">
        <w:rPr>
          <w:color w:val="000000"/>
          <w:lang w:val="es-ES"/>
        </w:rPr>
        <w:t xml:space="preserve"> (2003) lo que hace es construir un estado sintético idéntico a California en la etapa pre-proposición 99. Con esto, es posible tener un estimador del impacto de dicha medida, como se observa en la siguiente figura. La diferencia entre los grupos después de la aprobación de la proposición 99 puede atribuirse a dicha intervención.</w:t>
      </w:r>
    </w:p>
    <w:p w:rsidR="005852B3" w:rsidRPr="0023137E" w:rsidRDefault="005852B3" w:rsidP="0025681E">
      <w:pPr>
        <w:pStyle w:val="ListParagraph"/>
        <w:keepNext/>
        <w:shd w:val="clear" w:color="auto" w:fill="FFFFFF"/>
        <w:spacing w:before="120" w:after="120"/>
        <w:ind w:left="-180"/>
        <w:contextualSpacing w:val="0"/>
        <w:jc w:val="both"/>
        <w:rPr>
          <w:color w:val="000000"/>
          <w:lang w:val="es-ES"/>
        </w:rPr>
      </w:pPr>
      <w:r>
        <w:rPr>
          <w:noProof/>
        </w:rPr>
        <w:lastRenderedPageBreak/>
        <w:drawing>
          <wp:inline distT="0" distB="0" distL="0" distR="0" wp14:anchorId="5C81DA82" wp14:editId="7CA899A5">
            <wp:extent cx="5905500" cy="3076575"/>
            <wp:effectExtent l="0" t="0" r="0"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05500" cy="3076575"/>
                    </a:xfrm>
                    <a:prstGeom prst="rect">
                      <a:avLst/>
                    </a:prstGeom>
                  </pic:spPr>
                </pic:pic>
              </a:graphicData>
            </a:graphic>
          </wp:inline>
        </w:drawing>
      </w:r>
    </w:p>
    <w:p w:rsidR="005852B3" w:rsidRDefault="005852B3" w:rsidP="00546746">
      <w:pPr>
        <w:pStyle w:val="ListParagraph"/>
        <w:numPr>
          <w:ilvl w:val="1"/>
          <w:numId w:val="38"/>
        </w:numPr>
        <w:shd w:val="clear" w:color="auto" w:fill="FFFFFF"/>
        <w:spacing w:before="120" w:after="120"/>
        <w:ind w:left="907" w:hanging="547"/>
        <w:contextualSpacing w:val="0"/>
        <w:jc w:val="both"/>
        <w:rPr>
          <w:color w:val="000000"/>
          <w:lang w:val="es-ES"/>
        </w:rPr>
      </w:pPr>
      <w:r w:rsidRPr="00B83710">
        <w:rPr>
          <w:color w:val="000000"/>
          <w:lang w:val="es-ES"/>
        </w:rPr>
        <w:t>Para llevar a cabo la evaluación</w:t>
      </w:r>
      <w:r>
        <w:rPr>
          <w:color w:val="000000"/>
          <w:lang w:val="es-ES"/>
        </w:rPr>
        <w:t xml:space="preserve"> ex-ante</w:t>
      </w:r>
      <w:r w:rsidRPr="00B83710">
        <w:rPr>
          <w:color w:val="000000"/>
          <w:lang w:val="es-ES"/>
        </w:rPr>
        <w:t xml:space="preserve">, se utilizó el software </w:t>
      </w:r>
      <w:r>
        <w:rPr>
          <w:color w:val="000000"/>
          <w:lang w:val="es-ES"/>
        </w:rPr>
        <w:t>STATA versión 12.0.</w:t>
      </w:r>
    </w:p>
    <w:p w:rsidR="005852B3" w:rsidRDefault="005852B3" w:rsidP="005852B3">
      <w:pPr>
        <w:shd w:val="clear" w:color="auto" w:fill="FFFFFF"/>
        <w:spacing w:before="120" w:after="120"/>
        <w:ind w:left="360"/>
        <w:jc w:val="both"/>
        <w:rPr>
          <w:color w:val="000000"/>
          <w:lang w:val="es-ES"/>
        </w:rPr>
      </w:pPr>
      <w:r>
        <w:rPr>
          <w:noProof/>
        </w:rPr>
        <w:drawing>
          <wp:inline distT="0" distB="0" distL="0" distR="0" wp14:anchorId="6B1B48C6" wp14:editId="10C3BB42">
            <wp:extent cx="5943600" cy="2085975"/>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2085975"/>
                    </a:xfrm>
                    <a:prstGeom prst="rect">
                      <a:avLst/>
                    </a:prstGeom>
                  </pic:spPr>
                </pic:pic>
              </a:graphicData>
            </a:graphic>
          </wp:inline>
        </w:drawing>
      </w:r>
    </w:p>
    <w:p w:rsidR="005852B3" w:rsidRDefault="005852B3" w:rsidP="005852B3">
      <w:pPr>
        <w:shd w:val="clear" w:color="auto" w:fill="FFFFFF"/>
        <w:spacing w:before="120" w:after="120"/>
        <w:ind w:left="360"/>
        <w:jc w:val="both"/>
        <w:rPr>
          <w:color w:val="000000"/>
          <w:lang w:val="es-ES"/>
        </w:rPr>
      </w:pPr>
    </w:p>
    <w:p w:rsidR="005852B3" w:rsidRPr="005852B3" w:rsidRDefault="005852B3" w:rsidP="00546746">
      <w:pPr>
        <w:pStyle w:val="ListParagraph"/>
        <w:numPr>
          <w:ilvl w:val="1"/>
          <w:numId w:val="38"/>
        </w:numPr>
        <w:shd w:val="clear" w:color="auto" w:fill="FFFFFF"/>
        <w:spacing w:before="120" w:after="120"/>
        <w:ind w:left="900" w:hanging="540"/>
        <w:contextualSpacing w:val="0"/>
        <w:jc w:val="both"/>
        <w:rPr>
          <w:color w:val="000000"/>
          <w:lang w:val="es-ES"/>
        </w:rPr>
      </w:pPr>
      <w:r w:rsidRPr="005852B3">
        <w:rPr>
          <w:b/>
          <w:color w:val="000000"/>
          <w:lang w:val="es-ES"/>
        </w:rPr>
        <w:t>La función “</w:t>
      </w:r>
      <w:proofErr w:type="spellStart"/>
      <w:r w:rsidRPr="005852B3">
        <w:rPr>
          <w:b/>
          <w:color w:val="000000"/>
          <w:lang w:val="es-ES"/>
        </w:rPr>
        <w:t>Synth</w:t>
      </w:r>
      <w:proofErr w:type="spellEnd"/>
      <w:r w:rsidRPr="005852B3">
        <w:rPr>
          <w:b/>
          <w:color w:val="000000"/>
          <w:lang w:val="es-ES"/>
        </w:rPr>
        <w:t>”</w:t>
      </w:r>
      <w:r w:rsidRPr="005852B3">
        <w:rPr>
          <w:color w:val="000000"/>
          <w:lang w:val="es-ES"/>
        </w:rPr>
        <w:t xml:space="preserve"> implementa el método de Control Sintético para inferencias causales (la eficacia de una intervención en una unidad de tratamiento) en soporte a estudios </w:t>
      </w:r>
      <w:r w:rsidRPr="00D36014">
        <w:rPr>
          <w:color w:val="000000"/>
          <w:lang w:val="es-ES"/>
        </w:rPr>
        <w:t>comparativos</w:t>
      </w:r>
      <w:r w:rsidRPr="005852B3">
        <w:rPr>
          <w:color w:val="000000"/>
          <w:lang w:val="es-ES"/>
        </w:rPr>
        <w:t xml:space="preserve">. El método estima el efecto de una intervención de interés comparando la evolución de un resultado específico del tratamiento (una variable de interés del tipo agregado) referente a la unidad afectada por la intervención con la </w:t>
      </w:r>
      <w:r w:rsidR="00CB609D" w:rsidRPr="005852B3">
        <w:rPr>
          <w:color w:val="000000"/>
          <w:lang w:val="es-ES"/>
        </w:rPr>
        <w:t>evolución del</w:t>
      </w:r>
      <w:r w:rsidRPr="005852B3">
        <w:rPr>
          <w:color w:val="000000"/>
          <w:lang w:val="es-ES"/>
        </w:rPr>
        <w:t xml:space="preserve"> mismo resultado para el grupo de control sintético. La función selecciona el grupo de control sintético buscando por la combinación de los pesos de las unidades del grupo de control (pool de donantes) más similares con el de la unidad afectada por la intervención. La evolución de los resultados del grupo de control sintético es una estimación del contra factual de lo que debería ocurrir en la ausencia de la intervención.</w:t>
      </w:r>
    </w:p>
    <w:p w:rsidR="005852B3" w:rsidRPr="005852B3" w:rsidRDefault="005852B3" w:rsidP="00030889">
      <w:pPr>
        <w:pStyle w:val="ListParagraph"/>
        <w:keepNext/>
        <w:numPr>
          <w:ilvl w:val="1"/>
          <w:numId w:val="38"/>
        </w:numPr>
        <w:shd w:val="clear" w:color="auto" w:fill="FFFFFF"/>
        <w:spacing w:before="120" w:after="120"/>
        <w:ind w:left="900" w:hanging="540"/>
        <w:contextualSpacing w:val="0"/>
        <w:jc w:val="both"/>
        <w:rPr>
          <w:b/>
          <w:color w:val="000000"/>
          <w:lang w:val="es-ES"/>
        </w:rPr>
      </w:pPr>
      <w:r w:rsidRPr="005852B3">
        <w:rPr>
          <w:b/>
          <w:color w:val="000000"/>
          <w:lang w:val="es-ES"/>
        </w:rPr>
        <w:lastRenderedPageBreak/>
        <w:t xml:space="preserve">El comando tiene el siguiente formato: </w:t>
      </w:r>
    </w:p>
    <w:p w:rsidR="005852B3" w:rsidRPr="005852B3" w:rsidRDefault="005852B3" w:rsidP="00030889">
      <w:pPr>
        <w:pStyle w:val="ListParagraph"/>
        <w:keepNext/>
        <w:shd w:val="clear" w:color="auto" w:fill="FFFFFF"/>
        <w:spacing w:before="120" w:after="120"/>
        <w:jc w:val="both"/>
        <w:rPr>
          <w:color w:val="000000"/>
          <w:lang w:val="es-ES"/>
        </w:rPr>
      </w:pPr>
      <w:proofErr w:type="spellStart"/>
      <w:proofErr w:type="gramStart"/>
      <w:r w:rsidRPr="005852B3">
        <w:rPr>
          <w:color w:val="000000"/>
          <w:lang w:val="es-ES"/>
        </w:rPr>
        <w:t>synth</w:t>
      </w:r>
      <w:proofErr w:type="spellEnd"/>
      <w:proofErr w:type="gramEnd"/>
      <w:r w:rsidRPr="005852B3">
        <w:rPr>
          <w:color w:val="000000"/>
          <w:lang w:val="es-ES"/>
        </w:rPr>
        <w:t xml:space="preserve"> </w:t>
      </w:r>
      <w:proofErr w:type="spellStart"/>
      <w:r w:rsidRPr="005852B3">
        <w:rPr>
          <w:color w:val="000000"/>
          <w:lang w:val="es-ES"/>
        </w:rPr>
        <w:t>expgsgdp</w:t>
      </w:r>
      <w:proofErr w:type="spellEnd"/>
      <w:r w:rsidRPr="005852B3">
        <w:rPr>
          <w:color w:val="000000"/>
          <w:lang w:val="es-ES"/>
        </w:rPr>
        <w:t xml:space="preserve"> </w:t>
      </w:r>
      <w:proofErr w:type="spellStart"/>
      <w:r w:rsidRPr="005852B3">
        <w:rPr>
          <w:color w:val="000000"/>
          <w:lang w:val="es-ES"/>
        </w:rPr>
        <w:t>expgsgdp</w:t>
      </w:r>
      <w:proofErr w:type="spellEnd"/>
      <w:r w:rsidRPr="005852B3">
        <w:rPr>
          <w:color w:val="000000"/>
          <w:lang w:val="es-ES"/>
        </w:rPr>
        <w:t xml:space="preserve"> </w:t>
      </w:r>
      <w:proofErr w:type="spellStart"/>
      <w:r w:rsidRPr="005852B3">
        <w:rPr>
          <w:color w:val="000000"/>
          <w:lang w:val="es-ES"/>
        </w:rPr>
        <w:t>tradegdp</w:t>
      </w:r>
      <w:proofErr w:type="spellEnd"/>
      <w:r w:rsidRPr="005852B3">
        <w:rPr>
          <w:color w:val="000000"/>
          <w:lang w:val="es-ES"/>
        </w:rPr>
        <w:t xml:space="preserve"> </w:t>
      </w:r>
      <w:proofErr w:type="spellStart"/>
      <w:r w:rsidRPr="005852B3">
        <w:rPr>
          <w:color w:val="000000"/>
          <w:lang w:val="es-ES"/>
        </w:rPr>
        <w:t>tanspservexp</w:t>
      </w:r>
      <w:proofErr w:type="spellEnd"/>
      <w:r w:rsidRPr="005852B3">
        <w:rPr>
          <w:color w:val="000000"/>
          <w:lang w:val="es-ES"/>
        </w:rPr>
        <w:t xml:space="preserve"> </w:t>
      </w:r>
      <w:proofErr w:type="spellStart"/>
      <w:r w:rsidRPr="005852B3">
        <w:rPr>
          <w:color w:val="000000"/>
          <w:lang w:val="es-ES"/>
        </w:rPr>
        <w:t>communexp</w:t>
      </w:r>
      <w:proofErr w:type="spellEnd"/>
      <w:r w:rsidRPr="005852B3">
        <w:rPr>
          <w:color w:val="000000"/>
          <w:lang w:val="es-ES"/>
        </w:rPr>
        <w:t xml:space="preserve"> </w:t>
      </w:r>
      <w:proofErr w:type="spellStart"/>
      <w:r w:rsidRPr="005852B3">
        <w:rPr>
          <w:color w:val="000000"/>
          <w:lang w:val="es-ES"/>
        </w:rPr>
        <w:t>timeciexp</w:t>
      </w:r>
      <w:proofErr w:type="spellEnd"/>
      <w:r w:rsidRPr="005852B3">
        <w:rPr>
          <w:color w:val="000000"/>
          <w:lang w:val="es-ES"/>
        </w:rPr>
        <w:t xml:space="preserve"> </w:t>
      </w:r>
      <w:proofErr w:type="spellStart"/>
      <w:r w:rsidRPr="005852B3">
        <w:rPr>
          <w:color w:val="000000"/>
          <w:lang w:val="es-ES"/>
        </w:rPr>
        <w:t>sevgdp</w:t>
      </w:r>
      <w:proofErr w:type="spellEnd"/>
      <w:r w:rsidRPr="005852B3">
        <w:rPr>
          <w:color w:val="000000"/>
          <w:lang w:val="es-ES"/>
        </w:rPr>
        <w:t xml:space="preserve"> </w:t>
      </w:r>
      <w:proofErr w:type="spellStart"/>
      <w:r w:rsidRPr="005852B3">
        <w:rPr>
          <w:color w:val="000000"/>
          <w:lang w:val="es-ES"/>
        </w:rPr>
        <w:t>tradeservgdp</w:t>
      </w:r>
      <w:proofErr w:type="spellEnd"/>
      <w:r w:rsidRPr="005852B3">
        <w:rPr>
          <w:color w:val="000000"/>
          <w:lang w:val="es-ES"/>
        </w:rPr>
        <w:t xml:space="preserve"> </w:t>
      </w:r>
      <w:proofErr w:type="spellStart"/>
      <w:r w:rsidRPr="005852B3">
        <w:rPr>
          <w:color w:val="000000"/>
          <w:lang w:val="es-ES"/>
        </w:rPr>
        <w:t>foreigInvgdp</w:t>
      </w:r>
      <w:proofErr w:type="spellEnd"/>
      <w:r w:rsidRPr="005852B3">
        <w:rPr>
          <w:color w:val="000000"/>
          <w:lang w:val="es-ES"/>
        </w:rPr>
        <w:t xml:space="preserve"> </w:t>
      </w:r>
      <w:proofErr w:type="spellStart"/>
      <w:r w:rsidRPr="005852B3">
        <w:rPr>
          <w:color w:val="000000"/>
          <w:lang w:val="es-ES"/>
        </w:rPr>
        <w:t>timeexp</w:t>
      </w:r>
      <w:proofErr w:type="spellEnd"/>
      <w:r w:rsidRPr="005852B3">
        <w:rPr>
          <w:color w:val="000000"/>
          <w:lang w:val="es-ES"/>
        </w:rPr>
        <w:t xml:space="preserve"> </w:t>
      </w:r>
      <w:proofErr w:type="spellStart"/>
      <w:r w:rsidRPr="005852B3">
        <w:rPr>
          <w:color w:val="000000"/>
          <w:lang w:val="es-ES"/>
        </w:rPr>
        <w:t>costexpcontain</w:t>
      </w:r>
      <w:proofErr w:type="spellEnd"/>
      <w:r w:rsidRPr="005852B3">
        <w:rPr>
          <w:color w:val="000000"/>
          <w:lang w:val="es-ES"/>
        </w:rPr>
        <w:t xml:space="preserve"> </w:t>
      </w:r>
      <w:proofErr w:type="spellStart"/>
      <w:r w:rsidRPr="005852B3">
        <w:rPr>
          <w:color w:val="000000"/>
          <w:lang w:val="es-ES"/>
        </w:rPr>
        <w:t>costimpcontain</w:t>
      </w:r>
      <w:proofErr w:type="spellEnd"/>
      <w:r w:rsidRPr="005852B3">
        <w:rPr>
          <w:color w:val="000000"/>
          <w:lang w:val="es-ES"/>
        </w:rPr>
        <w:t xml:space="preserve"> </w:t>
      </w:r>
      <w:proofErr w:type="spellStart"/>
      <w:r w:rsidRPr="005852B3">
        <w:rPr>
          <w:color w:val="000000"/>
          <w:lang w:val="es-ES"/>
        </w:rPr>
        <w:t>conttrafficport</w:t>
      </w:r>
      <w:proofErr w:type="spellEnd"/>
      <w:r w:rsidRPr="005852B3">
        <w:rPr>
          <w:color w:val="000000"/>
          <w:lang w:val="es-ES"/>
        </w:rPr>
        <w:t xml:space="preserve"> </w:t>
      </w:r>
      <w:proofErr w:type="spellStart"/>
      <w:r w:rsidRPr="005852B3">
        <w:rPr>
          <w:color w:val="000000"/>
          <w:lang w:val="es-ES"/>
        </w:rPr>
        <w:t>logistindex</w:t>
      </w:r>
      <w:proofErr w:type="spellEnd"/>
      <w:r w:rsidRPr="005852B3">
        <w:rPr>
          <w:color w:val="000000"/>
          <w:lang w:val="es-ES"/>
        </w:rPr>
        <w:t xml:space="preserve">, </w:t>
      </w:r>
      <w:proofErr w:type="spellStart"/>
      <w:r w:rsidRPr="005852B3">
        <w:rPr>
          <w:color w:val="000000"/>
          <w:lang w:val="es-ES"/>
        </w:rPr>
        <w:t>trunit</w:t>
      </w:r>
      <w:proofErr w:type="spellEnd"/>
      <w:r w:rsidRPr="005852B3">
        <w:rPr>
          <w:color w:val="000000"/>
          <w:lang w:val="es-ES"/>
        </w:rPr>
        <w:t xml:space="preserve">(1) </w:t>
      </w:r>
      <w:proofErr w:type="spellStart"/>
      <w:r w:rsidRPr="005852B3">
        <w:rPr>
          <w:color w:val="000000"/>
          <w:lang w:val="es-ES"/>
        </w:rPr>
        <w:t>trperiod</w:t>
      </w:r>
      <w:proofErr w:type="spellEnd"/>
      <w:r w:rsidRPr="005852B3">
        <w:rPr>
          <w:color w:val="000000"/>
          <w:lang w:val="es-ES"/>
        </w:rPr>
        <w:t xml:space="preserve">(2014) </w:t>
      </w:r>
      <w:proofErr w:type="spellStart"/>
      <w:r w:rsidRPr="005852B3">
        <w:rPr>
          <w:color w:val="000000"/>
          <w:lang w:val="es-ES"/>
        </w:rPr>
        <w:t>nested</w:t>
      </w:r>
      <w:proofErr w:type="spellEnd"/>
      <w:r w:rsidRPr="005852B3">
        <w:rPr>
          <w:color w:val="000000"/>
          <w:lang w:val="es-ES"/>
        </w:rPr>
        <w:t xml:space="preserve"> figure. </w:t>
      </w:r>
    </w:p>
    <w:p w:rsidR="005852B3" w:rsidRPr="005852B3" w:rsidRDefault="005852B3" w:rsidP="005852B3">
      <w:pPr>
        <w:pStyle w:val="ListParagraph"/>
        <w:shd w:val="clear" w:color="auto" w:fill="FFFFFF"/>
        <w:spacing w:before="120" w:after="120"/>
        <w:jc w:val="both"/>
        <w:rPr>
          <w:color w:val="000000"/>
          <w:lang w:val="es-ES"/>
        </w:rPr>
      </w:pPr>
    </w:p>
    <w:p w:rsidR="005852B3" w:rsidRPr="00C4142C" w:rsidRDefault="005852B3" w:rsidP="005852B3">
      <w:pPr>
        <w:pStyle w:val="ListParagraph"/>
        <w:shd w:val="clear" w:color="auto" w:fill="FFFFFF"/>
        <w:spacing w:before="120" w:after="120"/>
        <w:jc w:val="both"/>
        <w:rPr>
          <w:color w:val="000000"/>
        </w:rPr>
      </w:pPr>
      <w:proofErr w:type="spellStart"/>
      <w:r>
        <w:rPr>
          <w:color w:val="000000"/>
        </w:rPr>
        <w:t>Dónde</w:t>
      </w:r>
      <w:proofErr w:type="spellEnd"/>
      <w:r>
        <w:rPr>
          <w:color w:val="000000"/>
        </w:rPr>
        <w:t>:</w:t>
      </w:r>
    </w:p>
    <w:p w:rsidR="005852B3" w:rsidRDefault="005852B3" w:rsidP="00965C57">
      <w:pPr>
        <w:pStyle w:val="ListParagraph"/>
        <w:numPr>
          <w:ilvl w:val="0"/>
          <w:numId w:val="17"/>
        </w:numPr>
        <w:shd w:val="clear" w:color="auto" w:fill="FFFFFF"/>
        <w:spacing w:before="120" w:after="120"/>
        <w:jc w:val="both"/>
        <w:rPr>
          <w:color w:val="000000"/>
        </w:rPr>
      </w:pPr>
      <w:proofErr w:type="spellStart"/>
      <w:r>
        <w:rPr>
          <w:color w:val="000000"/>
        </w:rPr>
        <w:t>Comando</w:t>
      </w:r>
      <w:proofErr w:type="spellEnd"/>
      <w:r>
        <w:rPr>
          <w:color w:val="000000"/>
        </w:rPr>
        <w:t xml:space="preserve"> = </w:t>
      </w:r>
      <w:r w:rsidRPr="00C4142C">
        <w:rPr>
          <w:color w:val="000000"/>
        </w:rPr>
        <w:t xml:space="preserve">synth </w:t>
      </w:r>
    </w:p>
    <w:p w:rsidR="005852B3" w:rsidRPr="005852B3" w:rsidRDefault="005852B3" w:rsidP="00965C57">
      <w:pPr>
        <w:pStyle w:val="ListParagraph"/>
        <w:numPr>
          <w:ilvl w:val="0"/>
          <w:numId w:val="17"/>
        </w:numPr>
        <w:shd w:val="clear" w:color="auto" w:fill="FFFFFF"/>
        <w:spacing w:before="120" w:after="120"/>
        <w:jc w:val="both"/>
        <w:rPr>
          <w:color w:val="000000"/>
          <w:lang w:val="es-ES"/>
        </w:rPr>
      </w:pPr>
      <w:r w:rsidRPr="005852B3">
        <w:rPr>
          <w:color w:val="000000"/>
          <w:lang w:val="es-ES"/>
        </w:rPr>
        <w:t xml:space="preserve">Variable de interés = </w:t>
      </w:r>
      <w:proofErr w:type="spellStart"/>
      <w:r w:rsidRPr="005852B3">
        <w:rPr>
          <w:color w:val="000000"/>
          <w:lang w:val="es-ES"/>
        </w:rPr>
        <w:t>expgsgdp</w:t>
      </w:r>
      <w:proofErr w:type="spellEnd"/>
      <w:r w:rsidRPr="005852B3">
        <w:rPr>
          <w:color w:val="000000"/>
          <w:lang w:val="es-ES"/>
        </w:rPr>
        <w:t xml:space="preserve"> (</w:t>
      </w:r>
      <w:r w:rsidRPr="005852B3">
        <w:rPr>
          <w:rFonts w:eastAsia="Calibri"/>
          <w:lang w:val="es-ES"/>
        </w:rPr>
        <w:t>Exportaciones de Bienes y Servicios % PIB)</w:t>
      </w:r>
    </w:p>
    <w:p w:rsidR="005852B3" w:rsidRPr="005852B3" w:rsidRDefault="005852B3" w:rsidP="00965C57">
      <w:pPr>
        <w:pStyle w:val="ListParagraph"/>
        <w:numPr>
          <w:ilvl w:val="0"/>
          <w:numId w:val="17"/>
        </w:numPr>
        <w:shd w:val="clear" w:color="auto" w:fill="FFFFFF"/>
        <w:spacing w:before="120" w:after="120"/>
        <w:jc w:val="both"/>
        <w:rPr>
          <w:color w:val="000000"/>
          <w:lang w:val="es-ES"/>
        </w:rPr>
      </w:pPr>
      <w:r w:rsidRPr="005852B3">
        <w:rPr>
          <w:color w:val="000000"/>
          <w:lang w:val="es-ES"/>
        </w:rPr>
        <w:t xml:space="preserve">Variables de control = </w:t>
      </w:r>
      <w:proofErr w:type="spellStart"/>
      <w:r w:rsidRPr="005852B3">
        <w:rPr>
          <w:color w:val="000000"/>
          <w:lang w:val="es-ES"/>
        </w:rPr>
        <w:t>expgsgdp</w:t>
      </w:r>
      <w:proofErr w:type="spellEnd"/>
      <w:r w:rsidRPr="005852B3">
        <w:rPr>
          <w:color w:val="000000"/>
          <w:lang w:val="es-ES"/>
        </w:rPr>
        <w:t xml:space="preserve"> </w:t>
      </w:r>
      <w:proofErr w:type="spellStart"/>
      <w:r w:rsidRPr="005852B3">
        <w:rPr>
          <w:color w:val="000000"/>
          <w:lang w:val="es-ES"/>
        </w:rPr>
        <w:t>tradegdp</w:t>
      </w:r>
      <w:proofErr w:type="spellEnd"/>
      <w:r w:rsidRPr="005852B3">
        <w:rPr>
          <w:color w:val="000000"/>
          <w:lang w:val="es-ES"/>
        </w:rPr>
        <w:t xml:space="preserve"> </w:t>
      </w:r>
      <w:proofErr w:type="spellStart"/>
      <w:r w:rsidRPr="005852B3">
        <w:rPr>
          <w:color w:val="000000"/>
          <w:lang w:val="es-ES"/>
        </w:rPr>
        <w:t>tanspservexp</w:t>
      </w:r>
      <w:proofErr w:type="spellEnd"/>
      <w:r w:rsidRPr="005852B3">
        <w:rPr>
          <w:color w:val="000000"/>
          <w:lang w:val="es-ES"/>
        </w:rPr>
        <w:t xml:space="preserve"> </w:t>
      </w:r>
      <w:proofErr w:type="spellStart"/>
      <w:r w:rsidRPr="005852B3">
        <w:rPr>
          <w:color w:val="000000"/>
          <w:lang w:val="es-ES"/>
        </w:rPr>
        <w:t>communexp</w:t>
      </w:r>
      <w:proofErr w:type="spellEnd"/>
      <w:r w:rsidRPr="005852B3">
        <w:rPr>
          <w:color w:val="000000"/>
          <w:lang w:val="es-ES"/>
        </w:rPr>
        <w:t xml:space="preserve"> </w:t>
      </w:r>
      <w:proofErr w:type="spellStart"/>
      <w:r w:rsidRPr="005852B3">
        <w:rPr>
          <w:color w:val="000000"/>
          <w:lang w:val="es-ES"/>
        </w:rPr>
        <w:t>timeciexp</w:t>
      </w:r>
      <w:proofErr w:type="spellEnd"/>
      <w:r w:rsidRPr="005852B3">
        <w:rPr>
          <w:color w:val="000000"/>
          <w:lang w:val="es-ES"/>
        </w:rPr>
        <w:t xml:space="preserve"> </w:t>
      </w:r>
      <w:proofErr w:type="spellStart"/>
      <w:r w:rsidRPr="005852B3">
        <w:rPr>
          <w:color w:val="000000"/>
          <w:lang w:val="es-ES"/>
        </w:rPr>
        <w:t>sevgdp</w:t>
      </w:r>
      <w:proofErr w:type="spellEnd"/>
      <w:r w:rsidRPr="005852B3">
        <w:rPr>
          <w:color w:val="000000"/>
          <w:lang w:val="es-ES"/>
        </w:rPr>
        <w:t xml:space="preserve"> </w:t>
      </w:r>
      <w:proofErr w:type="spellStart"/>
      <w:r w:rsidRPr="005852B3">
        <w:rPr>
          <w:color w:val="000000"/>
          <w:lang w:val="es-ES"/>
        </w:rPr>
        <w:t>tradeservgdp</w:t>
      </w:r>
      <w:proofErr w:type="spellEnd"/>
      <w:r w:rsidRPr="005852B3">
        <w:rPr>
          <w:color w:val="000000"/>
          <w:lang w:val="es-ES"/>
        </w:rPr>
        <w:t xml:space="preserve"> </w:t>
      </w:r>
      <w:proofErr w:type="spellStart"/>
      <w:r w:rsidRPr="005852B3">
        <w:rPr>
          <w:color w:val="000000"/>
          <w:lang w:val="es-ES"/>
        </w:rPr>
        <w:t>foreigInvgdp</w:t>
      </w:r>
      <w:proofErr w:type="spellEnd"/>
      <w:r w:rsidRPr="005852B3">
        <w:rPr>
          <w:color w:val="000000"/>
          <w:lang w:val="es-ES"/>
        </w:rPr>
        <w:t xml:space="preserve"> </w:t>
      </w:r>
      <w:proofErr w:type="spellStart"/>
      <w:r w:rsidRPr="005852B3">
        <w:rPr>
          <w:color w:val="000000"/>
          <w:lang w:val="es-ES"/>
        </w:rPr>
        <w:t>timeexp</w:t>
      </w:r>
      <w:proofErr w:type="spellEnd"/>
      <w:r w:rsidRPr="005852B3">
        <w:rPr>
          <w:color w:val="000000"/>
          <w:lang w:val="es-ES"/>
        </w:rPr>
        <w:t xml:space="preserve"> </w:t>
      </w:r>
      <w:proofErr w:type="spellStart"/>
      <w:r w:rsidRPr="005852B3">
        <w:rPr>
          <w:color w:val="000000"/>
          <w:lang w:val="es-ES"/>
        </w:rPr>
        <w:t>costexpcontain</w:t>
      </w:r>
      <w:proofErr w:type="spellEnd"/>
      <w:r w:rsidRPr="005852B3">
        <w:rPr>
          <w:color w:val="000000"/>
          <w:lang w:val="es-ES"/>
        </w:rPr>
        <w:t xml:space="preserve"> </w:t>
      </w:r>
      <w:proofErr w:type="spellStart"/>
      <w:r w:rsidRPr="005852B3">
        <w:rPr>
          <w:color w:val="000000"/>
          <w:lang w:val="es-ES"/>
        </w:rPr>
        <w:t>costimpcontain</w:t>
      </w:r>
      <w:proofErr w:type="spellEnd"/>
      <w:r w:rsidRPr="005852B3">
        <w:rPr>
          <w:color w:val="000000"/>
          <w:lang w:val="es-ES"/>
        </w:rPr>
        <w:t xml:space="preserve"> </w:t>
      </w:r>
      <w:proofErr w:type="spellStart"/>
      <w:r w:rsidRPr="005852B3">
        <w:rPr>
          <w:color w:val="000000"/>
          <w:lang w:val="es-ES"/>
        </w:rPr>
        <w:t>conttrafficport</w:t>
      </w:r>
      <w:proofErr w:type="spellEnd"/>
      <w:r w:rsidRPr="005852B3">
        <w:rPr>
          <w:color w:val="000000"/>
          <w:lang w:val="es-ES"/>
        </w:rPr>
        <w:t xml:space="preserve"> </w:t>
      </w:r>
      <w:proofErr w:type="spellStart"/>
      <w:r w:rsidRPr="005852B3">
        <w:rPr>
          <w:color w:val="000000"/>
          <w:lang w:val="es-ES"/>
        </w:rPr>
        <w:t>logistindex</w:t>
      </w:r>
      <w:proofErr w:type="spellEnd"/>
      <w:r w:rsidRPr="005852B3">
        <w:rPr>
          <w:color w:val="000000"/>
          <w:lang w:val="es-ES"/>
        </w:rPr>
        <w:t xml:space="preserve"> (ver definición en el cuadro II).</w:t>
      </w:r>
    </w:p>
    <w:p w:rsidR="005852B3" w:rsidRPr="005852B3" w:rsidRDefault="005852B3" w:rsidP="00965C57">
      <w:pPr>
        <w:pStyle w:val="ListParagraph"/>
        <w:numPr>
          <w:ilvl w:val="0"/>
          <w:numId w:val="17"/>
        </w:numPr>
        <w:shd w:val="clear" w:color="auto" w:fill="FFFFFF"/>
        <w:spacing w:before="120" w:after="120"/>
        <w:jc w:val="both"/>
        <w:rPr>
          <w:color w:val="000000"/>
          <w:lang w:val="es-ES"/>
        </w:rPr>
      </w:pPr>
      <w:r w:rsidRPr="005852B3">
        <w:rPr>
          <w:color w:val="000000"/>
          <w:lang w:val="es-ES"/>
        </w:rPr>
        <w:t xml:space="preserve">Unidad de Tratamiento </w:t>
      </w:r>
      <w:proofErr w:type="spellStart"/>
      <w:r w:rsidRPr="005852B3">
        <w:rPr>
          <w:color w:val="000000"/>
          <w:lang w:val="es-ES"/>
        </w:rPr>
        <w:t>trunit</w:t>
      </w:r>
      <w:proofErr w:type="spellEnd"/>
      <w:r w:rsidRPr="005852B3">
        <w:rPr>
          <w:color w:val="000000"/>
          <w:lang w:val="es-ES"/>
        </w:rPr>
        <w:t>(1) – (1 corresponde a Panamá)</w:t>
      </w:r>
    </w:p>
    <w:p w:rsidR="005852B3" w:rsidRDefault="005852B3" w:rsidP="00965C57">
      <w:pPr>
        <w:pStyle w:val="ListParagraph"/>
        <w:numPr>
          <w:ilvl w:val="0"/>
          <w:numId w:val="17"/>
        </w:numPr>
        <w:shd w:val="clear" w:color="auto" w:fill="FFFFFF"/>
        <w:spacing w:before="120" w:after="120"/>
        <w:jc w:val="both"/>
        <w:rPr>
          <w:color w:val="000000"/>
        </w:rPr>
      </w:pPr>
      <w:proofErr w:type="spellStart"/>
      <w:r>
        <w:rPr>
          <w:color w:val="000000"/>
        </w:rPr>
        <w:t>Periodo</w:t>
      </w:r>
      <w:proofErr w:type="spellEnd"/>
      <w:r>
        <w:rPr>
          <w:color w:val="000000"/>
        </w:rPr>
        <w:t xml:space="preserve"> = </w:t>
      </w:r>
      <w:proofErr w:type="spellStart"/>
      <w:r w:rsidRPr="00C4142C">
        <w:rPr>
          <w:color w:val="000000"/>
        </w:rPr>
        <w:t>trperiod</w:t>
      </w:r>
      <w:proofErr w:type="spellEnd"/>
      <w:r>
        <w:rPr>
          <w:color w:val="000000"/>
        </w:rPr>
        <w:t xml:space="preserve"> </w:t>
      </w:r>
      <w:r w:rsidRPr="00C4142C">
        <w:rPr>
          <w:color w:val="000000"/>
        </w:rPr>
        <w:t>(2014)</w:t>
      </w:r>
    </w:p>
    <w:p w:rsidR="005852B3" w:rsidRDefault="005852B3" w:rsidP="00965C57">
      <w:pPr>
        <w:pStyle w:val="ListParagraph"/>
        <w:numPr>
          <w:ilvl w:val="0"/>
          <w:numId w:val="17"/>
        </w:numPr>
        <w:shd w:val="clear" w:color="auto" w:fill="FFFFFF"/>
        <w:spacing w:before="120" w:after="120"/>
        <w:jc w:val="both"/>
        <w:rPr>
          <w:color w:val="000000"/>
        </w:rPr>
      </w:pPr>
      <w:proofErr w:type="spellStart"/>
      <w:r>
        <w:rPr>
          <w:color w:val="000000"/>
        </w:rPr>
        <w:t>Precisión</w:t>
      </w:r>
      <w:proofErr w:type="spellEnd"/>
      <w:r>
        <w:rPr>
          <w:color w:val="000000"/>
        </w:rPr>
        <w:t xml:space="preserve"> = nested (</w:t>
      </w:r>
      <w:proofErr w:type="spellStart"/>
      <w:r>
        <w:rPr>
          <w:color w:val="000000"/>
        </w:rPr>
        <w:t>máxima</w:t>
      </w:r>
      <w:proofErr w:type="spellEnd"/>
      <w:r>
        <w:rPr>
          <w:color w:val="000000"/>
        </w:rPr>
        <w:t>)</w:t>
      </w:r>
    </w:p>
    <w:p w:rsidR="005852B3" w:rsidRDefault="005852B3" w:rsidP="00965C57">
      <w:pPr>
        <w:pStyle w:val="ListParagraph"/>
        <w:numPr>
          <w:ilvl w:val="0"/>
          <w:numId w:val="17"/>
        </w:numPr>
        <w:shd w:val="clear" w:color="auto" w:fill="FFFFFF"/>
        <w:spacing w:before="120" w:after="120"/>
        <w:jc w:val="both"/>
        <w:rPr>
          <w:color w:val="000000"/>
        </w:rPr>
      </w:pPr>
      <w:proofErr w:type="spellStart"/>
      <w:r>
        <w:rPr>
          <w:color w:val="000000"/>
        </w:rPr>
        <w:t>Gráfico</w:t>
      </w:r>
      <w:proofErr w:type="spellEnd"/>
      <w:r>
        <w:rPr>
          <w:color w:val="000000"/>
        </w:rPr>
        <w:t xml:space="preserve"> = </w:t>
      </w:r>
      <w:r w:rsidRPr="00C4142C">
        <w:rPr>
          <w:color w:val="000000"/>
        </w:rPr>
        <w:t>figure</w:t>
      </w:r>
      <w:r>
        <w:rPr>
          <w:color w:val="000000"/>
        </w:rPr>
        <w:t xml:space="preserve"> (</w:t>
      </w:r>
      <w:proofErr w:type="spellStart"/>
      <w:r>
        <w:rPr>
          <w:color w:val="000000"/>
        </w:rPr>
        <w:t>generar</w:t>
      </w:r>
      <w:proofErr w:type="spellEnd"/>
      <w:r>
        <w:rPr>
          <w:color w:val="000000"/>
        </w:rPr>
        <w:t>)</w:t>
      </w:r>
    </w:p>
    <w:p w:rsidR="005852B3" w:rsidRDefault="005852B3" w:rsidP="005852B3">
      <w:pPr>
        <w:pStyle w:val="ListParagraph"/>
        <w:shd w:val="clear" w:color="auto" w:fill="FFFFFF"/>
        <w:spacing w:before="120" w:after="120"/>
        <w:ind w:left="1260"/>
        <w:jc w:val="both"/>
        <w:rPr>
          <w:color w:val="000000"/>
        </w:rPr>
      </w:pPr>
    </w:p>
    <w:p w:rsidR="005852B3" w:rsidRPr="0092009C" w:rsidRDefault="005852B3" w:rsidP="00546746">
      <w:pPr>
        <w:pStyle w:val="ListParagraph"/>
        <w:keepNext/>
        <w:numPr>
          <w:ilvl w:val="1"/>
          <w:numId w:val="38"/>
        </w:numPr>
        <w:shd w:val="clear" w:color="auto" w:fill="FFFFFF"/>
        <w:spacing w:before="120" w:after="120"/>
        <w:ind w:left="907" w:hanging="547"/>
        <w:contextualSpacing w:val="0"/>
        <w:jc w:val="both"/>
        <w:rPr>
          <w:color w:val="000000"/>
        </w:rPr>
      </w:pPr>
      <w:r w:rsidRPr="005852B3">
        <w:rPr>
          <w:b/>
          <w:color w:val="000000"/>
          <w:lang w:val="es-ES"/>
        </w:rPr>
        <w:t>Resultados de la Primera Etapa</w:t>
      </w:r>
      <w:r w:rsidRPr="005852B3">
        <w:rPr>
          <w:color w:val="000000"/>
          <w:lang w:val="es-ES"/>
        </w:rPr>
        <w:t xml:space="preserve">: verificación de la información y atribución de parámetros. </w:t>
      </w:r>
      <w:r>
        <w:rPr>
          <w:color w:val="000000"/>
        </w:rPr>
        <w:t xml:space="preserve">Los </w:t>
      </w:r>
      <w:proofErr w:type="spellStart"/>
      <w:r>
        <w:rPr>
          <w:color w:val="000000"/>
        </w:rPr>
        <w:t>datos</w:t>
      </w:r>
      <w:proofErr w:type="spellEnd"/>
      <w:r>
        <w:rPr>
          <w:color w:val="000000"/>
        </w:rPr>
        <w:t xml:space="preserve"> </w:t>
      </w:r>
      <w:proofErr w:type="spellStart"/>
      <w:r>
        <w:rPr>
          <w:color w:val="000000"/>
        </w:rPr>
        <w:t>fueron</w:t>
      </w:r>
      <w:proofErr w:type="spellEnd"/>
      <w:r>
        <w:rPr>
          <w:color w:val="000000"/>
        </w:rPr>
        <w:t xml:space="preserve"> </w:t>
      </w:r>
      <w:proofErr w:type="spellStart"/>
      <w:r>
        <w:rPr>
          <w:color w:val="000000"/>
        </w:rPr>
        <w:t>aceptados</w:t>
      </w:r>
      <w:proofErr w:type="spellEnd"/>
      <w:r>
        <w:rPr>
          <w:color w:val="000000"/>
        </w:rPr>
        <w:t xml:space="preserve"> con </w:t>
      </w:r>
      <w:proofErr w:type="spellStart"/>
      <w:r>
        <w:rPr>
          <w:color w:val="000000"/>
        </w:rPr>
        <w:t>éxito</w:t>
      </w:r>
      <w:proofErr w:type="spellEnd"/>
      <w:r>
        <w:rPr>
          <w:color w:val="000000"/>
        </w:rPr>
        <w:t>.</w:t>
      </w:r>
    </w:p>
    <w:p w:rsidR="005852B3" w:rsidRDefault="005852B3" w:rsidP="005852B3">
      <w:pPr>
        <w:pStyle w:val="ListParagraph"/>
        <w:shd w:val="clear" w:color="auto" w:fill="FFFFFF"/>
        <w:spacing w:before="120" w:after="120"/>
        <w:ind w:left="-810"/>
        <w:contextualSpacing w:val="0"/>
        <w:jc w:val="both"/>
        <w:rPr>
          <w:color w:val="000000"/>
        </w:rPr>
      </w:pPr>
      <w:r>
        <w:rPr>
          <w:noProof/>
        </w:rPr>
        <w:drawing>
          <wp:inline distT="0" distB="0" distL="0" distR="0" wp14:anchorId="3FF39909" wp14:editId="7F42C1BC">
            <wp:extent cx="7067550" cy="39433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7077600" cy="3948957"/>
                    </a:xfrm>
                    <a:prstGeom prst="rect">
                      <a:avLst/>
                    </a:prstGeom>
                  </pic:spPr>
                </pic:pic>
              </a:graphicData>
            </a:graphic>
          </wp:inline>
        </w:drawing>
      </w:r>
    </w:p>
    <w:p w:rsidR="005852B3" w:rsidRDefault="005852B3" w:rsidP="005852B3">
      <w:pPr>
        <w:pStyle w:val="ListParagraph"/>
        <w:shd w:val="clear" w:color="auto" w:fill="FFFFFF"/>
        <w:spacing w:before="120" w:after="120"/>
        <w:ind w:left="-810"/>
        <w:contextualSpacing w:val="0"/>
        <w:jc w:val="both"/>
        <w:rPr>
          <w:color w:val="000000"/>
        </w:rPr>
      </w:pPr>
    </w:p>
    <w:p w:rsidR="005852B3" w:rsidRPr="005852B3" w:rsidRDefault="005852B3" w:rsidP="00546746">
      <w:pPr>
        <w:pStyle w:val="ListParagraph"/>
        <w:keepNext/>
        <w:numPr>
          <w:ilvl w:val="1"/>
          <w:numId w:val="38"/>
        </w:numPr>
        <w:shd w:val="clear" w:color="auto" w:fill="FFFFFF"/>
        <w:spacing w:before="120" w:after="120"/>
        <w:ind w:left="907" w:hanging="547"/>
        <w:contextualSpacing w:val="0"/>
        <w:jc w:val="both"/>
        <w:rPr>
          <w:color w:val="000000"/>
          <w:lang w:val="es-ES"/>
        </w:rPr>
      </w:pPr>
      <w:r w:rsidRPr="005852B3">
        <w:rPr>
          <w:b/>
          <w:color w:val="000000"/>
          <w:lang w:val="es-ES"/>
        </w:rPr>
        <w:lastRenderedPageBreak/>
        <w:t xml:space="preserve">Resultados de la </w:t>
      </w:r>
      <w:r w:rsidR="00CB609D" w:rsidRPr="005852B3">
        <w:rPr>
          <w:b/>
          <w:color w:val="000000"/>
          <w:lang w:val="es-ES"/>
        </w:rPr>
        <w:t>Segunda Etapa</w:t>
      </w:r>
      <w:r w:rsidRPr="005852B3">
        <w:rPr>
          <w:b/>
          <w:color w:val="000000"/>
          <w:lang w:val="es-ES"/>
        </w:rPr>
        <w:t>:</w:t>
      </w:r>
      <w:r w:rsidRPr="005852B3">
        <w:rPr>
          <w:color w:val="000000"/>
          <w:lang w:val="es-ES"/>
        </w:rPr>
        <w:t xml:space="preserve"> Optimización de la información de acuerdo con la precisión solicitada (</w:t>
      </w:r>
      <w:proofErr w:type="spellStart"/>
      <w:r w:rsidRPr="005852B3">
        <w:rPr>
          <w:color w:val="000000"/>
          <w:lang w:val="es-ES"/>
        </w:rPr>
        <w:t>nested</w:t>
      </w:r>
      <w:proofErr w:type="spellEnd"/>
      <w:r w:rsidRPr="005852B3">
        <w:rPr>
          <w:color w:val="000000"/>
          <w:lang w:val="es-ES"/>
        </w:rPr>
        <w:t xml:space="preserve">). </w:t>
      </w:r>
    </w:p>
    <w:p w:rsidR="005852B3" w:rsidRPr="004313E3" w:rsidRDefault="005852B3" w:rsidP="005852B3">
      <w:pPr>
        <w:shd w:val="clear" w:color="auto" w:fill="FFFFFF"/>
        <w:spacing w:before="120" w:after="120"/>
        <w:ind w:left="-810"/>
        <w:jc w:val="both"/>
        <w:rPr>
          <w:color w:val="000000"/>
        </w:rPr>
      </w:pPr>
      <w:r>
        <w:rPr>
          <w:noProof/>
        </w:rPr>
        <w:drawing>
          <wp:inline distT="0" distB="0" distL="0" distR="0" wp14:anchorId="3F0F56D6" wp14:editId="4A832E3A">
            <wp:extent cx="6981823" cy="21526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984000" cy="2153321"/>
                    </a:xfrm>
                    <a:prstGeom prst="rect">
                      <a:avLst/>
                    </a:prstGeom>
                  </pic:spPr>
                </pic:pic>
              </a:graphicData>
            </a:graphic>
          </wp:inline>
        </w:drawing>
      </w:r>
    </w:p>
    <w:p w:rsidR="005852B3" w:rsidRPr="005852B3" w:rsidRDefault="007D390F" w:rsidP="00546746">
      <w:pPr>
        <w:pStyle w:val="ListParagraph"/>
        <w:keepNext/>
        <w:numPr>
          <w:ilvl w:val="1"/>
          <w:numId w:val="38"/>
        </w:numPr>
        <w:shd w:val="clear" w:color="auto" w:fill="FFFFFF"/>
        <w:spacing w:before="120" w:after="120"/>
        <w:ind w:left="907" w:hanging="547"/>
        <w:contextualSpacing w:val="0"/>
        <w:jc w:val="both"/>
        <w:rPr>
          <w:color w:val="000000"/>
          <w:lang w:val="es-ES"/>
        </w:rPr>
      </w:pPr>
      <w:r w:rsidRPr="007D390F">
        <w:rPr>
          <w:b/>
          <w:color w:val="000000"/>
          <w:lang w:val="es-ES"/>
        </w:rPr>
        <w:t>Resultados de la Tercera Etapa:</w:t>
      </w:r>
      <w:r w:rsidRPr="007D390F">
        <w:rPr>
          <w:color w:val="000000"/>
          <w:lang w:val="es-ES"/>
        </w:rPr>
        <w:t xml:space="preserve"> Selección del Grupo de Control Contra factual. Los países seleccionados fueron Omán, Egipto, Israel, Jamaica, Hong-Kong, Singapur y Malta. El desvío standard (RMSPE) fue 0.1092357, mostrando que existe una importante similitud entre el Panamá y el Panamá sintético.</w:t>
      </w:r>
    </w:p>
    <w:p w:rsidR="005852B3" w:rsidRDefault="007D390F" w:rsidP="005852B3">
      <w:pPr>
        <w:shd w:val="clear" w:color="auto" w:fill="FFFFFF"/>
        <w:spacing w:before="120" w:after="120"/>
        <w:ind w:left="2790"/>
        <w:jc w:val="both"/>
        <w:rPr>
          <w:color w:val="000000"/>
        </w:rPr>
      </w:pPr>
      <w:r>
        <w:rPr>
          <w:noProof/>
          <w:color w:val="000000"/>
        </w:rPr>
        <w:drawing>
          <wp:inline distT="0" distB="0" distL="0" distR="0" wp14:anchorId="259142C9" wp14:editId="50BBD915">
            <wp:extent cx="2361537" cy="4532243"/>
            <wp:effectExtent l="0" t="0" r="1270" b="190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5375" cy="4539609"/>
                    </a:xfrm>
                    <a:prstGeom prst="rect">
                      <a:avLst/>
                    </a:prstGeom>
                    <a:noFill/>
                  </pic:spPr>
                </pic:pic>
              </a:graphicData>
            </a:graphic>
          </wp:inline>
        </w:drawing>
      </w:r>
    </w:p>
    <w:p w:rsidR="005852B3" w:rsidRPr="005852B3" w:rsidRDefault="005852B3" w:rsidP="00546746">
      <w:pPr>
        <w:pStyle w:val="ListParagraph"/>
        <w:keepNext/>
        <w:numPr>
          <w:ilvl w:val="1"/>
          <w:numId w:val="38"/>
        </w:numPr>
        <w:shd w:val="clear" w:color="auto" w:fill="FFFFFF"/>
        <w:spacing w:before="120" w:after="120"/>
        <w:ind w:left="907" w:hanging="547"/>
        <w:contextualSpacing w:val="0"/>
        <w:jc w:val="both"/>
        <w:rPr>
          <w:color w:val="000000"/>
          <w:lang w:val="es-ES"/>
        </w:rPr>
      </w:pPr>
      <w:r w:rsidRPr="005852B3">
        <w:rPr>
          <w:color w:val="000000"/>
          <w:lang w:val="es-ES"/>
        </w:rPr>
        <w:lastRenderedPageBreak/>
        <w:t>Los pesos de las variables de control de Panamá y el Panamá sintético.</w:t>
      </w:r>
    </w:p>
    <w:p w:rsidR="005852B3" w:rsidRPr="00C32B66" w:rsidRDefault="007D390F" w:rsidP="007D390F">
      <w:pPr>
        <w:pStyle w:val="ListParagraph"/>
        <w:shd w:val="clear" w:color="auto" w:fill="FFFFFF"/>
        <w:spacing w:before="120" w:after="120"/>
        <w:ind w:left="1530"/>
        <w:contextualSpacing w:val="0"/>
        <w:jc w:val="both"/>
        <w:rPr>
          <w:color w:val="000000"/>
        </w:rPr>
      </w:pPr>
      <w:r>
        <w:rPr>
          <w:noProof/>
          <w:color w:val="000000"/>
        </w:rPr>
        <w:drawing>
          <wp:inline distT="0" distB="0" distL="0" distR="0" wp14:anchorId="5183E015" wp14:editId="4B385D38">
            <wp:extent cx="3144251" cy="2775005"/>
            <wp:effectExtent l="0" t="0" r="0" b="635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5790" cy="2776363"/>
                    </a:xfrm>
                    <a:prstGeom prst="rect">
                      <a:avLst/>
                    </a:prstGeom>
                    <a:noFill/>
                  </pic:spPr>
                </pic:pic>
              </a:graphicData>
            </a:graphic>
          </wp:inline>
        </w:drawing>
      </w:r>
    </w:p>
    <w:p w:rsidR="005852B3" w:rsidRDefault="005852B3" w:rsidP="005852B3">
      <w:pPr>
        <w:pStyle w:val="ListParagraph"/>
        <w:shd w:val="clear" w:color="auto" w:fill="FFFFFF"/>
        <w:spacing w:before="120" w:after="120"/>
        <w:ind w:left="907"/>
        <w:contextualSpacing w:val="0"/>
        <w:jc w:val="both"/>
        <w:rPr>
          <w:color w:val="000000"/>
        </w:rPr>
      </w:pPr>
    </w:p>
    <w:p w:rsidR="005852B3" w:rsidRPr="005852B3" w:rsidRDefault="005852B3" w:rsidP="00546746">
      <w:pPr>
        <w:pStyle w:val="ListParagraph"/>
        <w:numPr>
          <w:ilvl w:val="1"/>
          <w:numId w:val="38"/>
        </w:numPr>
        <w:shd w:val="clear" w:color="auto" w:fill="FFFFFF"/>
        <w:spacing w:before="120" w:after="120"/>
        <w:ind w:left="907" w:hanging="547"/>
        <w:contextualSpacing w:val="0"/>
        <w:jc w:val="both"/>
        <w:rPr>
          <w:color w:val="000000"/>
          <w:lang w:val="es-ES"/>
        </w:rPr>
      </w:pPr>
      <w:r w:rsidRPr="005852B3">
        <w:rPr>
          <w:color w:val="000000"/>
          <w:lang w:val="es-ES"/>
        </w:rPr>
        <w:t xml:space="preserve">El Gráfico demostrativo de la selección. Esto muestra que los países seleccionados presentan una gran similitud en la evolución en los 10 últimos años con el país de tratamiento. </w:t>
      </w:r>
    </w:p>
    <w:p w:rsidR="005852B3" w:rsidRDefault="007D390F" w:rsidP="00DB449D">
      <w:pPr>
        <w:keepNext/>
        <w:shd w:val="clear" w:color="auto" w:fill="FFFFFF"/>
        <w:spacing w:before="120" w:after="120"/>
        <w:ind w:left="900"/>
        <w:jc w:val="both"/>
        <w:rPr>
          <w:color w:val="000000"/>
        </w:rPr>
      </w:pPr>
      <w:r>
        <w:rPr>
          <w:noProof/>
          <w:color w:val="000000"/>
        </w:rPr>
        <w:drawing>
          <wp:inline distT="0" distB="0" distL="0" distR="0" wp14:anchorId="4C5D1425" wp14:editId="29DAB160">
            <wp:extent cx="4639550" cy="3005593"/>
            <wp:effectExtent l="0" t="0" r="8890" b="444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39310" cy="3005438"/>
                    </a:xfrm>
                    <a:prstGeom prst="rect">
                      <a:avLst/>
                    </a:prstGeom>
                    <a:noFill/>
                  </pic:spPr>
                </pic:pic>
              </a:graphicData>
            </a:graphic>
          </wp:inline>
        </w:drawing>
      </w:r>
    </w:p>
    <w:p w:rsidR="005852B3" w:rsidRDefault="005852B3" w:rsidP="005852B3">
      <w:pPr>
        <w:keepNext/>
        <w:shd w:val="clear" w:color="auto" w:fill="FFFFFF"/>
        <w:spacing w:before="120" w:after="120"/>
        <w:ind w:left="1260"/>
        <w:jc w:val="both"/>
        <w:rPr>
          <w:color w:val="000000"/>
        </w:rPr>
      </w:pPr>
    </w:p>
    <w:p w:rsidR="005852B3" w:rsidRDefault="005852B3" w:rsidP="005852B3">
      <w:pPr>
        <w:keepNext/>
        <w:shd w:val="clear" w:color="auto" w:fill="FFFFFF"/>
        <w:spacing w:before="120" w:after="120"/>
        <w:ind w:left="1260"/>
        <w:jc w:val="both"/>
        <w:rPr>
          <w:color w:val="000000"/>
        </w:rPr>
      </w:pPr>
    </w:p>
    <w:p w:rsidR="005852B3" w:rsidRPr="007428FE" w:rsidRDefault="005852B3" w:rsidP="00546746">
      <w:pPr>
        <w:pStyle w:val="ListParagraph"/>
        <w:numPr>
          <w:ilvl w:val="1"/>
          <w:numId w:val="38"/>
        </w:numPr>
        <w:shd w:val="clear" w:color="auto" w:fill="FFFFFF"/>
        <w:spacing w:before="120" w:after="120"/>
        <w:ind w:left="907" w:hanging="547"/>
        <w:contextualSpacing w:val="0"/>
        <w:jc w:val="both"/>
        <w:rPr>
          <w:color w:val="000000"/>
          <w:lang w:val="es-ES"/>
        </w:rPr>
      </w:pPr>
      <w:r w:rsidRPr="005852B3">
        <w:rPr>
          <w:b/>
          <w:color w:val="000000"/>
          <w:lang w:val="es-ES"/>
        </w:rPr>
        <w:t>Lo que se estima que ocurra en la Evaluación Ex-post en 2020</w:t>
      </w:r>
      <w:r w:rsidRPr="005852B3">
        <w:rPr>
          <w:color w:val="000000"/>
          <w:lang w:val="es-ES"/>
        </w:rPr>
        <w:t xml:space="preserve">.  El gráfico a continuación es una proyección de lo que se espera que ocurra en 2020. </w:t>
      </w:r>
    </w:p>
    <w:p w:rsidR="005852B3" w:rsidRPr="0092009C" w:rsidRDefault="007D390F" w:rsidP="00DB449D">
      <w:pPr>
        <w:pStyle w:val="ListParagraph"/>
        <w:keepNext/>
        <w:shd w:val="clear" w:color="auto" w:fill="FFFFFF"/>
        <w:spacing w:before="120" w:after="120"/>
        <w:ind w:left="-180"/>
        <w:contextualSpacing w:val="0"/>
        <w:jc w:val="both"/>
        <w:rPr>
          <w:color w:val="000000"/>
          <w:lang w:val="es-ES"/>
        </w:rPr>
      </w:pPr>
      <w:r>
        <w:rPr>
          <w:noProof/>
          <w:color w:val="000000"/>
        </w:rPr>
        <w:lastRenderedPageBreak/>
        <w:drawing>
          <wp:inline distT="0" distB="0" distL="0" distR="0" wp14:anchorId="45D372DC" wp14:editId="5BEA4A98">
            <wp:extent cx="5932170" cy="282892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2170" cy="2828925"/>
                    </a:xfrm>
                    <a:prstGeom prst="rect">
                      <a:avLst/>
                    </a:prstGeom>
                    <a:noFill/>
                  </pic:spPr>
                </pic:pic>
              </a:graphicData>
            </a:graphic>
          </wp:inline>
        </w:drawing>
      </w:r>
    </w:p>
    <w:p w:rsidR="00282FBD" w:rsidRDefault="00282FBD" w:rsidP="00DB449D">
      <w:pPr>
        <w:pStyle w:val="ListParagraph"/>
        <w:keepNext/>
        <w:shd w:val="clear" w:color="auto" w:fill="FFFFFF"/>
        <w:spacing w:before="120" w:after="120"/>
        <w:ind w:left="990"/>
        <w:contextualSpacing w:val="0"/>
        <w:jc w:val="both"/>
        <w:rPr>
          <w:color w:val="000000"/>
          <w:lang w:val="es-ES"/>
        </w:rPr>
      </w:pPr>
      <w:bookmarkStart w:id="1" w:name="_GoBack"/>
      <w:bookmarkEnd w:id="1"/>
    </w:p>
    <w:p w:rsidR="00DB449D" w:rsidRPr="00282FBD" w:rsidRDefault="00DB449D" w:rsidP="00546746">
      <w:pPr>
        <w:pStyle w:val="ListParagraph"/>
        <w:keepNext/>
        <w:numPr>
          <w:ilvl w:val="1"/>
          <w:numId w:val="38"/>
        </w:numPr>
        <w:shd w:val="clear" w:color="auto" w:fill="FFFFFF"/>
        <w:spacing w:before="120" w:after="120"/>
        <w:ind w:left="907" w:hanging="547"/>
        <w:contextualSpacing w:val="0"/>
        <w:jc w:val="both"/>
        <w:rPr>
          <w:color w:val="000000"/>
          <w:lang w:val="es-ES"/>
        </w:rPr>
      </w:pPr>
      <w:r w:rsidRPr="00282FBD">
        <w:rPr>
          <w:b/>
          <w:color w:val="000000"/>
          <w:lang w:val="es-ES"/>
        </w:rPr>
        <w:t xml:space="preserve">Chequeo de la robustez utilizando la teoría de Placebo. </w:t>
      </w:r>
      <w:r w:rsidRPr="00282FBD">
        <w:rPr>
          <w:color w:val="000000"/>
          <w:lang w:val="es-ES"/>
        </w:rPr>
        <w:t xml:space="preserve">El equipo de evaluación tuvo oportunidad de reunirse con el Profesor Alberto </w:t>
      </w:r>
      <w:proofErr w:type="spellStart"/>
      <w:r w:rsidRPr="00282FBD">
        <w:rPr>
          <w:color w:val="000000"/>
          <w:lang w:val="es-ES"/>
        </w:rPr>
        <w:t>Abadie</w:t>
      </w:r>
      <w:proofErr w:type="spellEnd"/>
      <w:r w:rsidRPr="00282FBD">
        <w:rPr>
          <w:color w:val="000000"/>
          <w:lang w:val="es-ES"/>
        </w:rPr>
        <w:t xml:space="preserve"> durante un seminario sobre el Método Sintético realizado en Diciembre de 2015 en el Banco. El Sr. </w:t>
      </w:r>
      <w:proofErr w:type="spellStart"/>
      <w:r w:rsidRPr="00282FBD">
        <w:rPr>
          <w:color w:val="000000"/>
          <w:lang w:val="es-ES"/>
        </w:rPr>
        <w:t>Abadie</w:t>
      </w:r>
      <w:proofErr w:type="spellEnd"/>
      <w:r w:rsidRPr="00282FBD">
        <w:rPr>
          <w:color w:val="000000"/>
          <w:lang w:val="es-ES"/>
        </w:rPr>
        <w:t xml:space="preserve">, además de validar el modelo que fue desarrollado para Panamá,  informó que la mejor forma de verificar la robustez de esta muestra era través de la utilización de un chequeo con el método de Placebo. El método es implementado a través de generar 31 modelos sintéticos para los 31 países del grupo del pool de donadores y analizar los gaps que se generan entre Panamá sintético y los otros 30 sintéticos. </w:t>
      </w:r>
      <w:r w:rsidR="002F50CB">
        <w:rPr>
          <w:color w:val="000000"/>
          <w:lang w:val="es-ES"/>
        </w:rPr>
        <w:t>La</w:t>
      </w:r>
      <w:r w:rsidRPr="00282FBD">
        <w:rPr>
          <w:color w:val="000000"/>
          <w:lang w:val="es-ES"/>
        </w:rPr>
        <w:t xml:space="preserve"> muestra </w:t>
      </w:r>
      <w:r w:rsidR="002F50CB">
        <w:rPr>
          <w:color w:val="000000"/>
          <w:lang w:val="es-ES"/>
        </w:rPr>
        <w:t>puede ser</w:t>
      </w:r>
      <w:r w:rsidRPr="00282FBD">
        <w:rPr>
          <w:color w:val="000000"/>
          <w:lang w:val="es-ES"/>
        </w:rPr>
        <w:t xml:space="preserve"> considerada satisfactoria </w:t>
      </w:r>
      <w:r w:rsidR="002F50CB">
        <w:rPr>
          <w:color w:val="000000"/>
          <w:lang w:val="es-ES"/>
        </w:rPr>
        <w:t>cuando</w:t>
      </w:r>
      <w:r w:rsidRPr="00282FBD">
        <w:rPr>
          <w:color w:val="000000"/>
          <w:lang w:val="es-ES"/>
        </w:rPr>
        <w:t xml:space="preserve"> se produce un gráfico sin que ocurran demasiadas distorsiones </w:t>
      </w:r>
      <w:r w:rsidR="002F50CB">
        <w:rPr>
          <w:color w:val="000000"/>
          <w:lang w:val="es-ES"/>
        </w:rPr>
        <w:t>entre el</w:t>
      </w:r>
      <w:r w:rsidRPr="00282FBD">
        <w:rPr>
          <w:color w:val="000000"/>
          <w:lang w:val="es-ES"/>
        </w:rPr>
        <w:t xml:space="preserve"> Panamá sintético</w:t>
      </w:r>
      <w:r w:rsidR="002F50CB">
        <w:rPr>
          <w:color w:val="000000"/>
          <w:lang w:val="es-ES"/>
        </w:rPr>
        <w:t xml:space="preserve"> y</w:t>
      </w:r>
      <w:r w:rsidR="002F50CB" w:rsidRPr="00282FBD">
        <w:rPr>
          <w:color w:val="000000"/>
          <w:lang w:val="es-ES"/>
        </w:rPr>
        <w:t xml:space="preserve"> los 3</w:t>
      </w:r>
      <w:r w:rsidR="002F50CB">
        <w:rPr>
          <w:color w:val="000000"/>
          <w:lang w:val="es-ES"/>
        </w:rPr>
        <w:t>0</w:t>
      </w:r>
      <w:r w:rsidR="002F50CB" w:rsidRPr="00282FBD">
        <w:rPr>
          <w:color w:val="000000"/>
          <w:lang w:val="es-ES"/>
        </w:rPr>
        <w:t xml:space="preserve"> </w:t>
      </w:r>
      <w:r w:rsidR="002F50CB">
        <w:rPr>
          <w:color w:val="000000"/>
          <w:lang w:val="es-ES"/>
        </w:rPr>
        <w:t xml:space="preserve">demás países </w:t>
      </w:r>
      <w:r w:rsidR="002F50CB" w:rsidRPr="00282FBD">
        <w:rPr>
          <w:color w:val="000000"/>
          <w:lang w:val="es-ES"/>
        </w:rPr>
        <w:t>sintéticos</w:t>
      </w:r>
      <w:r w:rsidRPr="00282FBD">
        <w:rPr>
          <w:color w:val="000000"/>
          <w:lang w:val="es-ES"/>
        </w:rPr>
        <w:t xml:space="preserve">. </w:t>
      </w:r>
    </w:p>
    <w:p w:rsidR="00DB449D" w:rsidRPr="00282FBD" w:rsidRDefault="00DB449D" w:rsidP="00546746">
      <w:pPr>
        <w:pStyle w:val="ListParagraph"/>
        <w:keepNext/>
        <w:numPr>
          <w:ilvl w:val="1"/>
          <w:numId w:val="38"/>
        </w:numPr>
        <w:shd w:val="clear" w:color="auto" w:fill="FFFFFF"/>
        <w:spacing w:before="120" w:after="120"/>
        <w:ind w:left="907" w:hanging="547"/>
        <w:contextualSpacing w:val="0"/>
        <w:jc w:val="both"/>
        <w:rPr>
          <w:color w:val="000000"/>
          <w:lang w:val="es-ES"/>
        </w:rPr>
      </w:pPr>
      <w:r w:rsidRPr="00282FBD">
        <w:rPr>
          <w:color w:val="000000"/>
          <w:lang w:val="es-ES"/>
        </w:rPr>
        <w:t>El problema encontrado para la implementación del método de Placebo fue el hecho de que el Programa STATA no cuenta con una única función capaz de producir el gráfico con la representación de los 31 sintéticos. Para esto, el equipo de evaluación desarrolló un programa contemplando 4 bloques de procesamiento:</w:t>
      </w:r>
    </w:p>
    <w:p w:rsidR="00DB449D" w:rsidRPr="00AC395F" w:rsidRDefault="00DB449D" w:rsidP="00965C57">
      <w:pPr>
        <w:pStyle w:val="ListParagraph"/>
        <w:keepNext/>
        <w:numPr>
          <w:ilvl w:val="0"/>
          <w:numId w:val="18"/>
        </w:numPr>
        <w:shd w:val="clear" w:color="auto" w:fill="FFFFFF"/>
        <w:spacing w:before="120" w:after="120"/>
        <w:contextualSpacing w:val="0"/>
        <w:jc w:val="both"/>
        <w:rPr>
          <w:color w:val="000000"/>
          <w:lang w:val="es-ES_tradnl"/>
        </w:rPr>
      </w:pPr>
      <w:r w:rsidRPr="00AC395F">
        <w:rPr>
          <w:color w:val="000000"/>
          <w:lang w:val="es-ES_tradnl"/>
        </w:rPr>
        <w:t xml:space="preserve">Inicialmente se hace un </w:t>
      </w:r>
      <w:r w:rsidRPr="00282FBD">
        <w:rPr>
          <w:color w:val="000000"/>
          <w:lang w:val="es-ES"/>
        </w:rPr>
        <w:t>“</w:t>
      </w:r>
      <w:r w:rsidRPr="00282FBD">
        <w:rPr>
          <w:lang w:val="es-ES"/>
        </w:rPr>
        <w:t>l</w:t>
      </w:r>
      <w:proofErr w:type="spellStart"/>
      <w:r w:rsidRPr="00282FBD">
        <w:rPr>
          <w:lang w:val="es-ES_tradnl"/>
        </w:rPr>
        <w:t>oop</w:t>
      </w:r>
      <w:proofErr w:type="spellEnd"/>
      <w:r w:rsidRPr="00282FBD">
        <w:rPr>
          <w:lang w:val="es-ES"/>
        </w:rPr>
        <w:t>”</w:t>
      </w:r>
      <w:r w:rsidRPr="00282FBD">
        <w:rPr>
          <w:lang w:val="es-ES_tradnl"/>
        </w:rPr>
        <w:t xml:space="preserve"> para </w:t>
      </w:r>
      <w:r w:rsidR="002F50CB">
        <w:rPr>
          <w:lang w:val="es-ES_tradnl"/>
        </w:rPr>
        <w:t xml:space="preserve">generar </w:t>
      </w:r>
      <w:r w:rsidRPr="00282FBD">
        <w:rPr>
          <w:lang w:val="es-ES"/>
        </w:rPr>
        <w:t>l</w:t>
      </w:r>
      <w:r w:rsidRPr="00282FBD">
        <w:rPr>
          <w:lang w:val="es-ES_tradnl"/>
        </w:rPr>
        <w:t>as 31 unidades</w:t>
      </w:r>
      <w:r w:rsidR="002F50CB">
        <w:rPr>
          <w:lang w:val="es-ES_tradnl"/>
        </w:rPr>
        <w:t xml:space="preserve"> sintéticas</w:t>
      </w:r>
      <w:r w:rsidRPr="00282FBD">
        <w:rPr>
          <w:lang w:val="es-ES"/>
        </w:rPr>
        <w:t>,</w:t>
      </w:r>
      <w:r w:rsidRPr="00282FBD">
        <w:rPr>
          <w:lang w:val="es-ES_tradnl"/>
        </w:rPr>
        <w:t xml:space="preserve"> </w:t>
      </w:r>
      <w:r w:rsidRPr="00282FBD">
        <w:rPr>
          <w:lang w:val="es-ES"/>
        </w:rPr>
        <w:t>almacenando</w:t>
      </w:r>
      <w:r w:rsidRPr="00282FBD">
        <w:rPr>
          <w:lang w:val="es-ES_tradnl"/>
        </w:rPr>
        <w:t xml:space="preserve"> los resultados </w:t>
      </w:r>
      <w:r w:rsidRPr="00282FBD">
        <w:rPr>
          <w:lang w:val="es-ES"/>
        </w:rPr>
        <w:t>en “</w:t>
      </w:r>
      <w:proofErr w:type="spellStart"/>
      <w:r w:rsidRPr="00282FBD">
        <w:rPr>
          <w:lang w:val="es-ES"/>
        </w:rPr>
        <w:t>datasets</w:t>
      </w:r>
      <w:proofErr w:type="spellEnd"/>
      <w:r w:rsidRPr="00282FBD">
        <w:rPr>
          <w:lang w:val="es-ES"/>
        </w:rPr>
        <w:t>” específicos a través de la opción “</w:t>
      </w:r>
      <w:proofErr w:type="spellStart"/>
      <w:r w:rsidRPr="00282FBD">
        <w:rPr>
          <w:lang w:val="es-ES"/>
        </w:rPr>
        <w:t>Keep</w:t>
      </w:r>
      <w:proofErr w:type="spellEnd"/>
      <w:r w:rsidRPr="00282FBD">
        <w:rPr>
          <w:lang w:val="es-ES"/>
        </w:rPr>
        <w:t>”</w:t>
      </w:r>
      <w:r w:rsidRPr="00AC395F">
        <w:rPr>
          <w:color w:val="000000"/>
          <w:lang w:val="es-ES_tradnl"/>
        </w:rPr>
        <w:t xml:space="preserve"> </w:t>
      </w:r>
    </w:p>
    <w:tbl>
      <w:tblPr>
        <w:tblStyle w:val="TableGrid"/>
        <w:tblW w:w="0" w:type="auto"/>
        <w:tblInd w:w="1008" w:type="dxa"/>
        <w:tblLook w:val="04A0" w:firstRow="1" w:lastRow="0" w:firstColumn="1" w:lastColumn="0" w:noHBand="0" w:noVBand="1"/>
      </w:tblPr>
      <w:tblGrid>
        <w:gridCol w:w="7589"/>
      </w:tblGrid>
      <w:tr w:rsidR="00DB449D" w:rsidRPr="00417FA4" w:rsidTr="00DB449D">
        <w:tc>
          <w:tcPr>
            <w:tcW w:w="7589" w:type="dxa"/>
          </w:tcPr>
          <w:p w:rsidR="00DB449D" w:rsidRPr="00282FBD" w:rsidRDefault="00DB449D" w:rsidP="00296583">
            <w:pPr>
              <w:pStyle w:val="ListParagraph"/>
              <w:keepNext/>
              <w:spacing w:before="120" w:after="120"/>
              <w:jc w:val="both"/>
              <w:rPr>
                <w:color w:val="000000"/>
                <w:sz w:val="20"/>
                <w:szCs w:val="20"/>
              </w:rPr>
            </w:pPr>
            <w:r w:rsidRPr="00282FBD">
              <w:rPr>
                <w:color w:val="000000"/>
                <w:sz w:val="20"/>
                <w:szCs w:val="20"/>
              </w:rPr>
              <w:t>************************************************</w:t>
            </w:r>
          </w:p>
          <w:p w:rsidR="00DB449D" w:rsidRPr="00282FBD" w:rsidRDefault="00DB449D" w:rsidP="00296583">
            <w:pPr>
              <w:pStyle w:val="ListParagraph"/>
              <w:keepNext/>
              <w:spacing w:before="120" w:after="120"/>
              <w:jc w:val="both"/>
              <w:rPr>
                <w:color w:val="000000"/>
                <w:sz w:val="20"/>
                <w:szCs w:val="20"/>
              </w:rPr>
            </w:pPr>
            <w:r w:rsidRPr="00282FBD">
              <w:rPr>
                <w:color w:val="000000"/>
                <w:sz w:val="20"/>
                <w:szCs w:val="20"/>
              </w:rPr>
              <w:t xml:space="preserve">* Panama Placebo - Programmed by Marcio Cracel </w:t>
            </w:r>
            <w:r>
              <w:rPr>
                <w:color w:val="000000"/>
                <w:sz w:val="20"/>
                <w:szCs w:val="20"/>
              </w:rPr>
              <w:t xml:space="preserve">         </w:t>
            </w:r>
            <w:r w:rsidRPr="00282FBD">
              <w:rPr>
                <w:color w:val="000000"/>
                <w:sz w:val="20"/>
                <w:szCs w:val="20"/>
              </w:rPr>
              <w:t>*</w:t>
            </w:r>
          </w:p>
          <w:p w:rsidR="00DB449D" w:rsidRPr="00282FBD" w:rsidRDefault="00DB449D" w:rsidP="00296583">
            <w:pPr>
              <w:pStyle w:val="ListParagraph"/>
              <w:keepNext/>
              <w:spacing w:before="120" w:after="120"/>
              <w:jc w:val="both"/>
              <w:rPr>
                <w:color w:val="000000"/>
                <w:sz w:val="20"/>
                <w:szCs w:val="20"/>
              </w:rPr>
            </w:pPr>
            <w:r w:rsidRPr="00282FBD">
              <w:rPr>
                <w:color w:val="000000"/>
                <w:sz w:val="20"/>
                <w:szCs w:val="20"/>
              </w:rPr>
              <w:t>************************************************</w:t>
            </w:r>
          </w:p>
          <w:p w:rsidR="00DB449D" w:rsidRPr="00282FBD" w:rsidRDefault="00DB449D" w:rsidP="00296583">
            <w:pPr>
              <w:pStyle w:val="ListParagraph"/>
              <w:keepNext/>
              <w:spacing w:before="120" w:after="120"/>
              <w:jc w:val="both"/>
              <w:rPr>
                <w:color w:val="000000"/>
                <w:sz w:val="20"/>
                <w:szCs w:val="20"/>
              </w:rPr>
            </w:pPr>
            <w:r w:rsidRPr="00282FBD">
              <w:rPr>
                <w:color w:val="000000"/>
                <w:sz w:val="20"/>
                <w:szCs w:val="20"/>
              </w:rPr>
              <w:t xml:space="preserve">* </w:t>
            </w:r>
            <w:proofErr w:type="spellStart"/>
            <w:r>
              <w:rPr>
                <w:color w:val="000000"/>
                <w:sz w:val="20"/>
                <w:szCs w:val="20"/>
              </w:rPr>
              <w:t>Carga</w:t>
            </w:r>
            <w:proofErr w:type="spellEnd"/>
            <w:r>
              <w:rPr>
                <w:color w:val="000000"/>
                <w:sz w:val="20"/>
                <w:szCs w:val="20"/>
              </w:rPr>
              <w:t xml:space="preserve"> del </w:t>
            </w:r>
            <w:r w:rsidRPr="00282FBD">
              <w:rPr>
                <w:color w:val="000000"/>
                <w:sz w:val="20"/>
                <w:szCs w:val="20"/>
              </w:rPr>
              <w:t>dataset</w:t>
            </w:r>
          </w:p>
          <w:p w:rsidR="00DB449D" w:rsidRPr="00282FBD" w:rsidRDefault="00DB449D" w:rsidP="00296583">
            <w:pPr>
              <w:pStyle w:val="ListParagraph"/>
              <w:keepNext/>
              <w:spacing w:before="120" w:after="120"/>
              <w:jc w:val="both"/>
              <w:rPr>
                <w:color w:val="000000"/>
                <w:sz w:val="20"/>
                <w:szCs w:val="20"/>
              </w:rPr>
            </w:pPr>
            <w:r w:rsidRPr="00282FBD">
              <w:rPr>
                <w:color w:val="000000"/>
                <w:sz w:val="20"/>
                <w:szCs w:val="20"/>
              </w:rPr>
              <w:t>clear all</w:t>
            </w:r>
          </w:p>
          <w:p w:rsidR="00DB449D" w:rsidRPr="00282FBD" w:rsidRDefault="00DB449D" w:rsidP="00296583">
            <w:pPr>
              <w:pStyle w:val="ListParagraph"/>
              <w:keepNext/>
              <w:spacing w:before="120" w:after="120"/>
              <w:jc w:val="both"/>
              <w:rPr>
                <w:color w:val="000000"/>
                <w:sz w:val="20"/>
                <w:szCs w:val="20"/>
              </w:rPr>
            </w:pPr>
            <w:r w:rsidRPr="00282FBD">
              <w:rPr>
                <w:color w:val="000000"/>
                <w:sz w:val="20"/>
                <w:szCs w:val="20"/>
              </w:rPr>
              <w:t>cd "C:\Users\Familia Cracel\Documents"</w:t>
            </w:r>
          </w:p>
          <w:p w:rsidR="00DB449D" w:rsidRPr="00282FBD" w:rsidRDefault="00DB449D" w:rsidP="00296583">
            <w:pPr>
              <w:pStyle w:val="ListParagraph"/>
              <w:keepNext/>
              <w:spacing w:before="120" w:after="120"/>
              <w:jc w:val="both"/>
              <w:rPr>
                <w:color w:val="000000"/>
                <w:sz w:val="20"/>
                <w:szCs w:val="20"/>
              </w:rPr>
            </w:pPr>
            <w:r w:rsidRPr="00282FBD">
              <w:rPr>
                <w:color w:val="000000"/>
                <w:sz w:val="20"/>
                <w:szCs w:val="20"/>
              </w:rPr>
              <w:t>use Panama2.dta, clear</w:t>
            </w:r>
          </w:p>
          <w:p w:rsidR="00DB449D" w:rsidRPr="00282FBD" w:rsidRDefault="00DB449D" w:rsidP="00296583">
            <w:pPr>
              <w:pStyle w:val="ListParagraph"/>
              <w:keepNext/>
              <w:spacing w:before="120" w:after="120"/>
              <w:jc w:val="both"/>
              <w:rPr>
                <w:color w:val="000000"/>
                <w:sz w:val="20"/>
                <w:szCs w:val="20"/>
              </w:rPr>
            </w:pPr>
            <w:r w:rsidRPr="00282FBD">
              <w:rPr>
                <w:color w:val="000000"/>
                <w:sz w:val="20"/>
                <w:szCs w:val="20"/>
              </w:rPr>
              <w:t xml:space="preserve">** </w:t>
            </w:r>
            <w:proofErr w:type="spellStart"/>
            <w:r w:rsidRPr="00282FBD">
              <w:rPr>
                <w:color w:val="000000"/>
                <w:sz w:val="20"/>
                <w:szCs w:val="20"/>
              </w:rPr>
              <w:t>tsset</w:t>
            </w:r>
            <w:proofErr w:type="spellEnd"/>
          </w:p>
          <w:p w:rsidR="00DB449D" w:rsidRPr="00282FBD" w:rsidRDefault="00DB449D" w:rsidP="00296583">
            <w:pPr>
              <w:pStyle w:val="ListParagraph"/>
              <w:keepNext/>
              <w:spacing w:before="120" w:after="120"/>
              <w:jc w:val="both"/>
              <w:rPr>
                <w:color w:val="000000"/>
                <w:sz w:val="20"/>
                <w:szCs w:val="20"/>
              </w:rPr>
            </w:pPr>
            <w:proofErr w:type="spellStart"/>
            <w:r w:rsidRPr="00282FBD">
              <w:rPr>
                <w:color w:val="000000"/>
                <w:sz w:val="20"/>
                <w:szCs w:val="20"/>
              </w:rPr>
              <w:t>tsset</w:t>
            </w:r>
            <w:proofErr w:type="spellEnd"/>
            <w:r w:rsidRPr="00282FBD">
              <w:rPr>
                <w:color w:val="000000"/>
                <w:sz w:val="20"/>
                <w:szCs w:val="20"/>
              </w:rPr>
              <w:t xml:space="preserve"> country year</w:t>
            </w:r>
          </w:p>
          <w:p w:rsidR="00DB449D" w:rsidRPr="001E63CD" w:rsidRDefault="00DB449D" w:rsidP="00296583">
            <w:pPr>
              <w:pStyle w:val="ListParagraph"/>
              <w:keepNext/>
              <w:spacing w:before="120" w:after="120"/>
              <w:jc w:val="both"/>
              <w:rPr>
                <w:color w:val="000000"/>
                <w:sz w:val="20"/>
                <w:szCs w:val="20"/>
                <w:lang w:val="es-ES_tradnl"/>
              </w:rPr>
            </w:pPr>
            <w:r w:rsidRPr="001E63CD">
              <w:rPr>
                <w:color w:val="000000"/>
                <w:sz w:val="20"/>
                <w:szCs w:val="20"/>
                <w:lang w:val="es-ES_tradnl"/>
              </w:rPr>
              <w:t xml:space="preserve">** </w:t>
            </w:r>
            <w:proofErr w:type="spellStart"/>
            <w:r w:rsidRPr="001E63CD">
              <w:rPr>
                <w:color w:val="000000"/>
                <w:sz w:val="20"/>
                <w:szCs w:val="20"/>
                <w:lang w:val="es-ES_tradnl"/>
              </w:rPr>
              <w:t>loop</w:t>
            </w:r>
            <w:proofErr w:type="spellEnd"/>
            <w:r w:rsidRPr="001E63CD">
              <w:rPr>
                <w:color w:val="000000"/>
                <w:sz w:val="20"/>
                <w:szCs w:val="20"/>
                <w:lang w:val="es-ES_tradnl"/>
              </w:rPr>
              <w:t xml:space="preserve"> con las 31 unidades</w:t>
            </w:r>
          </w:p>
          <w:p w:rsidR="00DB449D" w:rsidRPr="001E63CD" w:rsidRDefault="00DB449D" w:rsidP="00296583">
            <w:pPr>
              <w:pStyle w:val="ListParagraph"/>
              <w:keepNext/>
              <w:spacing w:before="120" w:after="120"/>
              <w:jc w:val="both"/>
              <w:rPr>
                <w:color w:val="000000"/>
                <w:sz w:val="20"/>
                <w:szCs w:val="20"/>
                <w:lang w:val="es-ES_tradnl"/>
              </w:rPr>
            </w:pPr>
            <w:proofErr w:type="spellStart"/>
            <w:r w:rsidRPr="001E63CD">
              <w:rPr>
                <w:color w:val="000000"/>
                <w:sz w:val="20"/>
                <w:szCs w:val="20"/>
                <w:lang w:val="es-ES_tradnl"/>
              </w:rPr>
              <w:t>forval</w:t>
            </w:r>
            <w:proofErr w:type="spellEnd"/>
            <w:r w:rsidRPr="001E63CD">
              <w:rPr>
                <w:color w:val="000000"/>
                <w:sz w:val="20"/>
                <w:szCs w:val="20"/>
                <w:lang w:val="es-ES_tradnl"/>
              </w:rPr>
              <w:t xml:space="preserve"> i=1/31{</w:t>
            </w:r>
          </w:p>
          <w:p w:rsidR="00DB449D" w:rsidRPr="001E63CD" w:rsidRDefault="00DB449D" w:rsidP="00296583">
            <w:pPr>
              <w:pStyle w:val="ListParagraph"/>
              <w:keepNext/>
              <w:spacing w:before="120" w:after="120"/>
              <w:jc w:val="both"/>
              <w:rPr>
                <w:color w:val="000000"/>
                <w:sz w:val="20"/>
                <w:szCs w:val="20"/>
                <w:lang w:val="es-ES_tradnl"/>
              </w:rPr>
            </w:pPr>
            <w:proofErr w:type="spellStart"/>
            <w:r w:rsidRPr="001E63CD">
              <w:rPr>
                <w:color w:val="000000"/>
                <w:sz w:val="20"/>
                <w:szCs w:val="20"/>
                <w:lang w:val="es-ES_tradnl"/>
              </w:rPr>
              <w:t>qui</w:t>
            </w:r>
            <w:proofErr w:type="spellEnd"/>
            <w:r w:rsidRPr="001E63CD">
              <w:rPr>
                <w:color w:val="000000"/>
                <w:sz w:val="20"/>
                <w:szCs w:val="20"/>
                <w:lang w:val="es-ES_tradnl"/>
              </w:rPr>
              <w:t xml:space="preserve"> </w:t>
            </w:r>
            <w:proofErr w:type="spellStart"/>
            <w:r w:rsidRPr="001E63CD">
              <w:rPr>
                <w:color w:val="000000"/>
                <w:sz w:val="20"/>
                <w:szCs w:val="20"/>
                <w:lang w:val="es-ES_tradnl"/>
              </w:rPr>
              <w:t>synth</w:t>
            </w:r>
            <w:proofErr w:type="spellEnd"/>
            <w:r w:rsidRPr="001E63CD">
              <w:rPr>
                <w:color w:val="000000"/>
                <w:sz w:val="20"/>
                <w:szCs w:val="20"/>
                <w:lang w:val="es-ES_tradnl"/>
              </w:rPr>
              <w:t xml:space="preserve"> </w:t>
            </w:r>
            <w:proofErr w:type="spellStart"/>
            <w:r w:rsidRPr="001E63CD">
              <w:rPr>
                <w:color w:val="000000"/>
                <w:sz w:val="20"/>
                <w:szCs w:val="20"/>
                <w:lang w:val="es-ES_tradnl"/>
              </w:rPr>
              <w:t>expgsgdp</w:t>
            </w:r>
            <w:proofErr w:type="spellEnd"/>
            <w:r w:rsidRPr="001E63CD">
              <w:rPr>
                <w:color w:val="000000"/>
                <w:sz w:val="20"/>
                <w:szCs w:val="20"/>
                <w:lang w:val="es-ES_tradnl"/>
              </w:rPr>
              <w:t xml:space="preserve"> </w:t>
            </w:r>
            <w:proofErr w:type="spellStart"/>
            <w:r w:rsidRPr="001E63CD">
              <w:rPr>
                <w:color w:val="000000"/>
                <w:sz w:val="20"/>
                <w:szCs w:val="20"/>
                <w:lang w:val="es-ES_tradnl"/>
              </w:rPr>
              <w:t>expgsgdp</w:t>
            </w:r>
            <w:proofErr w:type="spellEnd"/>
            <w:r w:rsidRPr="001E63CD">
              <w:rPr>
                <w:color w:val="000000"/>
                <w:sz w:val="20"/>
                <w:szCs w:val="20"/>
                <w:lang w:val="es-ES_tradnl"/>
              </w:rPr>
              <w:t xml:space="preserve"> </w:t>
            </w:r>
            <w:proofErr w:type="spellStart"/>
            <w:r w:rsidRPr="001E63CD">
              <w:rPr>
                <w:color w:val="000000"/>
                <w:sz w:val="20"/>
                <w:szCs w:val="20"/>
                <w:lang w:val="es-ES_tradnl"/>
              </w:rPr>
              <w:t>tradegdp</w:t>
            </w:r>
            <w:proofErr w:type="spellEnd"/>
            <w:r w:rsidRPr="001E63CD">
              <w:rPr>
                <w:color w:val="000000"/>
                <w:sz w:val="20"/>
                <w:szCs w:val="20"/>
                <w:lang w:val="es-ES_tradnl"/>
              </w:rPr>
              <w:t xml:space="preserve"> </w:t>
            </w:r>
            <w:proofErr w:type="spellStart"/>
            <w:r w:rsidRPr="001E63CD">
              <w:rPr>
                <w:color w:val="000000"/>
                <w:sz w:val="20"/>
                <w:szCs w:val="20"/>
                <w:lang w:val="es-ES_tradnl"/>
              </w:rPr>
              <w:t>tanspservexp</w:t>
            </w:r>
            <w:proofErr w:type="spellEnd"/>
            <w:r w:rsidRPr="001E63CD">
              <w:rPr>
                <w:color w:val="000000"/>
                <w:sz w:val="20"/>
                <w:szCs w:val="20"/>
                <w:lang w:val="es-ES_tradnl"/>
              </w:rPr>
              <w:t xml:space="preserve"> </w:t>
            </w:r>
            <w:proofErr w:type="spellStart"/>
            <w:r w:rsidRPr="001E63CD">
              <w:rPr>
                <w:color w:val="000000"/>
                <w:sz w:val="20"/>
                <w:szCs w:val="20"/>
                <w:lang w:val="es-ES_tradnl"/>
              </w:rPr>
              <w:t>communexp</w:t>
            </w:r>
            <w:proofErr w:type="spellEnd"/>
            <w:r w:rsidRPr="001E63CD">
              <w:rPr>
                <w:color w:val="000000"/>
                <w:sz w:val="20"/>
                <w:szCs w:val="20"/>
                <w:lang w:val="es-ES_tradnl"/>
              </w:rPr>
              <w:t xml:space="preserve"> </w:t>
            </w:r>
            <w:proofErr w:type="spellStart"/>
            <w:r w:rsidRPr="001E63CD">
              <w:rPr>
                <w:color w:val="000000"/>
                <w:sz w:val="20"/>
                <w:szCs w:val="20"/>
                <w:lang w:val="es-ES_tradnl"/>
              </w:rPr>
              <w:t>timeciexp</w:t>
            </w:r>
            <w:proofErr w:type="spellEnd"/>
            <w:r w:rsidRPr="001E63CD">
              <w:rPr>
                <w:color w:val="000000"/>
                <w:sz w:val="20"/>
                <w:szCs w:val="20"/>
                <w:lang w:val="es-ES_tradnl"/>
              </w:rPr>
              <w:t xml:space="preserve"> </w:t>
            </w:r>
            <w:proofErr w:type="spellStart"/>
            <w:r w:rsidRPr="001E63CD">
              <w:rPr>
                <w:color w:val="000000"/>
                <w:sz w:val="20"/>
                <w:szCs w:val="20"/>
                <w:lang w:val="es-ES_tradnl"/>
              </w:rPr>
              <w:lastRenderedPageBreak/>
              <w:t>sevgdp</w:t>
            </w:r>
            <w:proofErr w:type="spellEnd"/>
            <w:r w:rsidRPr="001E63CD">
              <w:rPr>
                <w:color w:val="000000"/>
                <w:sz w:val="20"/>
                <w:szCs w:val="20"/>
                <w:lang w:val="es-ES_tradnl"/>
              </w:rPr>
              <w:t xml:space="preserve"> </w:t>
            </w:r>
            <w:proofErr w:type="spellStart"/>
            <w:r w:rsidRPr="001E63CD">
              <w:rPr>
                <w:color w:val="000000"/>
                <w:sz w:val="20"/>
                <w:szCs w:val="20"/>
                <w:lang w:val="es-ES_tradnl"/>
              </w:rPr>
              <w:t>tradeservgdp</w:t>
            </w:r>
            <w:proofErr w:type="spellEnd"/>
            <w:r w:rsidRPr="001E63CD">
              <w:rPr>
                <w:color w:val="000000"/>
                <w:sz w:val="20"/>
                <w:szCs w:val="20"/>
                <w:lang w:val="es-ES_tradnl"/>
              </w:rPr>
              <w:t xml:space="preserve"> </w:t>
            </w:r>
            <w:proofErr w:type="spellStart"/>
            <w:r w:rsidRPr="001E63CD">
              <w:rPr>
                <w:color w:val="000000"/>
                <w:sz w:val="20"/>
                <w:szCs w:val="20"/>
                <w:lang w:val="es-ES_tradnl"/>
              </w:rPr>
              <w:t>foreigInvgdp</w:t>
            </w:r>
            <w:proofErr w:type="spellEnd"/>
            <w:r w:rsidRPr="001E63CD">
              <w:rPr>
                <w:color w:val="000000"/>
                <w:sz w:val="20"/>
                <w:szCs w:val="20"/>
                <w:lang w:val="es-ES_tradnl"/>
              </w:rPr>
              <w:t xml:space="preserve"> </w:t>
            </w:r>
            <w:proofErr w:type="spellStart"/>
            <w:r w:rsidRPr="001E63CD">
              <w:rPr>
                <w:color w:val="000000"/>
                <w:sz w:val="20"/>
                <w:szCs w:val="20"/>
                <w:lang w:val="es-ES_tradnl"/>
              </w:rPr>
              <w:t>timeexp</w:t>
            </w:r>
            <w:proofErr w:type="spellEnd"/>
            <w:r w:rsidRPr="001E63CD">
              <w:rPr>
                <w:color w:val="000000"/>
                <w:sz w:val="20"/>
                <w:szCs w:val="20"/>
                <w:lang w:val="es-ES_tradnl"/>
              </w:rPr>
              <w:t xml:space="preserve"> </w:t>
            </w:r>
            <w:proofErr w:type="spellStart"/>
            <w:r w:rsidRPr="001E63CD">
              <w:rPr>
                <w:color w:val="000000"/>
                <w:sz w:val="20"/>
                <w:szCs w:val="20"/>
                <w:lang w:val="es-ES_tradnl"/>
              </w:rPr>
              <w:t>costexpcontain</w:t>
            </w:r>
            <w:proofErr w:type="spellEnd"/>
            <w:r w:rsidRPr="001E63CD">
              <w:rPr>
                <w:color w:val="000000"/>
                <w:sz w:val="20"/>
                <w:szCs w:val="20"/>
                <w:lang w:val="es-ES_tradnl"/>
              </w:rPr>
              <w:t xml:space="preserve"> </w:t>
            </w:r>
            <w:proofErr w:type="spellStart"/>
            <w:r w:rsidRPr="001E63CD">
              <w:rPr>
                <w:color w:val="000000"/>
                <w:sz w:val="20"/>
                <w:szCs w:val="20"/>
                <w:lang w:val="es-ES_tradnl"/>
              </w:rPr>
              <w:t>costimpcontain</w:t>
            </w:r>
            <w:proofErr w:type="spellEnd"/>
            <w:r w:rsidRPr="001E63CD">
              <w:rPr>
                <w:color w:val="000000"/>
                <w:sz w:val="20"/>
                <w:szCs w:val="20"/>
                <w:lang w:val="es-ES_tradnl"/>
              </w:rPr>
              <w:t xml:space="preserve"> </w:t>
            </w:r>
            <w:proofErr w:type="spellStart"/>
            <w:r w:rsidRPr="001E63CD">
              <w:rPr>
                <w:color w:val="000000"/>
                <w:sz w:val="20"/>
                <w:szCs w:val="20"/>
                <w:lang w:val="es-ES_tradnl"/>
              </w:rPr>
              <w:t>conttrafficport</w:t>
            </w:r>
            <w:proofErr w:type="spellEnd"/>
            <w:r w:rsidRPr="001E63CD">
              <w:rPr>
                <w:color w:val="000000"/>
                <w:sz w:val="20"/>
                <w:szCs w:val="20"/>
                <w:lang w:val="es-ES_tradnl"/>
              </w:rPr>
              <w:t xml:space="preserve"> </w:t>
            </w:r>
            <w:proofErr w:type="spellStart"/>
            <w:r w:rsidRPr="001E63CD">
              <w:rPr>
                <w:color w:val="000000"/>
                <w:sz w:val="20"/>
                <w:szCs w:val="20"/>
                <w:lang w:val="es-ES_tradnl"/>
              </w:rPr>
              <w:t>logistindex</w:t>
            </w:r>
            <w:proofErr w:type="spellEnd"/>
            <w:r w:rsidRPr="001E63CD">
              <w:rPr>
                <w:color w:val="000000"/>
                <w:sz w:val="20"/>
                <w:szCs w:val="20"/>
                <w:lang w:val="es-ES_tradnl"/>
              </w:rPr>
              <w:t xml:space="preserve">, </w:t>
            </w:r>
            <w:proofErr w:type="spellStart"/>
            <w:r w:rsidRPr="001E63CD">
              <w:rPr>
                <w:color w:val="000000"/>
                <w:sz w:val="20"/>
                <w:szCs w:val="20"/>
                <w:lang w:val="es-ES_tradnl"/>
              </w:rPr>
              <w:t>trunit</w:t>
            </w:r>
            <w:proofErr w:type="spellEnd"/>
            <w:r w:rsidRPr="001E63CD">
              <w:rPr>
                <w:color w:val="000000"/>
                <w:sz w:val="20"/>
                <w:szCs w:val="20"/>
                <w:lang w:val="es-ES_tradnl"/>
              </w:rPr>
              <w:t xml:space="preserve">(`i') </w:t>
            </w:r>
            <w:proofErr w:type="spellStart"/>
            <w:r w:rsidRPr="001E63CD">
              <w:rPr>
                <w:color w:val="000000"/>
                <w:sz w:val="20"/>
                <w:szCs w:val="20"/>
                <w:lang w:val="es-ES_tradnl"/>
              </w:rPr>
              <w:t>resultsperiod</w:t>
            </w:r>
            <w:proofErr w:type="spellEnd"/>
            <w:r w:rsidRPr="001E63CD">
              <w:rPr>
                <w:color w:val="000000"/>
                <w:sz w:val="20"/>
                <w:szCs w:val="20"/>
                <w:lang w:val="es-ES_tradnl"/>
              </w:rPr>
              <w:t xml:space="preserve">(2005,2006,2007,2008,2011,2012,2013,2014) </w:t>
            </w:r>
            <w:proofErr w:type="spellStart"/>
            <w:r w:rsidRPr="001E63CD">
              <w:rPr>
                <w:color w:val="000000"/>
                <w:sz w:val="20"/>
                <w:szCs w:val="20"/>
                <w:lang w:val="es-ES_tradnl"/>
              </w:rPr>
              <w:t>mspeperiod</w:t>
            </w:r>
            <w:proofErr w:type="spellEnd"/>
            <w:r w:rsidRPr="001E63CD">
              <w:rPr>
                <w:color w:val="000000"/>
                <w:sz w:val="20"/>
                <w:szCs w:val="20"/>
                <w:lang w:val="es-ES_tradnl"/>
              </w:rPr>
              <w:t xml:space="preserve">(2005,2006,2007,2008,2011,2012,2013,2014) </w:t>
            </w:r>
            <w:proofErr w:type="spellStart"/>
            <w:r w:rsidRPr="001E63CD">
              <w:rPr>
                <w:color w:val="000000"/>
                <w:sz w:val="20"/>
                <w:szCs w:val="20"/>
                <w:lang w:val="es-ES_tradnl"/>
              </w:rPr>
              <w:t>trperiod</w:t>
            </w:r>
            <w:proofErr w:type="spellEnd"/>
            <w:r w:rsidRPr="001E63CD">
              <w:rPr>
                <w:color w:val="000000"/>
                <w:sz w:val="20"/>
                <w:szCs w:val="20"/>
                <w:lang w:val="es-ES_tradnl"/>
              </w:rPr>
              <w:t>(2014)</w:t>
            </w:r>
          </w:p>
          <w:p w:rsidR="00DB449D" w:rsidRPr="00282FBD" w:rsidRDefault="00DB449D" w:rsidP="00296583">
            <w:pPr>
              <w:pStyle w:val="ListParagraph"/>
              <w:keepNext/>
              <w:spacing w:before="120" w:after="120"/>
              <w:jc w:val="both"/>
              <w:rPr>
                <w:color w:val="000000"/>
                <w:sz w:val="20"/>
                <w:szCs w:val="20"/>
              </w:rPr>
            </w:pPr>
            <w:r w:rsidRPr="00282FBD">
              <w:rPr>
                <w:color w:val="000000"/>
                <w:sz w:val="20"/>
                <w:szCs w:val="20"/>
              </w:rPr>
              <w:t>keep(synth_`</w:t>
            </w:r>
            <w:proofErr w:type="spellStart"/>
            <w:r w:rsidRPr="00282FBD">
              <w:rPr>
                <w:color w:val="000000"/>
                <w:sz w:val="20"/>
                <w:szCs w:val="20"/>
              </w:rPr>
              <w:t>i</w:t>
            </w:r>
            <w:proofErr w:type="spellEnd"/>
            <w:r w:rsidRPr="00282FBD">
              <w:rPr>
                <w:color w:val="000000"/>
                <w:sz w:val="20"/>
                <w:szCs w:val="20"/>
              </w:rPr>
              <w:t>', replace)</w:t>
            </w:r>
          </w:p>
          <w:p w:rsidR="00DB449D" w:rsidRPr="00282FBD" w:rsidRDefault="00DB449D" w:rsidP="00296583">
            <w:pPr>
              <w:pStyle w:val="ListParagraph"/>
              <w:keepNext/>
              <w:spacing w:before="120" w:after="120"/>
              <w:jc w:val="both"/>
              <w:rPr>
                <w:color w:val="000000"/>
                <w:sz w:val="20"/>
                <w:szCs w:val="20"/>
              </w:rPr>
            </w:pPr>
            <w:r w:rsidRPr="00282FBD">
              <w:rPr>
                <w:color w:val="000000"/>
                <w:sz w:val="20"/>
                <w:szCs w:val="20"/>
              </w:rPr>
              <w:t>}</w:t>
            </w:r>
          </w:p>
        </w:tc>
      </w:tr>
    </w:tbl>
    <w:p w:rsidR="00DB449D" w:rsidRPr="00282FBD" w:rsidRDefault="00DB449D" w:rsidP="00965C57">
      <w:pPr>
        <w:pStyle w:val="ListParagraph"/>
        <w:keepNext/>
        <w:numPr>
          <w:ilvl w:val="0"/>
          <w:numId w:val="18"/>
        </w:numPr>
        <w:shd w:val="clear" w:color="auto" w:fill="FFFFFF"/>
        <w:spacing w:before="120" w:after="120"/>
        <w:contextualSpacing w:val="0"/>
        <w:jc w:val="both"/>
        <w:rPr>
          <w:color w:val="000000"/>
          <w:lang w:val="es-ES"/>
        </w:rPr>
      </w:pPr>
      <w:r w:rsidRPr="00282FBD">
        <w:rPr>
          <w:lang w:val="es-ES_tradnl"/>
        </w:rPr>
        <w:lastRenderedPageBreak/>
        <w:t xml:space="preserve">A </w:t>
      </w:r>
      <w:r w:rsidRPr="00282FBD">
        <w:rPr>
          <w:lang w:val="es-ES"/>
        </w:rPr>
        <w:t>seguir</w:t>
      </w:r>
      <w:r w:rsidRPr="00282FBD">
        <w:rPr>
          <w:lang w:val="es-ES_tradnl"/>
        </w:rPr>
        <w:t xml:space="preserve"> se </w:t>
      </w:r>
      <w:r w:rsidRPr="00282FBD">
        <w:rPr>
          <w:lang w:val="es-ES"/>
        </w:rPr>
        <w:t>hace</w:t>
      </w:r>
      <w:r w:rsidRPr="00282FBD">
        <w:rPr>
          <w:lang w:val="es-ES_tradnl"/>
        </w:rPr>
        <w:t xml:space="preserve"> un </w:t>
      </w:r>
      <w:r w:rsidRPr="00282FBD">
        <w:rPr>
          <w:lang w:val="es-ES"/>
        </w:rPr>
        <w:t>“</w:t>
      </w:r>
      <w:proofErr w:type="spellStart"/>
      <w:r w:rsidRPr="00282FBD">
        <w:rPr>
          <w:lang w:val="es-ES_tradnl"/>
        </w:rPr>
        <w:t>loop</w:t>
      </w:r>
      <w:proofErr w:type="spellEnd"/>
      <w:r w:rsidRPr="00282FBD">
        <w:rPr>
          <w:lang w:val="es-ES"/>
        </w:rPr>
        <w:t>”</w:t>
      </w:r>
      <w:r w:rsidRPr="00282FBD">
        <w:rPr>
          <w:lang w:val="es-ES_tradnl"/>
        </w:rPr>
        <w:t xml:space="preserve"> con los </w:t>
      </w:r>
      <w:r w:rsidRPr="00282FBD">
        <w:rPr>
          <w:lang w:val="es-ES"/>
        </w:rPr>
        <w:t>“</w:t>
      </w:r>
      <w:proofErr w:type="spellStart"/>
      <w:r w:rsidRPr="00282FBD">
        <w:rPr>
          <w:lang w:val="es-ES_tradnl"/>
        </w:rPr>
        <w:t>datasets</w:t>
      </w:r>
      <w:proofErr w:type="spellEnd"/>
      <w:r w:rsidRPr="00282FBD">
        <w:rPr>
          <w:lang w:val="es-ES"/>
        </w:rPr>
        <w:t>”</w:t>
      </w:r>
      <w:r w:rsidRPr="00282FBD">
        <w:rPr>
          <w:lang w:val="es-ES_tradnl"/>
        </w:rPr>
        <w:t xml:space="preserve"> salvados y se crean </w:t>
      </w:r>
      <w:r w:rsidRPr="00282FBD">
        <w:rPr>
          <w:lang w:val="es-ES"/>
        </w:rPr>
        <w:t xml:space="preserve">las variables relevantes (año y variable de interés). </w:t>
      </w:r>
      <w:r w:rsidRPr="002F50CB">
        <w:rPr>
          <w:lang w:val="es-ES_tradnl"/>
        </w:rPr>
        <w:t>Adicionalmente se elimina la información nula.</w:t>
      </w:r>
    </w:p>
    <w:tbl>
      <w:tblPr>
        <w:tblStyle w:val="TableGrid"/>
        <w:tblW w:w="0" w:type="auto"/>
        <w:tblInd w:w="1008" w:type="dxa"/>
        <w:tblLook w:val="04A0" w:firstRow="1" w:lastRow="0" w:firstColumn="1" w:lastColumn="0" w:noHBand="0" w:noVBand="1"/>
      </w:tblPr>
      <w:tblGrid>
        <w:gridCol w:w="7589"/>
      </w:tblGrid>
      <w:tr w:rsidR="00DB449D" w:rsidRPr="00417FA4" w:rsidTr="00DB449D">
        <w:tc>
          <w:tcPr>
            <w:tcW w:w="7589" w:type="dxa"/>
          </w:tcPr>
          <w:p w:rsidR="00DB449D" w:rsidRPr="00282FBD" w:rsidRDefault="00DB449D" w:rsidP="00296583">
            <w:pPr>
              <w:pStyle w:val="ListParagraph"/>
              <w:keepNext/>
              <w:spacing w:before="120" w:after="120"/>
              <w:jc w:val="both"/>
              <w:rPr>
                <w:color w:val="000000"/>
                <w:sz w:val="20"/>
                <w:szCs w:val="20"/>
              </w:rPr>
            </w:pPr>
            <w:proofErr w:type="spellStart"/>
            <w:r w:rsidRPr="00282FBD">
              <w:rPr>
                <w:color w:val="000000"/>
                <w:sz w:val="20"/>
                <w:szCs w:val="20"/>
              </w:rPr>
              <w:t>forval</w:t>
            </w:r>
            <w:proofErr w:type="spellEnd"/>
            <w:r w:rsidRPr="00282FBD">
              <w:rPr>
                <w:color w:val="000000"/>
                <w:sz w:val="20"/>
                <w:szCs w:val="20"/>
              </w:rPr>
              <w:t xml:space="preserve"> </w:t>
            </w:r>
            <w:proofErr w:type="spellStart"/>
            <w:r w:rsidRPr="00282FBD">
              <w:rPr>
                <w:color w:val="000000"/>
                <w:sz w:val="20"/>
                <w:szCs w:val="20"/>
              </w:rPr>
              <w:t>i</w:t>
            </w:r>
            <w:proofErr w:type="spellEnd"/>
            <w:r w:rsidRPr="00282FBD">
              <w:rPr>
                <w:color w:val="000000"/>
                <w:sz w:val="20"/>
                <w:szCs w:val="20"/>
              </w:rPr>
              <w:t>=1/31{</w:t>
            </w:r>
          </w:p>
          <w:p w:rsidR="00DB449D" w:rsidRPr="00282FBD" w:rsidRDefault="00DB449D" w:rsidP="00296583">
            <w:pPr>
              <w:pStyle w:val="ListParagraph"/>
              <w:keepNext/>
              <w:spacing w:before="120" w:after="120"/>
              <w:jc w:val="both"/>
              <w:rPr>
                <w:color w:val="000000"/>
                <w:sz w:val="20"/>
                <w:szCs w:val="20"/>
              </w:rPr>
            </w:pPr>
            <w:r w:rsidRPr="00282FBD">
              <w:rPr>
                <w:color w:val="000000"/>
                <w:sz w:val="20"/>
                <w:szCs w:val="20"/>
              </w:rPr>
              <w:t>use synth_`</w:t>
            </w:r>
            <w:proofErr w:type="spellStart"/>
            <w:r w:rsidRPr="00282FBD">
              <w:rPr>
                <w:color w:val="000000"/>
                <w:sz w:val="20"/>
                <w:szCs w:val="20"/>
              </w:rPr>
              <w:t>i</w:t>
            </w:r>
            <w:proofErr w:type="spellEnd"/>
            <w:r w:rsidRPr="00282FBD">
              <w:rPr>
                <w:color w:val="000000"/>
                <w:sz w:val="20"/>
                <w:szCs w:val="20"/>
              </w:rPr>
              <w:t>', clear</w:t>
            </w:r>
          </w:p>
          <w:p w:rsidR="00DB449D" w:rsidRPr="00282FBD" w:rsidRDefault="00DB449D" w:rsidP="00296583">
            <w:pPr>
              <w:pStyle w:val="ListParagraph"/>
              <w:keepNext/>
              <w:spacing w:before="120" w:after="120"/>
              <w:jc w:val="both"/>
              <w:rPr>
                <w:color w:val="000000"/>
                <w:sz w:val="20"/>
                <w:szCs w:val="20"/>
              </w:rPr>
            </w:pPr>
            <w:r w:rsidRPr="00282FBD">
              <w:rPr>
                <w:color w:val="000000"/>
                <w:sz w:val="20"/>
                <w:szCs w:val="20"/>
              </w:rPr>
              <w:t>rename _time year</w:t>
            </w:r>
          </w:p>
          <w:p w:rsidR="00DB449D" w:rsidRPr="00282FBD" w:rsidRDefault="00DB449D" w:rsidP="00296583">
            <w:pPr>
              <w:pStyle w:val="ListParagraph"/>
              <w:keepNext/>
              <w:spacing w:before="120" w:after="120"/>
              <w:jc w:val="both"/>
              <w:rPr>
                <w:color w:val="000000"/>
                <w:sz w:val="20"/>
                <w:szCs w:val="20"/>
              </w:rPr>
            </w:pPr>
            <w:r w:rsidRPr="00282FBD">
              <w:rPr>
                <w:color w:val="000000"/>
                <w:sz w:val="20"/>
                <w:szCs w:val="20"/>
              </w:rPr>
              <w:t>gen tr_effect_`</w:t>
            </w:r>
            <w:proofErr w:type="spellStart"/>
            <w:r w:rsidRPr="00282FBD">
              <w:rPr>
                <w:color w:val="000000"/>
                <w:sz w:val="20"/>
                <w:szCs w:val="20"/>
              </w:rPr>
              <w:t>i</w:t>
            </w:r>
            <w:proofErr w:type="spellEnd"/>
            <w:r w:rsidRPr="00282FBD">
              <w:rPr>
                <w:color w:val="000000"/>
                <w:sz w:val="20"/>
                <w:szCs w:val="20"/>
              </w:rPr>
              <w:t>' = _</w:t>
            </w:r>
            <w:proofErr w:type="spellStart"/>
            <w:r w:rsidRPr="00282FBD">
              <w:rPr>
                <w:color w:val="000000"/>
                <w:sz w:val="20"/>
                <w:szCs w:val="20"/>
              </w:rPr>
              <w:t>Y_treated</w:t>
            </w:r>
            <w:proofErr w:type="spellEnd"/>
            <w:r w:rsidRPr="00282FBD">
              <w:rPr>
                <w:color w:val="000000"/>
                <w:sz w:val="20"/>
                <w:szCs w:val="20"/>
              </w:rPr>
              <w:t xml:space="preserve"> - _</w:t>
            </w:r>
            <w:proofErr w:type="spellStart"/>
            <w:r w:rsidRPr="00282FBD">
              <w:rPr>
                <w:color w:val="000000"/>
                <w:sz w:val="20"/>
                <w:szCs w:val="20"/>
              </w:rPr>
              <w:t>Y_synthetic</w:t>
            </w:r>
            <w:proofErr w:type="spellEnd"/>
          </w:p>
          <w:p w:rsidR="00DB449D" w:rsidRPr="00282FBD" w:rsidRDefault="00DB449D" w:rsidP="00296583">
            <w:pPr>
              <w:pStyle w:val="ListParagraph"/>
              <w:keepNext/>
              <w:spacing w:before="120" w:after="120"/>
              <w:jc w:val="both"/>
              <w:rPr>
                <w:color w:val="000000"/>
                <w:sz w:val="20"/>
                <w:szCs w:val="20"/>
              </w:rPr>
            </w:pPr>
            <w:r w:rsidRPr="00282FBD">
              <w:rPr>
                <w:color w:val="000000"/>
                <w:sz w:val="20"/>
                <w:szCs w:val="20"/>
              </w:rPr>
              <w:t>keep year tr_effect_`</w:t>
            </w:r>
            <w:proofErr w:type="spellStart"/>
            <w:r w:rsidRPr="00282FBD">
              <w:rPr>
                <w:color w:val="000000"/>
                <w:sz w:val="20"/>
                <w:szCs w:val="20"/>
              </w:rPr>
              <w:t>i</w:t>
            </w:r>
            <w:proofErr w:type="spellEnd"/>
            <w:r w:rsidRPr="00282FBD">
              <w:rPr>
                <w:color w:val="000000"/>
                <w:sz w:val="20"/>
                <w:szCs w:val="20"/>
              </w:rPr>
              <w:t>'</w:t>
            </w:r>
          </w:p>
          <w:p w:rsidR="00DB449D" w:rsidRPr="00282FBD" w:rsidRDefault="00DB449D" w:rsidP="00296583">
            <w:pPr>
              <w:pStyle w:val="ListParagraph"/>
              <w:keepNext/>
              <w:spacing w:before="120" w:after="120"/>
              <w:jc w:val="both"/>
              <w:rPr>
                <w:color w:val="000000"/>
                <w:sz w:val="20"/>
                <w:szCs w:val="20"/>
              </w:rPr>
            </w:pPr>
            <w:r w:rsidRPr="00282FBD">
              <w:rPr>
                <w:color w:val="000000"/>
                <w:sz w:val="20"/>
                <w:szCs w:val="20"/>
              </w:rPr>
              <w:t>drop if missing(year)</w:t>
            </w:r>
          </w:p>
          <w:p w:rsidR="00DB449D" w:rsidRPr="00282FBD" w:rsidRDefault="00DB449D" w:rsidP="00296583">
            <w:pPr>
              <w:pStyle w:val="ListParagraph"/>
              <w:keepNext/>
              <w:spacing w:before="120" w:after="120"/>
              <w:jc w:val="both"/>
              <w:rPr>
                <w:color w:val="000000"/>
                <w:sz w:val="20"/>
                <w:szCs w:val="20"/>
              </w:rPr>
            </w:pPr>
            <w:r w:rsidRPr="00282FBD">
              <w:rPr>
                <w:color w:val="000000"/>
                <w:sz w:val="20"/>
                <w:szCs w:val="20"/>
              </w:rPr>
              <w:t>save synth_`</w:t>
            </w:r>
            <w:proofErr w:type="spellStart"/>
            <w:r w:rsidRPr="00282FBD">
              <w:rPr>
                <w:color w:val="000000"/>
                <w:sz w:val="20"/>
                <w:szCs w:val="20"/>
              </w:rPr>
              <w:t>i</w:t>
            </w:r>
            <w:proofErr w:type="spellEnd"/>
            <w:r w:rsidRPr="00282FBD">
              <w:rPr>
                <w:color w:val="000000"/>
                <w:sz w:val="20"/>
                <w:szCs w:val="20"/>
              </w:rPr>
              <w:t>', replace</w:t>
            </w:r>
          </w:p>
          <w:p w:rsidR="00DB449D" w:rsidRPr="00282FBD" w:rsidRDefault="00DB449D" w:rsidP="00296583">
            <w:pPr>
              <w:pStyle w:val="ListParagraph"/>
              <w:keepNext/>
              <w:spacing w:before="120" w:after="120"/>
              <w:jc w:val="both"/>
              <w:rPr>
                <w:color w:val="000000"/>
                <w:sz w:val="20"/>
                <w:szCs w:val="20"/>
              </w:rPr>
            </w:pPr>
            <w:r w:rsidRPr="00282FBD">
              <w:rPr>
                <w:color w:val="000000"/>
                <w:sz w:val="20"/>
                <w:szCs w:val="20"/>
                <w:lang w:val="es-ES"/>
              </w:rPr>
              <w:t>}</w:t>
            </w:r>
          </w:p>
        </w:tc>
      </w:tr>
    </w:tbl>
    <w:p w:rsidR="00DB449D" w:rsidRPr="00282FBD" w:rsidRDefault="00DB449D" w:rsidP="00965C57">
      <w:pPr>
        <w:pStyle w:val="ListParagraph"/>
        <w:keepNext/>
        <w:numPr>
          <w:ilvl w:val="0"/>
          <w:numId w:val="18"/>
        </w:numPr>
        <w:shd w:val="clear" w:color="auto" w:fill="FFFFFF"/>
        <w:spacing w:before="120" w:after="120"/>
        <w:contextualSpacing w:val="0"/>
        <w:jc w:val="both"/>
        <w:rPr>
          <w:color w:val="000000"/>
          <w:lang w:val="es-ES"/>
        </w:rPr>
      </w:pPr>
      <w:r w:rsidRPr="00282FBD">
        <w:rPr>
          <w:lang w:val="es-ES"/>
        </w:rPr>
        <w:t xml:space="preserve">En el próximo paso se hace un </w:t>
      </w:r>
      <w:r>
        <w:rPr>
          <w:lang w:val="es-ES"/>
        </w:rPr>
        <w:t>“</w:t>
      </w:r>
      <w:proofErr w:type="spellStart"/>
      <w:r w:rsidRPr="00282FBD">
        <w:rPr>
          <w:lang w:val="es-ES"/>
        </w:rPr>
        <w:t>merge</w:t>
      </w:r>
      <w:proofErr w:type="spellEnd"/>
      <w:r>
        <w:rPr>
          <w:lang w:val="es-ES"/>
        </w:rPr>
        <w:t>”</w:t>
      </w:r>
      <w:r w:rsidRPr="00282FBD">
        <w:rPr>
          <w:lang w:val="es-ES"/>
        </w:rPr>
        <w:t xml:space="preserve"> de los 31 </w:t>
      </w:r>
      <w:r>
        <w:rPr>
          <w:lang w:val="es-ES"/>
        </w:rPr>
        <w:t>“</w:t>
      </w:r>
      <w:proofErr w:type="spellStart"/>
      <w:r w:rsidRPr="00282FBD">
        <w:rPr>
          <w:lang w:val="es-ES"/>
        </w:rPr>
        <w:t>datasets</w:t>
      </w:r>
      <w:proofErr w:type="spellEnd"/>
      <w:r>
        <w:rPr>
          <w:lang w:val="es-ES"/>
        </w:rPr>
        <w:t>”</w:t>
      </w:r>
      <w:r w:rsidR="002F50CB">
        <w:rPr>
          <w:lang w:val="es-ES"/>
        </w:rPr>
        <w:t xml:space="preserve"> colocándolos en un único “</w:t>
      </w:r>
      <w:proofErr w:type="spellStart"/>
      <w:r w:rsidR="002F50CB">
        <w:rPr>
          <w:lang w:val="es-ES"/>
        </w:rPr>
        <w:t>dataset</w:t>
      </w:r>
      <w:proofErr w:type="spellEnd"/>
      <w:r w:rsidR="002F50CB">
        <w:rPr>
          <w:lang w:val="es-ES"/>
        </w:rPr>
        <w:t>” para posibilitar la generación del gráfico con los 31 países sintéticos</w:t>
      </w:r>
      <w:r w:rsidRPr="00282FBD">
        <w:rPr>
          <w:lang w:val="es-ES"/>
        </w:rPr>
        <w:t>.</w:t>
      </w:r>
    </w:p>
    <w:tbl>
      <w:tblPr>
        <w:tblStyle w:val="TableGrid"/>
        <w:tblW w:w="0" w:type="auto"/>
        <w:tblInd w:w="1008" w:type="dxa"/>
        <w:tblLook w:val="04A0" w:firstRow="1" w:lastRow="0" w:firstColumn="1" w:lastColumn="0" w:noHBand="0" w:noVBand="1"/>
      </w:tblPr>
      <w:tblGrid>
        <w:gridCol w:w="7589"/>
      </w:tblGrid>
      <w:tr w:rsidR="00DB449D" w:rsidRPr="00417FA4" w:rsidTr="00DB449D">
        <w:tc>
          <w:tcPr>
            <w:tcW w:w="7589" w:type="dxa"/>
          </w:tcPr>
          <w:p w:rsidR="00DB449D" w:rsidRPr="00282FBD" w:rsidRDefault="00DB449D" w:rsidP="00296583">
            <w:pPr>
              <w:pStyle w:val="ListParagraph"/>
              <w:keepNext/>
              <w:spacing w:before="120" w:after="120"/>
              <w:jc w:val="both"/>
              <w:rPr>
                <w:color w:val="000000"/>
                <w:sz w:val="20"/>
                <w:szCs w:val="20"/>
              </w:rPr>
            </w:pPr>
            <w:r w:rsidRPr="00282FBD">
              <w:rPr>
                <w:color w:val="000000"/>
                <w:sz w:val="20"/>
                <w:szCs w:val="20"/>
              </w:rPr>
              <w:t>use synth_1, clear</w:t>
            </w:r>
          </w:p>
          <w:p w:rsidR="00DB449D" w:rsidRPr="00282FBD" w:rsidRDefault="00DB449D" w:rsidP="00296583">
            <w:pPr>
              <w:pStyle w:val="ListParagraph"/>
              <w:keepNext/>
              <w:spacing w:before="120" w:after="120"/>
              <w:jc w:val="both"/>
              <w:rPr>
                <w:color w:val="000000"/>
                <w:sz w:val="20"/>
                <w:szCs w:val="20"/>
              </w:rPr>
            </w:pPr>
            <w:proofErr w:type="spellStart"/>
            <w:r w:rsidRPr="00282FBD">
              <w:rPr>
                <w:color w:val="000000"/>
                <w:sz w:val="20"/>
                <w:szCs w:val="20"/>
              </w:rPr>
              <w:t>forval</w:t>
            </w:r>
            <w:proofErr w:type="spellEnd"/>
            <w:r w:rsidRPr="00282FBD">
              <w:rPr>
                <w:color w:val="000000"/>
                <w:sz w:val="20"/>
                <w:szCs w:val="20"/>
              </w:rPr>
              <w:t xml:space="preserve"> </w:t>
            </w:r>
            <w:proofErr w:type="spellStart"/>
            <w:r w:rsidRPr="00282FBD">
              <w:rPr>
                <w:color w:val="000000"/>
                <w:sz w:val="20"/>
                <w:szCs w:val="20"/>
              </w:rPr>
              <w:t>i</w:t>
            </w:r>
            <w:proofErr w:type="spellEnd"/>
            <w:r w:rsidRPr="00282FBD">
              <w:rPr>
                <w:color w:val="000000"/>
                <w:sz w:val="20"/>
                <w:szCs w:val="20"/>
              </w:rPr>
              <w:t>=2/31{</w:t>
            </w:r>
          </w:p>
          <w:p w:rsidR="00DB449D" w:rsidRPr="00282FBD" w:rsidRDefault="00DB449D" w:rsidP="00296583">
            <w:pPr>
              <w:pStyle w:val="ListParagraph"/>
              <w:keepNext/>
              <w:spacing w:before="120" w:after="120"/>
              <w:jc w:val="both"/>
              <w:rPr>
                <w:color w:val="000000"/>
                <w:sz w:val="20"/>
                <w:szCs w:val="20"/>
              </w:rPr>
            </w:pPr>
            <w:r w:rsidRPr="00282FBD">
              <w:rPr>
                <w:color w:val="000000"/>
                <w:sz w:val="20"/>
                <w:szCs w:val="20"/>
              </w:rPr>
              <w:t>qui merge 1:1 year using synth_`</w:t>
            </w:r>
            <w:proofErr w:type="spellStart"/>
            <w:r w:rsidRPr="00282FBD">
              <w:rPr>
                <w:color w:val="000000"/>
                <w:sz w:val="20"/>
                <w:szCs w:val="20"/>
              </w:rPr>
              <w:t>i</w:t>
            </w:r>
            <w:proofErr w:type="spellEnd"/>
            <w:r w:rsidRPr="00282FBD">
              <w:rPr>
                <w:color w:val="000000"/>
                <w:sz w:val="20"/>
                <w:szCs w:val="20"/>
              </w:rPr>
              <w:t xml:space="preserve">', </w:t>
            </w:r>
            <w:proofErr w:type="spellStart"/>
            <w:r w:rsidRPr="00282FBD">
              <w:rPr>
                <w:color w:val="000000"/>
                <w:sz w:val="20"/>
                <w:szCs w:val="20"/>
              </w:rPr>
              <w:t>nogenerate</w:t>
            </w:r>
            <w:proofErr w:type="spellEnd"/>
          </w:p>
          <w:p w:rsidR="00DB449D" w:rsidRPr="00282FBD" w:rsidRDefault="00DB449D" w:rsidP="00296583">
            <w:pPr>
              <w:pStyle w:val="ListParagraph"/>
              <w:keepNext/>
              <w:spacing w:before="120" w:after="120"/>
              <w:jc w:val="both"/>
              <w:rPr>
                <w:color w:val="000000"/>
                <w:sz w:val="20"/>
                <w:szCs w:val="20"/>
              </w:rPr>
            </w:pPr>
            <w:r w:rsidRPr="00282FBD">
              <w:rPr>
                <w:color w:val="000000"/>
                <w:sz w:val="20"/>
                <w:szCs w:val="20"/>
              </w:rPr>
              <w:t>}</w:t>
            </w:r>
          </w:p>
        </w:tc>
      </w:tr>
    </w:tbl>
    <w:p w:rsidR="00DB449D" w:rsidRPr="00282FBD" w:rsidRDefault="00DB449D" w:rsidP="00965C57">
      <w:pPr>
        <w:pStyle w:val="ListParagraph"/>
        <w:keepNext/>
        <w:numPr>
          <w:ilvl w:val="0"/>
          <w:numId w:val="18"/>
        </w:numPr>
        <w:shd w:val="clear" w:color="auto" w:fill="FFFFFF"/>
        <w:spacing w:before="120" w:after="120"/>
        <w:contextualSpacing w:val="0"/>
        <w:jc w:val="both"/>
        <w:rPr>
          <w:color w:val="000000"/>
          <w:lang w:val="es-ES"/>
        </w:rPr>
      </w:pPr>
      <w:r w:rsidRPr="00AC395F">
        <w:rPr>
          <w:color w:val="000000"/>
          <w:lang w:val="es-ES"/>
        </w:rPr>
        <w:t xml:space="preserve">A partir del </w:t>
      </w:r>
      <w:r>
        <w:rPr>
          <w:color w:val="000000"/>
          <w:lang w:val="es-ES"/>
        </w:rPr>
        <w:t>“</w:t>
      </w:r>
      <w:proofErr w:type="spellStart"/>
      <w:r w:rsidRPr="00AC395F">
        <w:rPr>
          <w:color w:val="000000"/>
          <w:lang w:val="es-ES"/>
        </w:rPr>
        <w:t>dataset</w:t>
      </w:r>
      <w:proofErr w:type="spellEnd"/>
      <w:r>
        <w:rPr>
          <w:color w:val="000000"/>
          <w:lang w:val="es-ES"/>
        </w:rPr>
        <w:t>”</w:t>
      </w:r>
      <w:r w:rsidRPr="00AC395F">
        <w:rPr>
          <w:color w:val="000000"/>
          <w:lang w:val="es-ES"/>
        </w:rPr>
        <w:t xml:space="preserve"> </w:t>
      </w:r>
      <w:r>
        <w:rPr>
          <w:color w:val="000000"/>
          <w:lang w:val="es-ES"/>
        </w:rPr>
        <w:t xml:space="preserve">integrado </w:t>
      </w:r>
      <w:r w:rsidRPr="00282FBD">
        <w:rPr>
          <w:lang w:val="es-ES"/>
        </w:rPr>
        <w:t xml:space="preserve">con </w:t>
      </w:r>
      <w:r>
        <w:rPr>
          <w:lang w:val="es-ES"/>
        </w:rPr>
        <w:t xml:space="preserve">las </w:t>
      </w:r>
      <w:r w:rsidRPr="00282FBD">
        <w:rPr>
          <w:lang w:val="es-ES"/>
        </w:rPr>
        <w:t>variables (año y variable de interés)</w:t>
      </w:r>
      <w:r w:rsidR="002F50CB">
        <w:rPr>
          <w:lang w:val="es-ES"/>
        </w:rPr>
        <w:t xml:space="preserve"> de los 31 países sintéticos</w:t>
      </w:r>
      <w:r w:rsidRPr="00282FBD">
        <w:rPr>
          <w:lang w:val="es-ES"/>
        </w:rPr>
        <w:t xml:space="preserve">, </w:t>
      </w:r>
      <w:r>
        <w:rPr>
          <w:lang w:val="es-ES"/>
        </w:rPr>
        <w:t>se</w:t>
      </w:r>
      <w:r w:rsidRPr="00282FBD">
        <w:rPr>
          <w:lang w:val="es-ES"/>
        </w:rPr>
        <w:t xml:space="preserve"> “</w:t>
      </w:r>
      <w:proofErr w:type="spellStart"/>
      <w:r w:rsidRPr="00AC395F">
        <w:rPr>
          <w:lang w:val="es-ES"/>
        </w:rPr>
        <w:t>plota</w:t>
      </w:r>
      <w:proofErr w:type="spellEnd"/>
      <w:r w:rsidRPr="00282FBD">
        <w:rPr>
          <w:lang w:val="es-ES"/>
        </w:rPr>
        <w:t xml:space="preserve">” </w:t>
      </w:r>
      <w:r>
        <w:rPr>
          <w:lang w:val="es-ES"/>
        </w:rPr>
        <w:t xml:space="preserve"> </w:t>
      </w:r>
      <w:r w:rsidR="001633A2">
        <w:rPr>
          <w:lang w:val="es-ES"/>
        </w:rPr>
        <w:t>la</w:t>
      </w:r>
      <w:r>
        <w:rPr>
          <w:lang w:val="es-ES"/>
        </w:rPr>
        <w:t xml:space="preserve"> información </w:t>
      </w:r>
      <w:r w:rsidRPr="00282FBD">
        <w:rPr>
          <w:lang w:val="es-ES"/>
        </w:rPr>
        <w:t>en</w:t>
      </w:r>
      <w:r>
        <w:rPr>
          <w:lang w:val="es-ES"/>
        </w:rPr>
        <w:t xml:space="preserve"> un</w:t>
      </w:r>
      <w:r w:rsidRPr="00282FBD">
        <w:rPr>
          <w:lang w:val="es-ES"/>
        </w:rPr>
        <w:t xml:space="preserve"> </w:t>
      </w:r>
      <w:r w:rsidRPr="00AC395F">
        <w:rPr>
          <w:lang w:val="es-ES"/>
        </w:rPr>
        <w:t>gráfico</w:t>
      </w:r>
      <w:r w:rsidRPr="00282FBD">
        <w:rPr>
          <w:lang w:val="es-ES"/>
        </w:rPr>
        <w:t xml:space="preserve"> en color gris, </w:t>
      </w:r>
      <w:r>
        <w:rPr>
          <w:lang w:val="es-ES"/>
        </w:rPr>
        <w:t xml:space="preserve">sin embargo </w:t>
      </w:r>
      <w:r w:rsidRPr="00282FBD">
        <w:rPr>
          <w:lang w:val="es-ES"/>
        </w:rPr>
        <w:t>la información de Panamá es “</w:t>
      </w:r>
      <w:proofErr w:type="spellStart"/>
      <w:r w:rsidRPr="00282FBD">
        <w:rPr>
          <w:lang w:val="es-ES"/>
        </w:rPr>
        <w:t>plotada</w:t>
      </w:r>
      <w:proofErr w:type="spellEnd"/>
      <w:r w:rsidRPr="00282FBD">
        <w:rPr>
          <w:lang w:val="es-ES"/>
        </w:rPr>
        <w:t>” en color negr</w:t>
      </w:r>
      <w:r>
        <w:rPr>
          <w:lang w:val="es-ES"/>
        </w:rPr>
        <w:t>o para posibilitar la comparación</w:t>
      </w:r>
      <w:r w:rsidRPr="00282FBD">
        <w:rPr>
          <w:lang w:val="es-ES"/>
        </w:rPr>
        <w:t xml:space="preserve">. </w:t>
      </w:r>
    </w:p>
    <w:tbl>
      <w:tblPr>
        <w:tblStyle w:val="TableGrid"/>
        <w:tblW w:w="0" w:type="auto"/>
        <w:tblInd w:w="1008" w:type="dxa"/>
        <w:tblLook w:val="04A0" w:firstRow="1" w:lastRow="0" w:firstColumn="1" w:lastColumn="0" w:noHBand="0" w:noVBand="1"/>
      </w:tblPr>
      <w:tblGrid>
        <w:gridCol w:w="7589"/>
      </w:tblGrid>
      <w:tr w:rsidR="00DB449D" w:rsidRPr="00417FA4" w:rsidTr="00DB449D">
        <w:tc>
          <w:tcPr>
            <w:tcW w:w="7589" w:type="dxa"/>
          </w:tcPr>
          <w:p w:rsidR="00DB449D" w:rsidRPr="00282FBD" w:rsidRDefault="00DB449D" w:rsidP="00296583">
            <w:pPr>
              <w:pStyle w:val="ListParagraph"/>
              <w:keepNext/>
              <w:spacing w:before="120" w:after="120"/>
              <w:jc w:val="both"/>
              <w:rPr>
                <w:color w:val="000000"/>
                <w:sz w:val="20"/>
                <w:szCs w:val="20"/>
              </w:rPr>
            </w:pPr>
            <w:r w:rsidRPr="00282FBD">
              <w:rPr>
                <w:color w:val="000000"/>
                <w:sz w:val="20"/>
                <w:szCs w:val="20"/>
              </w:rPr>
              <w:t xml:space="preserve">local </w:t>
            </w:r>
            <w:proofErr w:type="spellStart"/>
            <w:r w:rsidRPr="00282FBD">
              <w:rPr>
                <w:color w:val="000000"/>
                <w:sz w:val="20"/>
                <w:szCs w:val="20"/>
              </w:rPr>
              <w:t>lp</w:t>
            </w:r>
            <w:proofErr w:type="spellEnd"/>
          </w:p>
          <w:p w:rsidR="00DB449D" w:rsidRPr="00282FBD" w:rsidRDefault="00DB449D" w:rsidP="00296583">
            <w:pPr>
              <w:pStyle w:val="ListParagraph"/>
              <w:keepNext/>
              <w:spacing w:before="120" w:after="120"/>
              <w:jc w:val="both"/>
              <w:rPr>
                <w:color w:val="000000"/>
                <w:sz w:val="20"/>
                <w:szCs w:val="20"/>
              </w:rPr>
            </w:pPr>
            <w:proofErr w:type="spellStart"/>
            <w:r w:rsidRPr="00282FBD">
              <w:rPr>
                <w:color w:val="000000"/>
                <w:sz w:val="20"/>
                <w:szCs w:val="20"/>
              </w:rPr>
              <w:t>forval</w:t>
            </w:r>
            <w:proofErr w:type="spellEnd"/>
            <w:r w:rsidRPr="00282FBD">
              <w:rPr>
                <w:color w:val="000000"/>
                <w:sz w:val="20"/>
                <w:szCs w:val="20"/>
              </w:rPr>
              <w:t xml:space="preserve"> </w:t>
            </w:r>
            <w:proofErr w:type="spellStart"/>
            <w:r w:rsidRPr="00282FBD">
              <w:rPr>
                <w:color w:val="000000"/>
                <w:sz w:val="20"/>
                <w:szCs w:val="20"/>
              </w:rPr>
              <w:t>i</w:t>
            </w:r>
            <w:proofErr w:type="spellEnd"/>
            <w:r w:rsidRPr="00282FBD">
              <w:rPr>
                <w:color w:val="000000"/>
                <w:sz w:val="20"/>
                <w:szCs w:val="20"/>
              </w:rPr>
              <w:t>=1/31 {</w:t>
            </w:r>
          </w:p>
          <w:p w:rsidR="00DB449D" w:rsidRPr="00282FBD" w:rsidRDefault="00DB449D" w:rsidP="00296583">
            <w:pPr>
              <w:pStyle w:val="ListParagraph"/>
              <w:keepNext/>
              <w:spacing w:before="120" w:after="120"/>
              <w:jc w:val="both"/>
              <w:rPr>
                <w:color w:val="000000"/>
                <w:sz w:val="20"/>
                <w:szCs w:val="20"/>
              </w:rPr>
            </w:pPr>
            <w:r w:rsidRPr="00282FBD">
              <w:rPr>
                <w:color w:val="000000"/>
                <w:sz w:val="20"/>
                <w:szCs w:val="20"/>
              </w:rPr>
              <w:t xml:space="preserve">   local </w:t>
            </w:r>
            <w:proofErr w:type="spellStart"/>
            <w:r w:rsidRPr="00282FBD">
              <w:rPr>
                <w:color w:val="000000"/>
                <w:sz w:val="20"/>
                <w:szCs w:val="20"/>
              </w:rPr>
              <w:t>lp</w:t>
            </w:r>
            <w:proofErr w:type="spellEnd"/>
            <w:r w:rsidRPr="00282FBD">
              <w:rPr>
                <w:color w:val="000000"/>
                <w:sz w:val="20"/>
                <w:szCs w:val="20"/>
              </w:rPr>
              <w:t xml:space="preserve"> `</w:t>
            </w:r>
            <w:proofErr w:type="spellStart"/>
            <w:r w:rsidRPr="00282FBD">
              <w:rPr>
                <w:color w:val="000000"/>
                <w:sz w:val="20"/>
                <w:szCs w:val="20"/>
              </w:rPr>
              <w:t>lp</w:t>
            </w:r>
            <w:proofErr w:type="spellEnd"/>
            <w:r w:rsidRPr="00282FBD">
              <w:rPr>
                <w:color w:val="000000"/>
                <w:sz w:val="20"/>
                <w:szCs w:val="20"/>
              </w:rPr>
              <w:t>' line tr_effect_`</w:t>
            </w:r>
            <w:proofErr w:type="spellStart"/>
            <w:r w:rsidRPr="00282FBD">
              <w:rPr>
                <w:color w:val="000000"/>
                <w:sz w:val="20"/>
                <w:szCs w:val="20"/>
              </w:rPr>
              <w:t>i</w:t>
            </w:r>
            <w:proofErr w:type="spellEnd"/>
            <w:r w:rsidRPr="00282FBD">
              <w:rPr>
                <w:color w:val="000000"/>
                <w:sz w:val="20"/>
                <w:szCs w:val="20"/>
              </w:rPr>
              <w:t xml:space="preserve">' year, </w:t>
            </w:r>
            <w:proofErr w:type="spellStart"/>
            <w:r w:rsidRPr="00282FBD">
              <w:rPr>
                <w:color w:val="000000"/>
                <w:sz w:val="20"/>
                <w:szCs w:val="20"/>
              </w:rPr>
              <w:t>lcolor</w:t>
            </w:r>
            <w:proofErr w:type="spellEnd"/>
            <w:r w:rsidRPr="00282FBD">
              <w:rPr>
                <w:color w:val="000000"/>
                <w:sz w:val="20"/>
                <w:szCs w:val="20"/>
              </w:rPr>
              <w:t>(gs12) ||</w:t>
            </w:r>
          </w:p>
          <w:p w:rsidR="00DB449D" w:rsidRPr="00282FBD" w:rsidRDefault="00DB449D" w:rsidP="00296583">
            <w:pPr>
              <w:pStyle w:val="ListParagraph"/>
              <w:keepNext/>
              <w:spacing w:before="120" w:after="120"/>
              <w:jc w:val="both"/>
              <w:rPr>
                <w:color w:val="000000"/>
                <w:sz w:val="20"/>
                <w:szCs w:val="20"/>
              </w:rPr>
            </w:pPr>
            <w:r w:rsidRPr="00282FBD">
              <w:rPr>
                <w:color w:val="000000"/>
                <w:sz w:val="20"/>
                <w:szCs w:val="20"/>
              </w:rPr>
              <w:t>}</w:t>
            </w:r>
          </w:p>
          <w:p w:rsidR="00DB449D" w:rsidRPr="00282FBD" w:rsidRDefault="00DB449D" w:rsidP="00296583">
            <w:pPr>
              <w:pStyle w:val="ListParagraph"/>
              <w:keepNext/>
              <w:spacing w:before="120" w:after="120"/>
              <w:jc w:val="both"/>
              <w:rPr>
                <w:color w:val="000000"/>
                <w:sz w:val="20"/>
                <w:szCs w:val="20"/>
              </w:rPr>
            </w:pPr>
            <w:r w:rsidRPr="00282FBD">
              <w:rPr>
                <w:color w:val="000000"/>
                <w:sz w:val="20"/>
                <w:szCs w:val="20"/>
              </w:rPr>
              <w:t>*</w:t>
            </w:r>
          </w:p>
          <w:p w:rsidR="00DB449D" w:rsidRPr="00282FBD" w:rsidRDefault="00DB449D" w:rsidP="00296583">
            <w:pPr>
              <w:pStyle w:val="ListParagraph"/>
              <w:keepNext/>
              <w:spacing w:before="120" w:after="120"/>
              <w:jc w:val="both"/>
              <w:rPr>
                <w:color w:val="000000"/>
                <w:sz w:val="20"/>
                <w:szCs w:val="20"/>
              </w:rPr>
            </w:pPr>
            <w:r w:rsidRPr="00282FBD">
              <w:rPr>
                <w:color w:val="000000"/>
                <w:sz w:val="20"/>
                <w:szCs w:val="20"/>
              </w:rPr>
              <w:t>* Se genera el Plot</w:t>
            </w:r>
          </w:p>
          <w:p w:rsidR="00DB449D" w:rsidRPr="00282FBD" w:rsidRDefault="00654FFB" w:rsidP="00296583">
            <w:pPr>
              <w:pStyle w:val="ListParagraph"/>
              <w:keepNext/>
              <w:spacing w:before="120" w:after="120"/>
              <w:jc w:val="both"/>
              <w:rPr>
                <w:color w:val="000000"/>
                <w:sz w:val="20"/>
                <w:szCs w:val="20"/>
              </w:rPr>
            </w:pPr>
            <w:proofErr w:type="spellStart"/>
            <w:r>
              <w:rPr>
                <w:color w:val="000000"/>
                <w:sz w:val="20"/>
                <w:szCs w:val="20"/>
              </w:rPr>
              <w:t>twoway</w:t>
            </w:r>
            <w:proofErr w:type="spellEnd"/>
            <w:r>
              <w:rPr>
                <w:color w:val="000000"/>
                <w:sz w:val="20"/>
                <w:szCs w:val="20"/>
              </w:rPr>
              <w:t xml:space="preserve"> `</w:t>
            </w:r>
            <w:proofErr w:type="spellStart"/>
            <w:r>
              <w:rPr>
                <w:color w:val="000000"/>
                <w:sz w:val="20"/>
                <w:szCs w:val="20"/>
              </w:rPr>
              <w:t>lp</w:t>
            </w:r>
            <w:proofErr w:type="spellEnd"/>
            <w:r>
              <w:rPr>
                <w:color w:val="000000"/>
                <w:sz w:val="20"/>
                <w:szCs w:val="20"/>
              </w:rPr>
              <w:t>' || line tr_effect_1</w:t>
            </w:r>
            <w:r w:rsidR="00DB449D" w:rsidRPr="00282FBD">
              <w:rPr>
                <w:color w:val="000000"/>
                <w:sz w:val="20"/>
                <w:szCs w:val="20"/>
              </w:rPr>
              <w:t xml:space="preserve"> year, ///</w:t>
            </w:r>
          </w:p>
          <w:p w:rsidR="00DB449D" w:rsidRPr="00282FBD" w:rsidRDefault="00DB449D" w:rsidP="00296583">
            <w:pPr>
              <w:pStyle w:val="ListParagraph"/>
              <w:keepNext/>
              <w:spacing w:before="120" w:after="120"/>
              <w:jc w:val="both"/>
              <w:rPr>
                <w:color w:val="000000"/>
                <w:sz w:val="20"/>
                <w:szCs w:val="20"/>
              </w:rPr>
            </w:pPr>
            <w:proofErr w:type="spellStart"/>
            <w:r w:rsidRPr="00282FBD">
              <w:rPr>
                <w:color w:val="000000"/>
                <w:sz w:val="20"/>
                <w:szCs w:val="20"/>
              </w:rPr>
              <w:t>lcolor</w:t>
            </w:r>
            <w:proofErr w:type="spellEnd"/>
            <w:r w:rsidRPr="00282FBD">
              <w:rPr>
                <w:color w:val="000000"/>
                <w:sz w:val="20"/>
                <w:szCs w:val="20"/>
              </w:rPr>
              <w:t xml:space="preserve">(black) legend(off) </w:t>
            </w:r>
            <w:proofErr w:type="spellStart"/>
            <w:r w:rsidRPr="00282FBD">
              <w:rPr>
                <w:color w:val="000000"/>
                <w:sz w:val="20"/>
                <w:szCs w:val="20"/>
              </w:rPr>
              <w:t>xline</w:t>
            </w:r>
            <w:proofErr w:type="spellEnd"/>
            <w:r w:rsidRPr="00282FBD">
              <w:rPr>
                <w:color w:val="000000"/>
                <w:sz w:val="20"/>
                <w:szCs w:val="20"/>
              </w:rPr>
              <w:t xml:space="preserve">(1989, </w:t>
            </w:r>
            <w:proofErr w:type="spellStart"/>
            <w:r w:rsidRPr="00282FBD">
              <w:rPr>
                <w:color w:val="000000"/>
                <w:sz w:val="20"/>
                <w:szCs w:val="20"/>
              </w:rPr>
              <w:t>lpattern</w:t>
            </w:r>
            <w:proofErr w:type="spellEnd"/>
            <w:r w:rsidRPr="00282FBD">
              <w:rPr>
                <w:color w:val="000000"/>
                <w:sz w:val="20"/>
                <w:szCs w:val="20"/>
              </w:rPr>
              <w:t>(dash))</w:t>
            </w:r>
          </w:p>
        </w:tc>
      </w:tr>
    </w:tbl>
    <w:p w:rsidR="00DB449D" w:rsidRDefault="00DB449D" w:rsidP="00546746">
      <w:pPr>
        <w:pStyle w:val="ListParagraph"/>
        <w:keepNext/>
        <w:numPr>
          <w:ilvl w:val="1"/>
          <w:numId w:val="38"/>
        </w:numPr>
        <w:shd w:val="clear" w:color="auto" w:fill="FFFFFF"/>
        <w:spacing w:before="120" w:after="120"/>
        <w:ind w:left="907" w:hanging="547"/>
        <w:contextualSpacing w:val="0"/>
        <w:jc w:val="both"/>
        <w:rPr>
          <w:color w:val="000000"/>
          <w:lang w:val="es-ES"/>
        </w:rPr>
      </w:pPr>
      <w:r>
        <w:rPr>
          <w:color w:val="000000"/>
          <w:lang w:val="es-ES"/>
        </w:rPr>
        <w:t>A</w:t>
      </w:r>
      <w:r w:rsidRPr="00282FBD">
        <w:rPr>
          <w:color w:val="000000"/>
          <w:lang w:val="es-ES"/>
        </w:rPr>
        <w:t xml:space="preserve"> continuación </w:t>
      </w:r>
      <w:r>
        <w:rPr>
          <w:color w:val="000000"/>
          <w:lang w:val="es-ES"/>
        </w:rPr>
        <w:t>se</w:t>
      </w:r>
      <w:r w:rsidRPr="00282FBD">
        <w:rPr>
          <w:color w:val="000000"/>
          <w:lang w:val="es-ES"/>
        </w:rPr>
        <w:t xml:space="preserve"> presenta el gr</w:t>
      </w:r>
      <w:r>
        <w:rPr>
          <w:color w:val="000000"/>
          <w:lang w:val="es-ES"/>
        </w:rPr>
        <w:t xml:space="preserve">áfico </w:t>
      </w:r>
      <w:r w:rsidR="00612E61">
        <w:rPr>
          <w:color w:val="000000"/>
          <w:lang w:val="es-ES"/>
        </w:rPr>
        <w:t xml:space="preserve">de los 31 </w:t>
      </w:r>
      <w:r w:rsidR="004C24A6">
        <w:rPr>
          <w:color w:val="000000"/>
          <w:lang w:val="es-ES"/>
        </w:rPr>
        <w:t xml:space="preserve">países </w:t>
      </w:r>
      <w:r w:rsidR="00612E61">
        <w:rPr>
          <w:color w:val="000000"/>
          <w:lang w:val="es-ES"/>
        </w:rPr>
        <w:t xml:space="preserve">sintéticos </w:t>
      </w:r>
      <w:r>
        <w:rPr>
          <w:color w:val="000000"/>
          <w:lang w:val="es-ES"/>
        </w:rPr>
        <w:t>generado</w:t>
      </w:r>
      <w:r w:rsidR="004C24A6">
        <w:rPr>
          <w:color w:val="000000"/>
          <w:lang w:val="es-ES"/>
        </w:rPr>
        <w:t>s</w:t>
      </w:r>
      <w:r w:rsidR="002F50CB">
        <w:rPr>
          <w:color w:val="000000"/>
          <w:lang w:val="es-ES"/>
        </w:rPr>
        <w:t xml:space="preserve"> como resultado del código de programa arriba detallado</w:t>
      </w:r>
      <w:r>
        <w:rPr>
          <w:color w:val="000000"/>
          <w:lang w:val="es-ES"/>
        </w:rPr>
        <w:t xml:space="preserve">. La información presentada en el grafico lleva a concluir que la muestra </w:t>
      </w:r>
      <w:r w:rsidR="00612E61">
        <w:rPr>
          <w:color w:val="000000"/>
          <w:lang w:val="es-ES"/>
        </w:rPr>
        <w:t>provee la</w:t>
      </w:r>
      <w:r>
        <w:rPr>
          <w:color w:val="000000"/>
          <w:lang w:val="es-ES"/>
        </w:rPr>
        <w:t xml:space="preserve"> calidad </w:t>
      </w:r>
      <w:r w:rsidR="00612E61">
        <w:rPr>
          <w:color w:val="000000"/>
          <w:lang w:val="es-ES"/>
        </w:rPr>
        <w:t xml:space="preserve">suficiente </w:t>
      </w:r>
      <w:r>
        <w:rPr>
          <w:color w:val="000000"/>
          <w:lang w:val="es-ES"/>
        </w:rPr>
        <w:t>para servir de base para una futura evaluación ex-post, a partir de que existe</w:t>
      </w:r>
      <w:r w:rsidR="002F50CB">
        <w:rPr>
          <w:color w:val="000000"/>
          <w:lang w:val="es-ES"/>
        </w:rPr>
        <w:t>n muy pocos gaps significativos. L</w:t>
      </w:r>
      <w:r>
        <w:rPr>
          <w:color w:val="000000"/>
          <w:lang w:val="es-ES"/>
        </w:rPr>
        <w:t xml:space="preserve">a mayoría de las líneas correspondientes a los </w:t>
      </w:r>
      <w:r w:rsidR="00612E61">
        <w:rPr>
          <w:color w:val="000000"/>
          <w:lang w:val="es-ES"/>
        </w:rPr>
        <w:t>30</w:t>
      </w:r>
      <w:r>
        <w:rPr>
          <w:color w:val="000000"/>
          <w:lang w:val="es-ES"/>
        </w:rPr>
        <w:t xml:space="preserve"> sintéticos están en un grupo compacto acompaña</w:t>
      </w:r>
      <w:r w:rsidR="00030889">
        <w:rPr>
          <w:color w:val="000000"/>
          <w:lang w:val="es-ES"/>
        </w:rPr>
        <w:t>n</w:t>
      </w:r>
      <w:r>
        <w:rPr>
          <w:color w:val="000000"/>
          <w:lang w:val="es-ES"/>
        </w:rPr>
        <w:t>do la línea representada por Panamá</w:t>
      </w:r>
      <w:r w:rsidR="002F50CB">
        <w:rPr>
          <w:color w:val="000000"/>
          <w:lang w:val="es-ES"/>
        </w:rPr>
        <w:t xml:space="preserve"> </w:t>
      </w:r>
      <w:r w:rsidR="001633A2">
        <w:rPr>
          <w:color w:val="000000"/>
          <w:lang w:val="es-ES"/>
        </w:rPr>
        <w:t>sintético</w:t>
      </w:r>
      <w:r w:rsidR="00030889">
        <w:rPr>
          <w:color w:val="000000"/>
          <w:lang w:val="es-ES"/>
        </w:rPr>
        <w:t>. Se comparamos el Placebo Panamá con el emblemático placebo</w:t>
      </w:r>
      <w:r w:rsidR="00546169">
        <w:rPr>
          <w:color w:val="000000"/>
          <w:lang w:val="es-ES"/>
        </w:rPr>
        <w:t xml:space="preserve"> California</w:t>
      </w:r>
      <w:r w:rsidR="00030889">
        <w:rPr>
          <w:color w:val="000000"/>
          <w:lang w:val="es-ES"/>
        </w:rPr>
        <w:t xml:space="preserve"> presentado por el Profesor </w:t>
      </w:r>
      <w:proofErr w:type="spellStart"/>
      <w:r w:rsidR="00030889">
        <w:rPr>
          <w:color w:val="000000"/>
          <w:lang w:val="es-ES"/>
        </w:rPr>
        <w:t>Abadie</w:t>
      </w:r>
      <w:proofErr w:type="spellEnd"/>
      <w:r w:rsidR="00030889">
        <w:rPr>
          <w:color w:val="000000"/>
          <w:lang w:val="es-ES"/>
        </w:rPr>
        <w:t xml:space="preserve"> en su estudio sobre la reducción del consumo de tabaco en california </w:t>
      </w:r>
      <w:r w:rsidR="00546169">
        <w:rPr>
          <w:color w:val="000000"/>
          <w:lang w:val="es-ES"/>
        </w:rPr>
        <w:t>a partir de 1989</w:t>
      </w:r>
      <w:r w:rsidR="00030889">
        <w:rPr>
          <w:color w:val="000000"/>
          <w:lang w:val="es-ES"/>
        </w:rPr>
        <w:t xml:space="preserve"> con la introducción de la ley anti-tabaco, podemos concluir que la amuestra utilizada por el presente estudio es significantemente </w:t>
      </w:r>
      <w:r w:rsidR="00546169">
        <w:rPr>
          <w:color w:val="000000"/>
          <w:lang w:val="es-ES"/>
        </w:rPr>
        <w:t>más robusta</w:t>
      </w:r>
      <w:r w:rsidR="00030889">
        <w:rPr>
          <w:color w:val="000000"/>
          <w:lang w:val="es-ES"/>
        </w:rPr>
        <w:t xml:space="preserve"> que la utilizada por el </w:t>
      </w:r>
      <w:r w:rsidR="00030889">
        <w:rPr>
          <w:color w:val="000000"/>
          <w:lang w:val="es-ES"/>
        </w:rPr>
        <w:lastRenderedPageBreak/>
        <w:t xml:space="preserve">estudio de california conforme demostrada en los dos gráficos a seguir </w:t>
      </w:r>
      <w:r w:rsidR="00546169">
        <w:rPr>
          <w:color w:val="000000"/>
          <w:lang w:val="es-ES"/>
        </w:rPr>
        <w:t xml:space="preserve">presentados </w:t>
      </w:r>
      <w:r w:rsidR="00030889">
        <w:rPr>
          <w:color w:val="000000"/>
          <w:lang w:val="es-ES"/>
        </w:rPr>
        <w:t>en la orden Panamá</w:t>
      </w:r>
      <w:r w:rsidR="00546169">
        <w:rPr>
          <w:color w:val="000000"/>
          <w:lang w:val="es-ES"/>
        </w:rPr>
        <w:t xml:space="preserve"> Placebo y California Placebo.</w:t>
      </w:r>
      <w:r w:rsidR="00030889">
        <w:rPr>
          <w:color w:val="000000"/>
          <w:lang w:val="es-ES"/>
        </w:rPr>
        <w:t xml:space="preserve">   </w:t>
      </w:r>
    </w:p>
    <w:p w:rsidR="00DB449D" w:rsidRPr="00282FBD" w:rsidRDefault="00DB449D" w:rsidP="00546169">
      <w:pPr>
        <w:pStyle w:val="ListParagraph"/>
        <w:keepNext/>
        <w:shd w:val="clear" w:color="auto" w:fill="FFFFFF"/>
        <w:spacing w:before="120" w:after="120"/>
        <w:ind w:left="900"/>
        <w:jc w:val="both"/>
        <w:rPr>
          <w:color w:val="000000"/>
          <w:lang w:val="es-ES"/>
        </w:rPr>
      </w:pPr>
      <w:r>
        <w:rPr>
          <w:noProof/>
        </w:rPr>
        <w:drawing>
          <wp:inline distT="0" distB="0" distL="0" distR="0" wp14:anchorId="132FC68F" wp14:editId="2AE120F6">
            <wp:extent cx="4944745" cy="3533242"/>
            <wp:effectExtent l="0" t="0" r="825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14922" cy="3583386"/>
                    </a:xfrm>
                    <a:prstGeom prst="rect">
                      <a:avLst/>
                    </a:prstGeom>
                  </pic:spPr>
                </pic:pic>
              </a:graphicData>
            </a:graphic>
          </wp:inline>
        </w:drawing>
      </w:r>
    </w:p>
    <w:p w:rsidR="00DB449D" w:rsidRDefault="00DB449D" w:rsidP="00DB449D">
      <w:pPr>
        <w:spacing w:after="200" w:line="276" w:lineRule="auto"/>
        <w:ind w:left="810"/>
        <w:rPr>
          <w:color w:val="000000"/>
          <w:lang w:val="es-ES"/>
        </w:rPr>
      </w:pPr>
    </w:p>
    <w:p w:rsidR="00DB449D" w:rsidRDefault="00DF47A2" w:rsidP="00546169">
      <w:pPr>
        <w:pStyle w:val="ListParagraph"/>
        <w:shd w:val="clear" w:color="auto" w:fill="FFFFFF"/>
        <w:spacing w:before="120" w:after="120"/>
        <w:ind w:left="0"/>
        <w:contextualSpacing w:val="0"/>
        <w:jc w:val="both"/>
        <w:rPr>
          <w:color w:val="000000"/>
          <w:lang w:val="es-ES"/>
        </w:rPr>
      </w:pPr>
      <w:r w:rsidRPr="00110F7A">
        <w:rPr>
          <w:color w:val="000000"/>
          <w:lang w:val="es-ES"/>
        </w:rPr>
        <w:lastRenderedPageBreak/>
        <w:t xml:space="preserve"> </w:t>
      </w:r>
      <w:r w:rsidR="00546169">
        <w:rPr>
          <w:noProof/>
        </w:rPr>
        <w:drawing>
          <wp:inline distT="0" distB="0" distL="0" distR="0" wp14:anchorId="19BA3C03" wp14:editId="189CECE0">
            <wp:extent cx="5574183" cy="4586233"/>
            <wp:effectExtent l="0" t="0" r="762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036" cy="4646996"/>
                    </a:xfrm>
                    <a:prstGeom prst="rect">
                      <a:avLst/>
                    </a:prstGeom>
                  </pic:spPr>
                </pic:pic>
              </a:graphicData>
            </a:graphic>
          </wp:inline>
        </w:drawing>
      </w:r>
    </w:p>
    <w:p w:rsidR="008E5E30" w:rsidRDefault="008E5E30" w:rsidP="00546169">
      <w:pPr>
        <w:pStyle w:val="ListParagraph"/>
        <w:shd w:val="clear" w:color="auto" w:fill="FFFFFF"/>
        <w:spacing w:before="120" w:after="120"/>
        <w:ind w:left="0"/>
        <w:contextualSpacing w:val="0"/>
        <w:jc w:val="both"/>
        <w:rPr>
          <w:color w:val="000000"/>
          <w:lang w:val="es-ES"/>
        </w:rPr>
      </w:pPr>
    </w:p>
    <w:p w:rsidR="008E5E30" w:rsidRDefault="008E5E30" w:rsidP="00546169">
      <w:pPr>
        <w:pStyle w:val="ListParagraph"/>
        <w:shd w:val="clear" w:color="auto" w:fill="FFFFFF"/>
        <w:spacing w:before="120" w:after="120"/>
        <w:ind w:left="0"/>
        <w:contextualSpacing w:val="0"/>
        <w:jc w:val="both"/>
        <w:rPr>
          <w:color w:val="000000"/>
          <w:lang w:val="es-ES"/>
        </w:rPr>
      </w:pPr>
    </w:p>
    <w:p w:rsidR="008E5E30" w:rsidRDefault="008E5E30" w:rsidP="00546169">
      <w:pPr>
        <w:pStyle w:val="ListParagraph"/>
        <w:shd w:val="clear" w:color="auto" w:fill="FFFFFF"/>
        <w:spacing w:before="120" w:after="120"/>
        <w:ind w:left="0"/>
        <w:contextualSpacing w:val="0"/>
        <w:jc w:val="both"/>
        <w:rPr>
          <w:color w:val="000000"/>
          <w:lang w:val="es-ES"/>
        </w:rPr>
      </w:pPr>
    </w:p>
    <w:p w:rsidR="008E5E30" w:rsidRDefault="008E5E30" w:rsidP="00546169">
      <w:pPr>
        <w:pStyle w:val="ListParagraph"/>
        <w:shd w:val="clear" w:color="auto" w:fill="FFFFFF"/>
        <w:spacing w:before="120" w:after="120"/>
        <w:ind w:left="0"/>
        <w:contextualSpacing w:val="0"/>
        <w:jc w:val="both"/>
        <w:rPr>
          <w:color w:val="000000"/>
          <w:lang w:val="es-ES"/>
        </w:rPr>
      </w:pPr>
    </w:p>
    <w:p w:rsidR="008E5E30" w:rsidRDefault="008E5E30" w:rsidP="00546169">
      <w:pPr>
        <w:pStyle w:val="ListParagraph"/>
        <w:shd w:val="clear" w:color="auto" w:fill="FFFFFF"/>
        <w:spacing w:before="120" w:after="120"/>
        <w:ind w:left="0"/>
        <w:contextualSpacing w:val="0"/>
        <w:jc w:val="both"/>
        <w:rPr>
          <w:color w:val="000000"/>
          <w:lang w:val="es-ES"/>
        </w:rPr>
      </w:pPr>
    </w:p>
    <w:p w:rsidR="008E5E30" w:rsidRDefault="008E5E30" w:rsidP="00546169">
      <w:pPr>
        <w:pStyle w:val="ListParagraph"/>
        <w:shd w:val="clear" w:color="auto" w:fill="FFFFFF"/>
        <w:spacing w:before="120" w:after="120"/>
        <w:ind w:left="0"/>
        <w:contextualSpacing w:val="0"/>
        <w:jc w:val="both"/>
        <w:rPr>
          <w:color w:val="000000"/>
          <w:lang w:val="es-ES"/>
        </w:rPr>
      </w:pPr>
    </w:p>
    <w:p w:rsidR="008E5E30" w:rsidRDefault="008E5E30" w:rsidP="00546169">
      <w:pPr>
        <w:pStyle w:val="ListParagraph"/>
        <w:shd w:val="clear" w:color="auto" w:fill="FFFFFF"/>
        <w:spacing w:before="120" w:after="120"/>
        <w:ind w:left="0"/>
        <w:contextualSpacing w:val="0"/>
        <w:jc w:val="both"/>
        <w:rPr>
          <w:color w:val="000000"/>
          <w:lang w:val="es-ES"/>
        </w:rPr>
      </w:pPr>
    </w:p>
    <w:p w:rsidR="008E5E30" w:rsidRDefault="008E5E30" w:rsidP="00546169">
      <w:pPr>
        <w:pStyle w:val="ListParagraph"/>
        <w:shd w:val="clear" w:color="auto" w:fill="FFFFFF"/>
        <w:spacing w:before="120" w:after="120"/>
        <w:ind w:left="0"/>
        <w:contextualSpacing w:val="0"/>
        <w:jc w:val="both"/>
        <w:rPr>
          <w:color w:val="000000"/>
          <w:lang w:val="es-ES"/>
        </w:rPr>
      </w:pPr>
    </w:p>
    <w:p w:rsidR="008E5E30" w:rsidRDefault="008E5E30" w:rsidP="00546169">
      <w:pPr>
        <w:pStyle w:val="ListParagraph"/>
        <w:shd w:val="clear" w:color="auto" w:fill="FFFFFF"/>
        <w:spacing w:before="120" w:after="120"/>
        <w:ind w:left="0"/>
        <w:contextualSpacing w:val="0"/>
        <w:jc w:val="both"/>
        <w:rPr>
          <w:color w:val="000000"/>
          <w:lang w:val="es-ES"/>
        </w:rPr>
      </w:pPr>
    </w:p>
    <w:p w:rsidR="008E5E30" w:rsidRDefault="008E5E30" w:rsidP="00546169">
      <w:pPr>
        <w:pStyle w:val="ListParagraph"/>
        <w:shd w:val="clear" w:color="auto" w:fill="FFFFFF"/>
        <w:spacing w:before="120" w:after="120"/>
        <w:ind w:left="0"/>
        <w:contextualSpacing w:val="0"/>
        <w:jc w:val="both"/>
        <w:rPr>
          <w:color w:val="000000"/>
          <w:lang w:val="es-ES"/>
        </w:rPr>
      </w:pPr>
    </w:p>
    <w:p w:rsidR="008E5E30" w:rsidRDefault="008E5E30" w:rsidP="00546169">
      <w:pPr>
        <w:pStyle w:val="ListParagraph"/>
        <w:shd w:val="clear" w:color="auto" w:fill="FFFFFF"/>
        <w:spacing w:before="120" w:after="120"/>
        <w:ind w:left="0"/>
        <w:contextualSpacing w:val="0"/>
        <w:jc w:val="both"/>
        <w:rPr>
          <w:color w:val="000000"/>
          <w:lang w:val="es-ES"/>
        </w:rPr>
      </w:pPr>
    </w:p>
    <w:p w:rsidR="008E5E30" w:rsidRDefault="008E5E30" w:rsidP="00546169">
      <w:pPr>
        <w:pStyle w:val="ListParagraph"/>
        <w:shd w:val="clear" w:color="auto" w:fill="FFFFFF"/>
        <w:spacing w:before="120" w:after="120"/>
        <w:ind w:left="0"/>
        <w:contextualSpacing w:val="0"/>
        <w:jc w:val="both"/>
        <w:rPr>
          <w:color w:val="000000"/>
          <w:lang w:val="es-ES"/>
        </w:rPr>
      </w:pPr>
    </w:p>
    <w:p w:rsidR="008E5E30" w:rsidRDefault="008E5E30" w:rsidP="00546169">
      <w:pPr>
        <w:pStyle w:val="ListParagraph"/>
        <w:shd w:val="clear" w:color="auto" w:fill="FFFFFF"/>
        <w:spacing w:before="120" w:after="120"/>
        <w:ind w:left="0"/>
        <w:contextualSpacing w:val="0"/>
        <w:jc w:val="both"/>
        <w:rPr>
          <w:color w:val="000000"/>
          <w:lang w:val="es-ES"/>
        </w:rPr>
      </w:pPr>
    </w:p>
    <w:p w:rsidR="008E5E30" w:rsidRDefault="008E5E30" w:rsidP="00546169">
      <w:pPr>
        <w:pStyle w:val="ListParagraph"/>
        <w:shd w:val="clear" w:color="auto" w:fill="FFFFFF"/>
        <w:spacing w:before="120" w:after="120"/>
        <w:ind w:left="0"/>
        <w:contextualSpacing w:val="0"/>
        <w:jc w:val="both"/>
        <w:rPr>
          <w:color w:val="000000"/>
          <w:lang w:val="es-ES"/>
        </w:rPr>
      </w:pPr>
    </w:p>
    <w:p w:rsidR="008E5E30" w:rsidRDefault="008E5E30" w:rsidP="00546169">
      <w:pPr>
        <w:pStyle w:val="ListParagraph"/>
        <w:shd w:val="clear" w:color="auto" w:fill="FFFFFF"/>
        <w:spacing w:before="120" w:after="120"/>
        <w:ind w:left="0"/>
        <w:contextualSpacing w:val="0"/>
        <w:jc w:val="both"/>
        <w:rPr>
          <w:color w:val="000000"/>
          <w:lang w:val="es-ES"/>
        </w:rPr>
      </w:pPr>
    </w:p>
    <w:p w:rsidR="008E5E30" w:rsidRDefault="008E5E30" w:rsidP="008E5E30">
      <w:pPr>
        <w:pStyle w:val="ListParagraph"/>
        <w:tabs>
          <w:tab w:val="center" w:pos="4680"/>
        </w:tabs>
        <w:spacing w:after="120"/>
        <w:ind w:left="0"/>
        <w:jc w:val="center"/>
        <w:rPr>
          <w:rFonts w:ascii="Times New Roman Bold" w:hAnsi="Times New Roman Bold"/>
          <w:b/>
          <w:bCs/>
          <w:smallCaps/>
          <w:lang w:val="es-ES"/>
        </w:rPr>
      </w:pPr>
      <w:r>
        <w:rPr>
          <w:rFonts w:ascii="Times New Roman Bold" w:hAnsi="Times New Roman Bold"/>
          <w:b/>
          <w:bCs/>
          <w:smallCaps/>
          <w:lang w:val="es-ES"/>
        </w:rPr>
        <w:lastRenderedPageBreak/>
        <w:t>anexo 2. Términos de Referencia consultorías.</w:t>
      </w:r>
    </w:p>
    <w:p w:rsidR="008E5E30" w:rsidRDefault="008E5E30" w:rsidP="008E5E30">
      <w:pPr>
        <w:pStyle w:val="ListParagraph"/>
        <w:tabs>
          <w:tab w:val="center" w:pos="4680"/>
        </w:tabs>
        <w:spacing w:after="120"/>
        <w:ind w:left="0"/>
        <w:jc w:val="center"/>
        <w:rPr>
          <w:rFonts w:ascii="Times New Roman Bold" w:hAnsi="Times New Roman Bold"/>
          <w:b/>
          <w:bCs/>
          <w:smallCaps/>
          <w:lang w:val="es-ES"/>
        </w:rPr>
      </w:pPr>
    </w:p>
    <w:p w:rsidR="008E5E30" w:rsidRPr="002D1B02" w:rsidRDefault="008E5E30" w:rsidP="008E5E30">
      <w:pPr>
        <w:pStyle w:val="ListParagraph"/>
        <w:tabs>
          <w:tab w:val="center" w:pos="4680"/>
        </w:tabs>
        <w:spacing w:after="120"/>
        <w:ind w:left="0"/>
        <w:jc w:val="center"/>
        <w:rPr>
          <w:rFonts w:ascii="Times New Roman Bold" w:hAnsi="Times New Roman Bold"/>
          <w:b/>
          <w:bCs/>
          <w:smallCaps/>
          <w:lang w:val="es-ES"/>
        </w:rPr>
      </w:pPr>
      <w:r w:rsidRPr="002D1B02">
        <w:rPr>
          <w:rFonts w:ascii="Times New Roman Bold" w:hAnsi="Times New Roman Bold"/>
          <w:b/>
          <w:bCs/>
          <w:smallCaps/>
          <w:lang w:val="es-ES"/>
        </w:rPr>
        <w:t>Términos de Referencia</w:t>
      </w:r>
    </w:p>
    <w:p w:rsidR="008E5E30" w:rsidRPr="002D1B02" w:rsidRDefault="008E5E30" w:rsidP="008E5E30">
      <w:pPr>
        <w:pStyle w:val="ListParagraph"/>
        <w:tabs>
          <w:tab w:val="center" w:pos="4680"/>
        </w:tabs>
        <w:spacing w:before="240" w:after="240"/>
        <w:ind w:left="0"/>
        <w:contextualSpacing w:val="0"/>
        <w:jc w:val="center"/>
        <w:rPr>
          <w:b/>
          <w:lang w:val="es-ES"/>
        </w:rPr>
      </w:pPr>
      <w:r w:rsidRPr="002D1B02">
        <w:rPr>
          <w:b/>
          <w:lang w:val="es-ES"/>
        </w:rPr>
        <w:t>Consultoría de evaluación</w:t>
      </w:r>
      <w:r>
        <w:rPr>
          <w:b/>
          <w:lang w:val="es-ES"/>
        </w:rPr>
        <w:t xml:space="preserve"> económica</w:t>
      </w:r>
      <w:r w:rsidRPr="002D1B02">
        <w:rPr>
          <w:b/>
          <w:lang w:val="es-ES"/>
        </w:rPr>
        <w:t xml:space="preserve"> ex post</w:t>
      </w:r>
    </w:p>
    <w:p w:rsidR="008E5E30" w:rsidRPr="002D1B02" w:rsidRDefault="008E5E30" w:rsidP="008E5E30">
      <w:pPr>
        <w:pStyle w:val="ListParagraph"/>
        <w:tabs>
          <w:tab w:val="center" w:pos="4680"/>
        </w:tabs>
        <w:spacing w:before="240" w:after="240"/>
        <w:ind w:left="0"/>
        <w:contextualSpacing w:val="0"/>
        <w:jc w:val="center"/>
        <w:rPr>
          <w:b/>
          <w:lang w:val="es-ES"/>
        </w:rPr>
      </w:pPr>
      <w:r w:rsidRPr="002D1B02">
        <w:rPr>
          <w:b/>
          <w:lang w:val="es-ES"/>
        </w:rPr>
        <w:t>Apoyo al Programa de reformas del Sector de Transporte y Logística de Panamá</w:t>
      </w:r>
    </w:p>
    <w:p w:rsidR="008E5E30" w:rsidRPr="002D1B02" w:rsidRDefault="008E5E30" w:rsidP="008E5E30">
      <w:pPr>
        <w:tabs>
          <w:tab w:val="center" w:pos="4680"/>
        </w:tabs>
        <w:spacing w:before="240" w:after="120"/>
        <w:jc w:val="center"/>
        <w:rPr>
          <w:b/>
          <w:lang w:val="es-ES"/>
        </w:rPr>
      </w:pPr>
      <w:r w:rsidRPr="002D1B02">
        <w:rPr>
          <w:b/>
          <w:lang w:val="es-ES"/>
        </w:rPr>
        <w:t>I. OBJETIVO</w:t>
      </w:r>
      <w:r w:rsidRPr="002D1B02">
        <w:rPr>
          <w:rFonts w:ascii="Times New Roman Bold" w:hAnsi="Times New Roman Bold"/>
          <w:b/>
          <w:smallCaps/>
          <w:lang w:val="es-ES"/>
        </w:rPr>
        <w:t xml:space="preserve"> de la consultoría</w:t>
      </w:r>
    </w:p>
    <w:p w:rsidR="008E5E30" w:rsidRPr="002D1B02" w:rsidRDefault="008E5E30" w:rsidP="008E5E30">
      <w:pPr>
        <w:jc w:val="both"/>
        <w:rPr>
          <w:lang w:val="es-ES"/>
        </w:rPr>
      </w:pPr>
      <w:r w:rsidRPr="002D1B02">
        <w:rPr>
          <w:lang w:val="es-ES"/>
        </w:rPr>
        <w:t>Preparar el informe de evaluación económica ex post del Apoyo al Programa de reformas del Sector de Transporte y Logística de Panamá mediante la elaboración de un modelo de equilibrio general computable (CGE).</w:t>
      </w:r>
    </w:p>
    <w:p w:rsidR="008E5E30" w:rsidRPr="002D1B02" w:rsidRDefault="008E5E30" w:rsidP="008E5E30">
      <w:pPr>
        <w:tabs>
          <w:tab w:val="center" w:pos="4680"/>
        </w:tabs>
        <w:spacing w:before="240" w:after="240"/>
        <w:jc w:val="center"/>
        <w:rPr>
          <w:lang w:val="es-ES"/>
        </w:rPr>
      </w:pPr>
      <w:r w:rsidRPr="002D1B02">
        <w:rPr>
          <w:b/>
          <w:bCs/>
          <w:lang w:val="es-ES"/>
        </w:rPr>
        <w:t>II. ACTIVIDADES</w:t>
      </w:r>
    </w:p>
    <w:p w:rsidR="008E5E30" w:rsidRPr="002D1B02" w:rsidRDefault="008E5E30" w:rsidP="008E5E30">
      <w:pPr>
        <w:pStyle w:val="Paragraph"/>
        <w:tabs>
          <w:tab w:val="clear" w:pos="1440"/>
        </w:tabs>
        <w:spacing w:before="0"/>
        <w:ind w:left="0" w:firstLine="0"/>
        <w:outlineLvl w:val="9"/>
        <w:rPr>
          <w:bCs/>
          <w:szCs w:val="24"/>
          <w:lang w:val="es-ES"/>
        </w:rPr>
      </w:pPr>
      <w:r w:rsidRPr="002D1B02">
        <w:rPr>
          <w:bCs/>
          <w:szCs w:val="24"/>
          <w:lang w:val="es-ES"/>
        </w:rPr>
        <w:t>Las actividades que serán realizadas durante la consultoría incluyen las siguientes:</w:t>
      </w:r>
    </w:p>
    <w:p w:rsidR="008E5E30" w:rsidRPr="002D1B02" w:rsidRDefault="008E5E30" w:rsidP="008E5E30">
      <w:pPr>
        <w:pStyle w:val="ListParagraph"/>
        <w:numPr>
          <w:ilvl w:val="0"/>
          <w:numId w:val="3"/>
        </w:numPr>
        <w:spacing w:after="80"/>
        <w:contextualSpacing w:val="0"/>
        <w:jc w:val="both"/>
        <w:rPr>
          <w:lang w:val="es-ES"/>
        </w:rPr>
      </w:pPr>
      <w:r w:rsidRPr="002D1B02">
        <w:rPr>
          <w:lang w:val="es-ES"/>
        </w:rPr>
        <w:t>Revisar la documentación correspondiente a la ejecución del Programa de Reforma de Políticas del Sector. En particular, se evaluará el alcance e impacto logrado de acuerdo a las metas e indicadores establecidos en las matrices de políticas y resultados.</w:t>
      </w:r>
    </w:p>
    <w:p w:rsidR="008E5E30" w:rsidRPr="002D1B02" w:rsidRDefault="008E5E30" w:rsidP="008E5E30">
      <w:pPr>
        <w:pStyle w:val="ListParagraph"/>
        <w:numPr>
          <w:ilvl w:val="0"/>
          <w:numId w:val="3"/>
        </w:numPr>
        <w:spacing w:after="80"/>
        <w:contextualSpacing w:val="0"/>
        <w:jc w:val="both"/>
        <w:rPr>
          <w:lang w:val="es-ES"/>
        </w:rPr>
      </w:pPr>
      <w:r w:rsidRPr="002D1B02">
        <w:rPr>
          <w:lang w:val="es-ES"/>
        </w:rPr>
        <w:t>Mantener reuniones con los principales actores involucrados en el diseño y ejecución del Programa de Reforma de Políticas del Sector, tanto en el Banco como en el GDP.</w:t>
      </w:r>
    </w:p>
    <w:p w:rsidR="008E5E30" w:rsidRDefault="008E5E30" w:rsidP="008E5E30">
      <w:pPr>
        <w:pStyle w:val="ListParagraph"/>
        <w:numPr>
          <w:ilvl w:val="0"/>
          <w:numId w:val="3"/>
        </w:numPr>
        <w:spacing w:after="80"/>
        <w:contextualSpacing w:val="0"/>
        <w:jc w:val="both"/>
        <w:rPr>
          <w:lang w:val="es-ES"/>
        </w:rPr>
      </w:pPr>
      <w:r w:rsidRPr="002D1B02">
        <w:rPr>
          <w:lang w:val="es-ES"/>
        </w:rPr>
        <w:t>Realizar la evaluación del logro de los objetivos y resultados del programa, que deberá abarcar las tres operaciones del mismo. La evaluación se focalizará en el logro de los objetivos y resultados del mismo.</w:t>
      </w:r>
    </w:p>
    <w:p w:rsidR="008E5E30" w:rsidRPr="002D1B02" w:rsidRDefault="008E5E30" w:rsidP="008E5E30">
      <w:pPr>
        <w:pStyle w:val="ListParagraph"/>
        <w:numPr>
          <w:ilvl w:val="0"/>
          <w:numId w:val="3"/>
        </w:numPr>
        <w:spacing w:after="80"/>
        <w:contextualSpacing w:val="0"/>
        <w:jc w:val="both"/>
        <w:rPr>
          <w:lang w:val="es-ES"/>
        </w:rPr>
      </w:pPr>
      <w:r>
        <w:rPr>
          <w:lang w:val="es-ES"/>
        </w:rPr>
        <w:t>Colectar la información cuantitativa.</w:t>
      </w:r>
    </w:p>
    <w:p w:rsidR="008E5E30" w:rsidRPr="002D1B02" w:rsidRDefault="008E5E30" w:rsidP="008E5E30">
      <w:pPr>
        <w:pStyle w:val="ListParagraph"/>
        <w:numPr>
          <w:ilvl w:val="0"/>
          <w:numId w:val="3"/>
        </w:numPr>
        <w:spacing w:after="80"/>
        <w:contextualSpacing w:val="0"/>
        <w:jc w:val="both"/>
        <w:rPr>
          <w:lang w:val="es-ES"/>
        </w:rPr>
      </w:pPr>
      <w:r w:rsidRPr="002D1B02">
        <w:rPr>
          <w:lang w:val="es-ES"/>
        </w:rPr>
        <w:t xml:space="preserve">Realizar la evaluación económica ex post del Programa, bajo la metodología </w:t>
      </w:r>
      <w:r w:rsidR="00CB609D" w:rsidRPr="002D1B02">
        <w:rPr>
          <w:lang w:val="es-ES"/>
        </w:rPr>
        <w:t>de modelo</w:t>
      </w:r>
      <w:r w:rsidRPr="002D1B02">
        <w:rPr>
          <w:rFonts w:ascii="Cambria" w:hAnsi="Cambria"/>
          <w:lang w:val="es-ES"/>
        </w:rPr>
        <w:t xml:space="preserve"> de equilibrio general computable (CGE, en inglés). Consistirá en correr el modelo CGE con vectores de inversiones sin el PBL (línea de base hipotética sin posibilidad de “grupo de control”), y posteriormente con los vectores de inversiones atribuibles al PBL. El modelo CGE será calibrado mediante</w:t>
      </w:r>
      <w:r w:rsidRPr="002D1B02">
        <w:rPr>
          <w:lang w:val="es-ES"/>
        </w:rPr>
        <w:t xml:space="preserve"> una Matriz Insumo-Producto. </w:t>
      </w:r>
      <w:r w:rsidRPr="002D1B02">
        <w:rPr>
          <w:rFonts w:ascii="Cambria" w:hAnsi="Cambria"/>
          <w:lang w:val="es-ES"/>
        </w:rPr>
        <w:t>La información adicional necesaria para la evaluación será la lista de inversiones en los 3 sectores de SLVA, la agricultura y la pesca con evidencia testimonial (encuesta a inversionistas sobre el origen inmediato de la inversión) o de causalidad lógica con respecto al PBL (por normas habilitantes de la inversión, o por efecto de la inversión pública en el sector logístico y de transporte)</w:t>
      </w:r>
    </w:p>
    <w:p w:rsidR="008E5E30" w:rsidRPr="002D1B02" w:rsidRDefault="008E5E30" w:rsidP="008E5E30">
      <w:pPr>
        <w:spacing w:before="240" w:after="240"/>
        <w:jc w:val="center"/>
        <w:rPr>
          <w:b/>
          <w:lang w:val="es-ES"/>
        </w:rPr>
      </w:pPr>
      <w:r w:rsidRPr="002D1B02">
        <w:rPr>
          <w:b/>
          <w:lang w:val="es-ES"/>
        </w:rPr>
        <w:t>III. PERFIL</w:t>
      </w:r>
      <w:r w:rsidRPr="002D1B02">
        <w:rPr>
          <w:rFonts w:ascii="Times New Roman Bold" w:hAnsi="Times New Roman Bold"/>
          <w:b/>
          <w:smallCaps/>
          <w:lang w:val="es-ES"/>
        </w:rPr>
        <w:t xml:space="preserve"> del consultor</w:t>
      </w:r>
    </w:p>
    <w:p w:rsidR="008E5E30" w:rsidRPr="002D1B02" w:rsidRDefault="008E5E30" w:rsidP="008E5E30">
      <w:pPr>
        <w:pStyle w:val="ListParagraph"/>
        <w:numPr>
          <w:ilvl w:val="0"/>
          <w:numId w:val="4"/>
        </w:numPr>
        <w:spacing w:after="80"/>
        <w:contextualSpacing w:val="0"/>
        <w:jc w:val="both"/>
        <w:rPr>
          <w:lang w:val="es-ES"/>
        </w:rPr>
      </w:pPr>
      <w:r w:rsidRPr="002D1B02">
        <w:rPr>
          <w:lang w:val="es-ES"/>
        </w:rPr>
        <w:t xml:space="preserve">Título universitario de economía. Estudios de Maestría en Economía, en Políticas Públicas, o en Transporte.  </w:t>
      </w:r>
    </w:p>
    <w:p w:rsidR="008E5E30" w:rsidRPr="002D1B02" w:rsidRDefault="008E5E30" w:rsidP="008E5E30">
      <w:pPr>
        <w:pStyle w:val="ListParagraph"/>
        <w:numPr>
          <w:ilvl w:val="0"/>
          <w:numId w:val="4"/>
        </w:numPr>
        <w:spacing w:after="80"/>
        <w:contextualSpacing w:val="0"/>
        <w:jc w:val="both"/>
        <w:rPr>
          <w:lang w:val="es-ES"/>
        </w:rPr>
      </w:pPr>
      <w:r w:rsidRPr="002D1B02">
        <w:rPr>
          <w:lang w:val="es-ES"/>
        </w:rPr>
        <w:t>Al menos 6 años de experiencia trabajando en la preparación y supervisión de proyectos en el sector público.</w:t>
      </w:r>
    </w:p>
    <w:p w:rsidR="008E5E30" w:rsidRPr="002D1B02" w:rsidRDefault="008E5E30" w:rsidP="008E5E30">
      <w:pPr>
        <w:pStyle w:val="ListParagraph"/>
        <w:numPr>
          <w:ilvl w:val="0"/>
          <w:numId w:val="4"/>
        </w:numPr>
        <w:jc w:val="both"/>
        <w:rPr>
          <w:lang w:val="es-ES"/>
        </w:rPr>
      </w:pPr>
      <w:r w:rsidRPr="002D1B02">
        <w:rPr>
          <w:lang w:val="es-ES"/>
        </w:rPr>
        <w:t>Experiencia relevante en materia de política, normativa o planificación del transporte trabajando en el sector público.</w:t>
      </w:r>
    </w:p>
    <w:p w:rsidR="008E5E30" w:rsidRPr="002D1B02" w:rsidRDefault="008E5E30" w:rsidP="008E5E30">
      <w:pPr>
        <w:pStyle w:val="ListParagraph"/>
        <w:numPr>
          <w:ilvl w:val="0"/>
          <w:numId w:val="4"/>
        </w:numPr>
        <w:tabs>
          <w:tab w:val="left" w:pos="840"/>
          <w:tab w:val="left" w:pos="1320"/>
          <w:tab w:val="left" w:pos="1800"/>
          <w:tab w:val="right" w:pos="2640"/>
          <w:tab w:val="left" w:pos="2880"/>
        </w:tabs>
        <w:spacing w:after="80"/>
        <w:contextualSpacing w:val="0"/>
        <w:jc w:val="both"/>
        <w:rPr>
          <w:lang w:val="es-ES"/>
        </w:rPr>
      </w:pPr>
      <w:r w:rsidRPr="002D1B02">
        <w:rPr>
          <w:lang w:val="es-ES"/>
        </w:rPr>
        <w:lastRenderedPageBreak/>
        <w:t>Experiencia en el diseño, ejecución, monitoreo o evaluación de préstamos programáticos.</w:t>
      </w:r>
    </w:p>
    <w:p w:rsidR="008E5E30" w:rsidRPr="002D1B02" w:rsidRDefault="008E5E30" w:rsidP="008E5E30">
      <w:pPr>
        <w:tabs>
          <w:tab w:val="center" w:pos="4680"/>
        </w:tabs>
        <w:spacing w:before="240" w:after="120"/>
        <w:jc w:val="center"/>
        <w:rPr>
          <w:b/>
          <w:lang w:val="es-ES"/>
        </w:rPr>
      </w:pPr>
      <w:r w:rsidRPr="002D1B02">
        <w:rPr>
          <w:b/>
          <w:lang w:val="es-ES"/>
        </w:rPr>
        <w:t>IV. PRODUCTOS</w:t>
      </w:r>
      <w:r w:rsidRPr="002D1B02">
        <w:rPr>
          <w:rFonts w:ascii="Times New Roman Bold" w:hAnsi="Times New Roman Bold"/>
          <w:b/>
          <w:smallCaps/>
          <w:lang w:val="es-ES"/>
        </w:rPr>
        <w:t xml:space="preserve"> esperados</w:t>
      </w:r>
    </w:p>
    <w:p w:rsidR="008E5E30" w:rsidRPr="002D1B02" w:rsidRDefault="008E5E30" w:rsidP="008E5E30">
      <w:pPr>
        <w:pStyle w:val="Paragraph"/>
        <w:tabs>
          <w:tab w:val="clear" w:pos="1440"/>
        </w:tabs>
        <w:spacing w:before="0"/>
        <w:ind w:left="0" w:firstLine="0"/>
        <w:outlineLvl w:val="9"/>
        <w:rPr>
          <w:bCs/>
          <w:szCs w:val="24"/>
          <w:lang w:val="es-ES"/>
        </w:rPr>
      </w:pPr>
      <w:r w:rsidRPr="002D1B02">
        <w:rPr>
          <w:bCs/>
          <w:szCs w:val="24"/>
          <w:lang w:val="es-ES"/>
        </w:rPr>
        <w:t>La consultoría generará los siguientes productos:</w:t>
      </w:r>
    </w:p>
    <w:p w:rsidR="008E5E30" w:rsidRPr="002D1B02" w:rsidRDefault="008E5E30" w:rsidP="008E5E30">
      <w:pPr>
        <w:numPr>
          <w:ilvl w:val="0"/>
          <w:numId w:val="5"/>
        </w:numPr>
        <w:jc w:val="both"/>
        <w:rPr>
          <w:lang w:val="es-ES"/>
        </w:rPr>
      </w:pPr>
      <w:r w:rsidRPr="002D1B02">
        <w:rPr>
          <w:lang w:val="es-ES"/>
        </w:rPr>
        <w:t xml:space="preserve">Informe de Evaluación, con texto y gráficos, con especial énfasis en lo que corresponde a los resultados del proyecto y las lecciones aprendidas. </w:t>
      </w:r>
    </w:p>
    <w:p w:rsidR="008E5E30" w:rsidRPr="002D1B02" w:rsidRDefault="008E5E30" w:rsidP="008E5E30">
      <w:pPr>
        <w:pStyle w:val="Paragraph"/>
        <w:tabs>
          <w:tab w:val="clear" w:pos="1440"/>
        </w:tabs>
        <w:spacing w:before="0" w:after="0"/>
        <w:ind w:left="0" w:firstLine="0"/>
        <w:outlineLvl w:val="9"/>
        <w:rPr>
          <w:szCs w:val="24"/>
          <w:lang w:val="es-ES"/>
        </w:rPr>
      </w:pPr>
    </w:p>
    <w:p w:rsidR="008E5E30" w:rsidRPr="002D1B02" w:rsidRDefault="008E5E30" w:rsidP="008E5E30">
      <w:pPr>
        <w:pStyle w:val="Paragraph"/>
        <w:tabs>
          <w:tab w:val="clear" w:pos="1440"/>
        </w:tabs>
        <w:spacing w:before="0" w:after="0"/>
        <w:ind w:left="0" w:firstLine="0"/>
        <w:outlineLvl w:val="9"/>
        <w:rPr>
          <w:szCs w:val="24"/>
          <w:lang w:val="es-ES"/>
        </w:rPr>
      </w:pPr>
      <w:r w:rsidRPr="002D1B02">
        <w:rPr>
          <w:szCs w:val="24"/>
          <w:lang w:val="es-ES"/>
        </w:rPr>
        <w:t>El informe será presentado conforme los formatos establecidos por el Banco para tales fines, tanto en versión impresa como digital.</w:t>
      </w:r>
    </w:p>
    <w:p w:rsidR="008E5E30" w:rsidRPr="002D1B02" w:rsidRDefault="008E5E30" w:rsidP="008E5E30">
      <w:pPr>
        <w:tabs>
          <w:tab w:val="center" w:pos="4680"/>
        </w:tabs>
        <w:spacing w:before="240" w:after="240"/>
        <w:jc w:val="center"/>
        <w:rPr>
          <w:b/>
          <w:lang w:val="es-ES"/>
        </w:rPr>
      </w:pPr>
      <w:r w:rsidRPr="002D1B02">
        <w:rPr>
          <w:b/>
          <w:lang w:val="es-ES"/>
        </w:rPr>
        <w:t xml:space="preserve">V. </w:t>
      </w:r>
      <w:r w:rsidRPr="002D1B02">
        <w:rPr>
          <w:rFonts w:ascii="Times New Roman Bold" w:hAnsi="Times New Roman Bold"/>
          <w:b/>
          <w:smallCaps/>
          <w:lang w:val="es-ES"/>
        </w:rPr>
        <w:t>Lugar y duración de la consultoría</w:t>
      </w:r>
    </w:p>
    <w:p w:rsidR="008E5E30" w:rsidRPr="002D1B02" w:rsidRDefault="008E5E30" w:rsidP="008E5E30">
      <w:pPr>
        <w:pStyle w:val="Paragraph"/>
        <w:tabs>
          <w:tab w:val="clear" w:pos="1440"/>
        </w:tabs>
        <w:spacing w:before="0" w:after="0"/>
        <w:ind w:left="0" w:firstLine="0"/>
        <w:outlineLvl w:val="9"/>
        <w:rPr>
          <w:szCs w:val="24"/>
          <w:lang w:val="es-ES"/>
        </w:rPr>
      </w:pPr>
      <w:r w:rsidRPr="002D1B02">
        <w:rPr>
          <w:szCs w:val="24"/>
          <w:lang w:val="es-ES"/>
        </w:rPr>
        <w:t xml:space="preserve">La consultoría se realizará en Panamá y el lugar de residencia del consultor. La duración de la consultoría será de 20 días no consecutivos. </w:t>
      </w:r>
    </w:p>
    <w:p w:rsidR="008E5E30" w:rsidRPr="002D1B02" w:rsidRDefault="008E5E30" w:rsidP="008E5E30">
      <w:pPr>
        <w:tabs>
          <w:tab w:val="center" w:pos="4680"/>
        </w:tabs>
        <w:spacing w:before="240" w:after="240"/>
        <w:jc w:val="center"/>
        <w:rPr>
          <w:b/>
          <w:lang w:val="es-ES"/>
        </w:rPr>
      </w:pPr>
      <w:r w:rsidRPr="002D1B02">
        <w:rPr>
          <w:b/>
          <w:lang w:val="es-ES"/>
        </w:rPr>
        <w:t xml:space="preserve">VI. </w:t>
      </w:r>
      <w:r w:rsidRPr="002D1B02">
        <w:rPr>
          <w:rFonts w:ascii="Times New Roman Bold" w:hAnsi="Times New Roman Bold"/>
          <w:b/>
          <w:smallCaps/>
          <w:lang w:val="es-ES"/>
        </w:rPr>
        <w:t>Condiciones de pago</w:t>
      </w:r>
    </w:p>
    <w:p w:rsidR="008E5E30" w:rsidRPr="002D1B02" w:rsidRDefault="008E5E30" w:rsidP="008E5E30">
      <w:pPr>
        <w:pStyle w:val="Paragraph"/>
        <w:tabs>
          <w:tab w:val="clear" w:pos="1440"/>
        </w:tabs>
        <w:spacing w:before="0"/>
        <w:ind w:left="0" w:firstLine="0"/>
        <w:outlineLvl w:val="9"/>
        <w:rPr>
          <w:bCs/>
          <w:szCs w:val="24"/>
          <w:lang w:val="es-ES"/>
        </w:rPr>
      </w:pPr>
      <w:r w:rsidRPr="002D1B02">
        <w:rPr>
          <w:bCs/>
          <w:szCs w:val="24"/>
          <w:lang w:val="es-ES"/>
        </w:rPr>
        <w:t>Los pagos al consultor individual se realizarán de la siguiente manera:</w:t>
      </w:r>
    </w:p>
    <w:p w:rsidR="008E5E30" w:rsidRPr="002D1B02" w:rsidRDefault="008E5E30" w:rsidP="008E5E30">
      <w:pPr>
        <w:pStyle w:val="ListParagraph"/>
        <w:numPr>
          <w:ilvl w:val="0"/>
          <w:numId w:val="6"/>
        </w:numPr>
        <w:spacing w:after="80"/>
        <w:contextualSpacing w:val="0"/>
        <w:jc w:val="both"/>
        <w:rPr>
          <w:lang w:val="es-ES"/>
        </w:rPr>
      </w:pPr>
      <w:r w:rsidRPr="002D1B02">
        <w:rPr>
          <w:lang w:val="es-ES"/>
        </w:rPr>
        <w:t xml:space="preserve">Un primer pago de 30% del monto del contrato 15 días después de la firma del mismo, contra entrega del primer informe a satisfacción del Banco. </w:t>
      </w:r>
    </w:p>
    <w:p w:rsidR="008E5E30" w:rsidRPr="002D1B02" w:rsidRDefault="008E5E30" w:rsidP="008E5E30">
      <w:pPr>
        <w:pStyle w:val="ListParagraph"/>
        <w:numPr>
          <w:ilvl w:val="0"/>
          <w:numId w:val="6"/>
        </w:numPr>
        <w:spacing w:after="80"/>
        <w:contextualSpacing w:val="0"/>
        <w:jc w:val="both"/>
        <w:rPr>
          <w:lang w:val="es-ES"/>
        </w:rPr>
      </w:pPr>
      <w:r w:rsidRPr="002D1B02">
        <w:rPr>
          <w:lang w:val="es-ES"/>
        </w:rPr>
        <w:t>Un segundo pago 30% a la entrega y aprobación del informe intermedio a satisfacción del Banco.</w:t>
      </w:r>
    </w:p>
    <w:p w:rsidR="008E5E30" w:rsidRPr="002D1B02" w:rsidRDefault="008E5E30" w:rsidP="008E5E30">
      <w:pPr>
        <w:pStyle w:val="ListParagraph"/>
        <w:numPr>
          <w:ilvl w:val="0"/>
          <w:numId w:val="6"/>
        </w:numPr>
        <w:spacing w:after="80"/>
        <w:contextualSpacing w:val="0"/>
        <w:jc w:val="both"/>
        <w:rPr>
          <w:lang w:val="es-ES"/>
        </w:rPr>
      </w:pPr>
      <w:r w:rsidRPr="002D1B02">
        <w:rPr>
          <w:lang w:val="es-ES"/>
        </w:rPr>
        <w:t>Un pago final de 40% a la entrega y aprobación del informe final a satisfacción del Banco.</w:t>
      </w:r>
    </w:p>
    <w:p w:rsidR="008E5E30" w:rsidRPr="002D1B02" w:rsidRDefault="008E5E30" w:rsidP="008E5E30">
      <w:pPr>
        <w:tabs>
          <w:tab w:val="center" w:pos="4680"/>
        </w:tabs>
        <w:spacing w:before="240" w:after="120"/>
        <w:jc w:val="center"/>
        <w:rPr>
          <w:b/>
          <w:lang w:val="es-ES"/>
        </w:rPr>
      </w:pPr>
      <w:r w:rsidRPr="002D1B02">
        <w:rPr>
          <w:b/>
          <w:lang w:val="es-ES"/>
        </w:rPr>
        <w:t>VII. SUPERVISIÓN</w:t>
      </w:r>
      <w:r w:rsidRPr="002D1B02">
        <w:rPr>
          <w:rFonts w:ascii="Times New Roman Bold" w:hAnsi="Times New Roman Bold"/>
          <w:b/>
          <w:smallCaps/>
          <w:lang w:val="es-ES"/>
        </w:rPr>
        <w:t xml:space="preserve"> o coordinación</w:t>
      </w:r>
    </w:p>
    <w:p w:rsidR="008E5E30" w:rsidRPr="002D1B02" w:rsidRDefault="008E5E30" w:rsidP="008E5E30">
      <w:pPr>
        <w:pStyle w:val="Paragraph"/>
        <w:tabs>
          <w:tab w:val="clear" w:pos="1440"/>
        </w:tabs>
        <w:spacing w:before="0" w:after="0"/>
        <w:ind w:left="0" w:firstLine="0"/>
        <w:outlineLvl w:val="9"/>
        <w:rPr>
          <w:bCs/>
          <w:szCs w:val="24"/>
          <w:lang w:val="es-ES"/>
        </w:rPr>
      </w:pPr>
      <w:r w:rsidRPr="002D1B02">
        <w:rPr>
          <w:bCs/>
          <w:szCs w:val="24"/>
          <w:lang w:val="es-ES"/>
        </w:rPr>
        <w:t>La coordinación de la consultoría estará a cargo del jefe de proyecto.</w:t>
      </w:r>
    </w:p>
    <w:p w:rsidR="008E5E30" w:rsidRPr="00B25CEA" w:rsidRDefault="008E5E30" w:rsidP="008E5E30">
      <w:pPr>
        <w:spacing w:after="200" w:line="276" w:lineRule="auto"/>
        <w:rPr>
          <w:lang w:val="es-ES"/>
        </w:rPr>
      </w:pPr>
      <w:r w:rsidRPr="00B25CEA">
        <w:rPr>
          <w:lang w:val="es-ES"/>
        </w:rPr>
        <w:br w:type="page"/>
      </w:r>
    </w:p>
    <w:p w:rsidR="008E5E30" w:rsidRPr="002D1B02" w:rsidRDefault="008E5E30" w:rsidP="008E5E30">
      <w:pPr>
        <w:pStyle w:val="ListParagraph"/>
        <w:tabs>
          <w:tab w:val="center" w:pos="4680"/>
        </w:tabs>
        <w:spacing w:after="120"/>
        <w:ind w:left="0"/>
        <w:jc w:val="center"/>
        <w:rPr>
          <w:rFonts w:ascii="Times New Roman Bold" w:hAnsi="Times New Roman Bold"/>
          <w:b/>
          <w:bCs/>
          <w:smallCaps/>
          <w:lang w:val="es-ES"/>
        </w:rPr>
      </w:pPr>
      <w:r w:rsidRPr="002D1B02">
        <w:rPr>
          <w:rFonts w:ascii="Times New Roman Bold" w:hAnsi="Times New Roman Bold"/>
          <w:b/>
          <w:bCs/>
          <w:smallCaps/>
          <w:lang w:val="es-ES"/>
        </w:rPr>
        <w:lastRenderedPageBreak/>
        <w:t>Términos de Referencia</w:t>
      </w:r>
    </w:p>
    <w:p w:rsidR="008E5E30" w:rsidRPr="002D1B02" w:rsidRDefault="008E5E30" w:rsidP="008E5E30">
      <w:pPr>
        <w:pStyle w:val="ListParagraph"/>
        <w:tabs>
          <w:tab w:val="center" w:pos="4680"/>
        </w:tabs>
        <w:spacing w:before="240" w:after="240"/>
        <w:ind w:left="0"/>
        <w:contextualSpacing w:val="0"/>
        <w:jc w:val="center"/>
        <w:rPr>
          <w:b/>
          <w:lang w:val="es-ES"/>
        </w:rPr>
      </w:pPr>
      <w:r w:rsidRPr="002D1B02">
        <w:rPr>
          <w:b/>
          <w:lang w:val="es-ES"/>
        </w:rPr>
        <w:t>Consultoría de evaluación</w:t>
      </w:r>
      <w:r>
        <w:rPr>
          <w:b/>
          <w:lang w:val="es-ES"/>
        </w:rPr>
        <w:t xml:space="preserve"> de impacto</w:t>
      </w:r>
      <w:r w:rsidRPr="002D1B02">
        <w:rPr>
          <w:b/>
          <w:lang w:val="es-ES"/>
        </w:rPr>
        <w:t xml:space="preserve"> ex post</w:t>
      </w:r>
    </w:p>
    <w:p w:rsidR="008E5E30" w:rsidRPr="002D1B02" w:rsidRDefault="008E5E30" w:rsidP="008E5E30">
      <w:pPr>
        <w:pStyle w:val="ListParagraph"/>
        <w:tabs>
          <w:tab w:val="center" w:pos="4680"/>
        </w:tabs>
        <w:spacing w:before="240" w:after="240"/>
        <w:ind w:left="0"/>
        <w:contextualSpacing w:val="0"/>
        <w:jc w:val="center"/>
        <w:rPr>
          <w:b/>
          <w:lang w:val="es-ES"/>
        </w:rPr>
      </w:pPr>
      <w:r w:rsidRPr="002D1B02">
        <w:rPr>
          <w:b/>
          <w:lang w:val="es-ES"/>
        </w:rPr>
        <w:t>Apoyo al Programa de reformas del Sector de Transporte y Logística de Panamá</w:t>
      </w:r>
    </w:p>
    <w:p w:rsidR="008E5E30" w:rsidRPr="002D1B02" w:rsidRDefault="008E5E30" w:rsidP="008E5E30">
      <w:pPr>
        <w:tabs>
          <w:tab w:val="center" w:pos="4680"/>
        </w:tabs>
        <w:spacing w:before="240" w:after="120"/>
        <w:jc w:val="center"/>
        <w:rPr>
          <w:b/>
          <w:lang w:val="es-ES"/>
        </w:rPr>
      </w:pPr>
      <w:r w:rsidRPr="002D1B02">
        <w:rPr>
          <w:b/>
          <w:lang w:val="es-ES"/>
        </w:rPr>
        <w:t>I. OBJETIVO</w:t>
      </w:r>
      <w:r w:rsidRPr="002D1B02">
        <w:rPr>
          <w:rFonts w:ascii="Times New Roman Bold" w:hAnsi="Times New Roman Bold"/>
          <w:b/>
          <w:smallCaps/>
          <w:lang w:val="es-ES"/>
        </w:rPr>
        <w:t xml:space="preserve"> DE LA CONSULTOR</w:t>
      </w:r>
      <w:r w:rsidRPr="002D1B02">
        <w:rPr>
          <w:rFonts w:ascii="Times New Roman Bold" w:hAnsi="Times New Roman Bold" w:hint="eastAsia"/>
          <w:b/>
          <w:smallCaps/>
          <w:lang w:val="es-ES"/>
        </w:rPr>
        <w:t>Í</w:t>
      </w:r>
      <w:r w:rsidRPr="002D1B02">
        <w:rPr>
          <w:rFonts w:ascii="Times New Roman Bold" w:hAnsi="Times New Roman Bold"/>
          <w:b/>
          <w:smallCaps/>
          <w:lang w:val="es-ES"/>
        </w:rPr>
        <w:t>A</w:t>
      </w:r>
    </w:p>
    <w:p w:rsidR="008E5E30" w:rsidRPr="002D1B02" w:rsidRDefault="008E5E30" w:rsidP="008E5E30">
      <w:pPr>
        <w:jc w:val="both"/>
        <w:rPr>
          <w:lang w:val="es-ES"/>
        </w:rPr>
      </w:pPr>
      <w:r w:rsidRPr="002D1B02">
        <w:rPr>
          <w:lang w:val="es-ES"/>
        </w:rPr>
        <w:t xml:space="preserve">Preparar el informe de evaluación </w:t>
      </w:r>
      <w:r>
        <w:rPr>
          <w:lang w:val="es-ES"/>
        </w:rPr>
        <w:t>de impacto</w:t>
      </w:r>
      <w:r w:rsidRPr="002D1B02">
        <w:rPr>
          <w:lang w:val="es-ES"/>
        </w:rPr>
        <w:t xml:space="preserve"> ex post del Apoyo al Programa de reformas del Sector de Transporte y Logística de Panamá </w:t>
      </w:r>
      <w:r>
        <w:rPr>
          <w:lang w:val="es-ES"/>
        </w:rPr>
        <w:t>utilizando el método de control sintético</w:t>
      </w:r>
      <w:r w:rsidRPr="002D1B02">
        <w:rPr>
          <w:lang w:val="es-ES"/>
        </w:rPr>
        <w:t>.</w:t>
      </w:r>
    </w:p>
    <w:p w:rsidR="008E5E30" w:rsidRPr="002D1B02" w:rsidRDefault="008E5E30" w:rsidP="008E5E30">
      <w:pPr>
        <w:tabs>
          <w:tab w:val="center" w:pos="4680"/>
        </w:tabs>
        <w:spacing w:before="240" w:after="240"/>
        <w:jc w:val="center"/>
        <w:rPr>
          <w:lang w:val="es-ES"/>
        </w:rPr>
      </w:pPr>
      <w:r w:rsidRPr="002D1B02">
        <w:rPr>
          <w:b/>
          <w:bCs/>
          <w:lang w:val="es-ES"/>
        </w:rPr>
        <w:t>II. ACTIVIDADES</w:t>
      </w:r>
    </w:p>
    <w:p w:rsidR="008E5E30" w:rsidRPr="002D1B02" w:rsidRDefault="008E5E30" w:rsidP="008E5E30">
      <w:pPr>
        <w:pStyle w:val="Paragraph"/>
        <w:tabs>
          <w:tab w:val="clear" w:pos="1440"/>
        </w:tabs>
        <w:spacing w:before="0"/>
        <w:ind w:left="0" w:firstLine="0"/>
        <w:outlineLvl w:val="9"/>
        <w:rPr>
          <w:bCs/>
          <w:szCs w:val="24"/>
          <w:lang w:val="es-ES"/>
        </w:rPr>
      </w:pPr>
      <w:r w:rsidRPr="002D1B02">
        <w:rPr>
          <w:bCs/>
          <w:szCs w:val="24"/>
          <w:lang w:val="es-ES"/>
        </w:rPr>
        <w:t>Las actividades que serán realizadas durante la consultoría incluyen las siguientes:</w:t>
      </w:r>
    </w:p>
    <w:p w:rsidR="008E5E30" w:rsidRPr="002D1B02" w:rsidRDefault="008E5E30" w:rsidP="008E5E30">
      <w:pPr>
        <w:pStyle w:val="ListParagraph"/>
        <w:numPr>
          <w:ilvl w:val="0"/>
          <w:numId w:val="3"/>
        </w:numPr>
        <w:spacing w:after="80"/>
        <w:contextualSpacing w:val="0"/>
        <w:jc w:val="both"/>
        <w:rPr>
          <w:lang w:val="es-ES"/>
        </w:rPr>
      </w:pPr>
      <w:r w:rsidRPr="002D1B02">
        <w:rPr>
          <w:lang w:val="es-ES"/>
        </w:rPr>
        <w:t xml:space="preserve">Revisar la documentación correspondiente a la ejecución del Programa de Reforma de Políticas del Sector. En particular, se evaluará el alcance e impacto logrado </w:t>
      </w:r>
      <w:r>
        <w:rPr>
          <w:lang w:val="es-ES"/>
        </w:rPr>
        <w:t>con el indicador de aumento de las exportaciones de bienes y servicios.</w:t>
      </w:r>
    </w:p>
    <w:p w:rsidR="008E5E30" w:rsidRDefault="008E5E30" w:rsidP="008E5E30">
      <w:pPr>
        <w:pStyle w:val="ListParagraph"/>
        <w:numPr>
          <w:ilvl w:val="0"/>
          <w:numId w:val="3"/>
        </w:numPr>
        <w:spacing w:after="80"/>
        <w:contextualSpacing w:val="0"/>
        <w:jc w:val="both"/>
        <w:rPr>
          <w:lang w:val="es-ES"/>
        </w:rPr>
      </w:pPr>
      <w:r w:rsidRPr="002D1B02">
        <w:rPr>
          <w:lang w:val="es-ES"/>
        </w:rPr>
        <w:t>Mantener reuniones con los principales actores involucrados en el diseño y ejecución del Programa de Reforma de Políticas del Sector, tanto en el Banco como en el GDP.</w:t>
      </w:r>
    </w:p>
    <w:p w:rsidR="008E5E30" w:rsidRPr="00967531" w:rsidRDefault="008E5E30" w:rsidP="008E5E30">
      <w:pPr>
        <w:pStyle w:val="ListParagraph"/>
        <w:numPr>
          <w:ilvl w:val="0"/>
          <w:numId w:val="3"/>
        </w:numPr>
        <w:spacing w:after="80"/>
        <w:contextualSpacing w:val="0"/>
        <w:jc w:val="both"/>
        <w:rPr>
          <w:lang w:val="es-ES"/>
        </w:rPr>
      </w:pPr>
      <w:r>
        <w:rPr>
          <w:lang w:val="es-ES"/>
        </w:rPr>
        <w:t>Colectar la información cuantitativa.</w:t>
      </w:r>
    </w:p>
    <w:p w:rsidR="008E5E30" w:rsidRPr="002D1B02" w:rsidRDefault="008E5E30" w:rsidP="008E5E30">
      <w:pPr>
        <w:pStyle w:val="ListParagraph"/>
        <w:numPr>
          <w:ilvl w:val="0"/>
          <w:numId w:val="3"/>
        </w:numPr>
        <w:spacing w:after="80"/>
        <w:contextualSpacing w:val="0"/>
        <w:jc w:val="both"/>
        <w:rPr>
          <w:lang w:val="es-ES"/>
        </w:rPr>
      </w:pPr>
      <w:r w:rsidRPr="002D1B02">
        <w:rPr>
          <w:lang w:val="es-ES"/>
        </w:rPr>
        <w:t>Realizar la evaluación del logro de los objetivos y resultados del programa, que deberá abarcar las tres operaciones del mismo. La evaluación se focalizará en el logro de los objetivos y resultados del mismo.</w:t>
      </w:r>
    </w:p>
    <w:p w:rsidR="008E5E30" w:rsidRPr="002D1B02" w:rsidRDefault="008E5E30" w:rsidP="008E5E30">
      <w:pPr>
        <w:pStyle w:val="ListParagraph"/>
        <w:numPr>
          <w:ilvl w:val="0"/>
          <w:numId w:val="3"/>
        </w:numPr>
        <w:spacing w:after="80"/>
        <w:contextualSpacing w:val="0"/>
        <w:jc w:val="both"/>
        <w:rPr>
          <w:lang w:val="es-ES"/>
        </w:rPr>
      </w:pPr>
      <w:r w:rsidRPr="002D1B02">
        <w:rPr>
          <w:lang w:val="es-ES"/>
        </w:rPr>
        <w:t xml:space="preserve">Realizar la evaluación </w:t>
      </w:r>
      <w:r>
        <w:rPr>
          <w:lang w:val="es-ES"/>
        </w:rPr>
        <w:t>de impacto</w:t>
      </w:r>
      <w:r w:rsidRPr="002D1B02">
        <w:rPr>
          <w:lang w:val="es-ES"/>
        </w:rPr>
        <w:t xml:space="preserve"> ex post del Programa, </w:t>
      </w:r>
      <w:r>
        <w:rPr>
          <w:lang w:val="es-ES"/>
        </w:rPr>
        <w:t>utilizando el método de control sintético, con apoyo de la herramienta STATA.</w:t>
      </w:r>
    </w:p>
    <w:p w:rsidR="008E5E30" w:rsidRPr="002D1B02" w:rsidRDefault="008E5E30" w:rsidP="008E5E30">
      <w:pPr>
        <w:spacing w:before="240" w:after="240"/>
        <w:jc w:val="center"/>
        <w:rPr>
          <w:b/>
          <w:lang w:val="es-ES"/>
        </w:rPr>
      </w:pPr>
      <w:r w:rsidRPr="002D1B02">
        <w:rPr>
          <w:b/>
          <w:lang w:val="es-ES"/>
        </w:rPr>
        <w:t>III. PERFIL</w:t>
      </w:r>
      <w:r w:rsidRPr="002D1B02">
        <w:rPr>
          <w:rFonts w:ascii="Times New Roman Bold" w:hAnsi="Times New Roman Bold"/>
          <w:b/>
          <w:smallCaps/>
          <w:lang w:val="es-ES"/>
        </w:rPr>
        <w:t xml:space="preserve"> DEL CONSULTOR</w:t>
      </w:r>
    </w:p>
    <w:p w:rsidR="008E5E30" w:rsidRPr="002D1B02" w:rsidRDefault="008E5E30" w:rsidP="008E5E30">
      <w:pPr>
        <w:pStyle w:val="ListParagraph"/>
        <w:numPr>
          <w:ilvl w:val="0"/>
          <w:numId w:val="4"/>
        </w:numPr>
        <w:spacing w:after="80"/>
        <w:contextualSpacing w:val="0"/>
        <w:jc w:val="both"/>
        <w:rPr>
          <w:lang w:val="es-ES"/>
        </w:rPr>
      </w:pPr>
      <w:r w:rsidRPr="002D1B02">
        <w:rPr>
          <w:lang w:val="es-ES"/>
        </w:rPr>
        <w:t xml:space="preserve">Título universitario de economía. Estudios de Maestría en Economía, en Políticas Públicas, o en Transporte.  </w:t>
      </w:r>
    </w:p>
    <w:p w:rsidR="008E5E30" w:rsidRPr="002D1B02" w:rsidRDefault="008E5E30" w:rsidP="008E5E30">
      <w:pPr>
        <w:pStyle w:val="ListParagraph"/>
        <w:numPr>
          <w:ilvl w:val="0"/>
          <w:numId w:val="4"/>
        </w:numPr>
        <w:spacing w:after="80"/>
        <w:contextualSpacing w:val="0"/>
        <w:jc w:val="both"/>
        <w:rPr>
          <w:lang w:val="es-ES"/>
        </w:rPr>
      </w:pPr>
      <w:r w:rsidRPr="002D1B02">
        <w:rPr>
          <w:lang w:val="es-ES"/>
        </w:rPr>
        <w:t>Al menos 6 años de experiencia trabajando en la preparación y supervisión de proyectos en el sector público.</w:t>
      </w:r>
    </w:p>
    <w:p w:rsidR="008E5E30" w:rsidRPr="002D1B02" w:rsidRDefault="008E5E30" w:rsidP="008E5E30">
      <w:pPr>
        <w:pStyle w:val="ListParagraph"/>
        <w:numPr>
          <w:ilvl w:val="0"/>
          <w:numId w:val="4"/>
        </w:numPr>
        <w:jc w:val="both"/>
        <w:rPr>
          <w:lang w:val="es-ES"/>
        </w:rPr>
      </w:pPr>
      <w:r w:rsidRPr="002D1B02">
        <w:rPr>
          <w:lang w:val="es-ES"/>
        </w:rPr>
        <w:t>Experiencia relevante en materia de política, normativa o planificación del transporte trabajando en el sector público.</w:t>
      </w:r>
    </w:p>
    <w:p w:rsidR="008E5E30" w:rsidRPr="002D1B02" w:rsidRDefault="008E5E30" w:rsidP="008E5E30">
      <w:pPr>
        <w:pStyle w:val="ListParagraph"/>
        <w:numPr>
          <w:ilvl w:val="0"/>
          <w:numId w:val="4"/>
        </w:numPr>
        <w:tabs>
          <w:tab w:val="left" w:pos="840"/>
          <w:tab w:val="left" w:pos="1320"/>
          <w:tab w:val="left" w:pos="1800"/>
          <w:tab w:val="right" w:pos="2640"/>
          <w:tab w:val="left" w:pos="2880"/>
        </w:tabs>
        <w:spacing w:after="80"/>
        <w:contextualSpacing w:val="0"/>
        <w:jc w:val="both"/>
        <w:rPr>
          <w:lang w:val="es-ES"/>
        </w:rPr>
      </w:pPr>
      <w:r w:rsidRPr="002D1B02">
        <w:rPr>
          <w:lang w:val="es-ES"/>
        </w:rPr>
        <w:t>Experiencia en el diseño, ejecución, monitoreo o evaluación de préstamos programáticos.</w:t>
      </w:r>
    </w:p>
    <w:p w:rsidR="008E5E30" w:rsidRPr="002D1B02" w:rsidRDefault="008E5E30" w:rsidP="008E5E30">
      <w:pPr>
        <w:tabs>
          <w:tab w:val="center" w:pos="4680"/>
        </w:tabs>
        <w:spacing w:before="240" w:after="120"/>
        <w:jc w:val="center"/>
        <w:rPr>
          <w:b/>
          <w:lang w:val="es-ES"/>
        </w:rPr>
      </w:pPr>
      <w:r w:rsidRPr="002D1B02">
        <w:rPr>
          <w:b/>
          <w:lang w:val="es-ES"/>
        </w:rPr>
        <w:t>IV. PRODUCTOS</w:t>
      </w:r>
      <w:r w:rsidRPr="002D1B02">
        <w:rPr>
          <w:rFonts w:ascii="Times New Roman Bold" w:hAnsi="Times New Roman Bold"/>
          <w:b/>
          <w:smallCaps/>
          <w:lang w:val="es-ES"/>
        </w:rPr>
        <w:t xml:space="preserve"> ESPERADOS</w:t>
      </w:r>
    </w:p>
    <w:p w:rsidR="008E5E30" w:rsidRPr="002D1B02" w:rsidRDefault="008E5E30" w:rsidP="008E5E30">
      <w:pPr>
        <w:pStyle w:val="Paragraph"/>
        <w:tabs>
          <w:tab w:val="clear" w:pos="1440"/>
        </w:tabs>
        <w:spacing w:before="0"/>
        <w:ind w:left="0" w:firstLine="0"/>
        <w:outlineLvl w:val="9"/>
        <w:rPr>
          <w:bCs/>
          <w:szCs w:val="24"/>
          <w:lang w:val="es-ES"/>
        </w:rPr>
      </w:pPr>
      <w:r w:rsidRPr="002D1B02">
        <w:rPr>
          <w:bCs/>
          <w:szCs w:val="24"/>
          <w:lang w:val="es-ES"/>
        </w:rPr>
        <w:t>La consultoría generará los siguientes productos:</w:t>
      </w:r>
    </w:p>
    <w:p w:rsidR="008E5E30" w:rsidRPr="002D1B02" w:rsidRDefault="008E5E30" w:rsidP="008E5E30">
      <w:pPr>
        <w:numPr>
          <w:ilvl w:val="0"/>
          <w:numId w:val="5"/>
        </w:numPr>
        <w:jc w:val="both"/>
        <w:rPr>
          <w:lang w:val="es-ES"/>
        </w:rPr>
      </w:pPr>
      <w:r w:rsidRPr="002D1B02">
        <w:rPr>
          <w:lang w:val="es-ES"/>
        </w:rPr>
        <w:t xml:space="preserve">Informe de Evaluación, con texto y gráficos, con especial énfasis en lo que corresponde </w:t>
      </w:r>
      <w:r>
        <w:rPr>
          <w:lang w:val="es-ES"/>
        </w:rPr>
        <w:t>al impacto del indicador referente al aumento de las exportaciones de bienes y servicios.</w:t>
      </w:r>
      <w:r w:rsidRPr="002D1B02">
        <w:rPr>
          <w:lang w:val="es-ES"/>
        </w:rPr>
        <w:t xml:space="preserve"> </w:t>
      </w:r>
    </w:p>
    <w:p w:rsidR="008E5E30" w:rsidRPr="002D1B02" w:rsidRDefault="008E5E30" w:rsidP="008E5E30">
      <w:pPr>
        <w:pStyle w:val="Paragraph"/>
        <w:tabs>
          <w:tab w:val="clear" w:pos="1440"/>
        </w:tabs>
        <w:spacing w:before="0" w:after="0"/>
        <w:ind w:left="0" w:firstLine="0"/>
        <w:outlineLvl w:val="9"/>
        <w:rPr>
          <w:szCs w:val="24"/>
          <w:lang w:val="es-ES"/>
        </w:rPr>
      </w:pPr>
    </w:p>
    <w:p w:rsidR="008E5E30" w:rsidRDefault="008E5E30" w:rsidP="008E5E30">
      <w:pPr>
        <w:pStyle w:val="Paragraph"/>
        <w:tabs>
          <w:tab w:val="clear" w:pos="1440"/>
        </w:tabs>
        <w:spacing w:before="0" w:after="0"/>
        <w:ind w:left="0" w:firstLine="0"/>
        <w:outlineLvl w:val="9"/>
        <w:rPr>
          <w:szCs w:val="24"/>
          <w:lang w:val="es-ES"/>
        </w:rPr>
      </w:pPr>
      <w:r w:rsidRPr="002D1B02">
        <w:rPr>
          <w:szCs w:val="24"/>
          <w:lang w:val="es-ES"/>
        </w:rPr>
        <w:t>El informe será presentado conforme los formatos establecidos por el Banco para tales fines, tanto en versión impresa como digital.</w:t>
      </w:r>
    </w:p>
    <w:p w:rsidR="008E5E30" w:rsidRPr="002D1B02" w:rsidRDefault="008E5E30" w:rsidP="008E5E30">
      <w:pPr>
        <w:pStyle w:val="Paragraph"/>
        <w:tabs>
          <w:tab w:val="clear" w:pos="1440"/>
        </w:tabs>
        <w:spacing w:before="0" w:after="0"/>
        <w:ind w:left="0" w:firstLine="0"/>
        <w:outlineLvl w:val="9"/>
        <w:rPr>
          <w:szCs w:val="24"/>
          <w:lang w:val="es-ES"/>
        </w:rPr>
      </w:pPr>
    </w:p>
    <w:p w:rsidR="008E5E30" w:rsidRPr="002D1B02" w:rsidRDefault="008E5E30" w:rsidP="008E5E30">
      <w:pPr>
        <w:tabs>
          <w:tab w:val="center" w:pos="4680"/>
        </w:tabs>
        <w:spacing w:before="240" w:after="240"/>
        <w:jc w:val="center"/>
        <w:rPr>
          <w:b/>
          <w:lang w:val="es-ES"/>
        </w:rPr>
      </w:pPr>
      <w:r w:rsidRPr="002D1B02">
        <w:rPr>
          <w:b/>
          <w:lang w:val="es-ES"/>
        </w:rPr>
        <w:lastRenderedPageBreak/>
        <w:t xml:space="preserve">V. </w:t>
      </w:r>
      <w:r w:rsidRPr="002D1B02">
        <w:rPr>
          <w:rFonts w:ascii="Times New Roman Bold" w:hAnsi="Times New Roman Bold"/>
          <w:b/>
          <w:smallCaps/>
          <w:lang w:val="es-ES"/>
        </w:rPr>
        <w:t>LUGAR Y DURACI</w:t>
      </w:r>
      <w:r w:rsidRPr="002D1B02">
        <w:rPr>
          <w:rFonts w:ascii="Times New Roman Bold" w:hAnsi="Times New Roman Bold" w:hint="eastAsia"/>
          <w:b/>
          <w:smallCaps/>
          <w:lang w:val="es-ES"/>
        </w:rPr>
        <w:t>Ó</w:t>
      </w:r>
      <w:r w:rsidRPr="002D1B02">
        <w:rPr>
          <w:rFonts w:ascii="Times New Roman Bold" w:hAnsi="Times New Roman Bold"/>
          <w:b/>
          <w:smallCaps/>
          <w:lang w:val="es-ES"/>
        </w:rPr>
        <w:t>N DE LA CONSULTOR</w:t>
      </w:r>
      <w:r w:rsidRPr="002D1B02">
        <w:rPr>
          <w:rFonts w:ascii="Times New Roman Bold" w:hAnsi="Times New Roman Bold" w:hint="eastAsia"/>
          <w:b/>
          <w:smallCaps/>
          <w:lang w:val="es-ES"/>
        </w:rPr>
        <w:t>Í</w:t>
      </w:r>
      <w:r w:rsidRPr="002D1B02">
        <w:rPr>
          <w:rFonts w:ascii="Times New Roman Bold" w:hAnsi="Times New Roman Bold"/>
          <w:b/>
          <w:smallCaps/>
          <w:lang w:val="es-ES"/>
        </w:rPr>
        <w:t>A</w:t>
      </w:r>
    </w:p>
    <w:p w:rsidR="008E5E30" w:rsidRPr="002D1B02" w:rsidRDefault="008E5E30" w:rsidP="008E5E30">
      <w:pPr>
        <w:pStyle w:val="Paragraph"/>
        <w:tabs>
          <w:tab w:val="clear" w:pos="1440"/>
        </w:tabs>
        <w:spacing w:before="0" w:after="0"/>
        <w:ind w:left="0" w:firstLine="0"/>
        <w:outlineLvl w:val="9"/>
        <w:rPr>
          <w:szCs w:val="24"/>
          <w:lang w:val="es-ES"/>
        </w:rPr>
      </w:pPr>
      <w:r w:rsidRPr="002D1B02">
        <w:rPr>
          <w:szCs w:val="24"/>
          <w:lang w:val="es-ES"/>
        </w:rPr>
        <w:t xml:space="preserve">La consultoría se realizará en Panamá y el lugar de residencia del consultor. La duración de la consultoría será de 20 días no consecutivos. </w:t>
      </w:r>
    </w:p>
    <w:p w:rsidR="008E5E30" w:rsidRPr="002D1B02" w:rsidRDefault="008E5E30" w:rsidP="008E5E30">
      <w:pPr>
        <w:tabs>
          <w:tab w:val="center" w:pos="4680"/>
        </w:tabs>
        <w:spacing w:before="240" w:after="240"/>
        <w:jc w:val="center"/>
        <w:rPr>
          <w:b/>
          <w:lang w:val="es-ES"/>
        </w:rPr>
      </w:pPr>
      <w:r w:rsidRPr="002D1B02">
        <w:rPr>
          <w:b/>
          <w:lang w:val="es-ES"/>
        </w:rPr>
        <w:t xml:space="preserve">VI. </w:t>
      </w:r>
      <w:r w:rsidRPr="002D1B02">
        <w:rPr>
          <w:rFonts w:ascii="Times New Roman Bold" w:hAnsi="Times New Roman Bold"/>
          <w:b/>
          <w:smallCaps/>
          <w:lang w:val="es-ES"/>
        </w:rPr>
        <w:t>CONDICIONES DE PAGO</w:t>
      </w:r>
    </w:p>
    <w:p w:rsidR="008E5E30" w:rsidRPr="002D1B02" w:rsidRDefault="008E5E30" w:rsidP="008E5E30">
      <w:pPr>
        <w:pStyle w:val="Paragraph"/>
        <w:tabs>
          <w:tab w:val="clear" w:pos="1440"/>
        </w:tabs>
        <w:spacing w:before="0"/>
        <w:ind w:left="0" w:firstLine="0"/>
        <w:outlineLvl w:val="9"/>
        <w:rPr>
          <w:bCs/>
          <w:szCs w:val="24"/>
          <w:lang w:val="es-ES"/>
        </w:rPr>
      </w:pPr>
      <w:r w:rsidRPr="002D1B02">
        <w:rPr>
          <w:bCs/>
          <w:szCs w:val="24"/>
          <w:lang w:val="es-ES"/>
        </w:rPr>
        <w:t>Los pagos al consultor individual se realizarán de la siguiente manera:</w:t>
      </w:r>
    </w:p>
    <w:p w:rsidR="008E5E30" w:rsidRPr="002D1B02" w:rsidRDefault="008E5E30" w:rsidP="008E5E30">
      <w:pPr>
        <w:pStyle w:val="ListParagraph"/>
        <w:numPr>
          <w:ilvl w:val="0"/>
          <w:numId w:val="6"/>
        </w:numPr>
        <w:spacing w:after="80"/>
        <w:contextualSpacing w:val="0"/>
        <w:jc w:val="both"/>
        <w:rPr>
          <w:lang w:val="es-ES"/>
        </w:rPr>
      </w:pPr>
      <w:r w:rsidRPr="002D1B02">
        <w:rPr>
          <w:lang w:val="es-ES"/>
        </w:rPr>
        <w:t xml:space="preserve">Un primer pago de 30% del monto del contrato 15 días después de la firma del mismo, contra entrega del primer informe a satisfacción del Banco. </w:t>
      </w:r>
    </w:p>
    <w:p w:rsidR="008E5E30" w:rsidRPr="002D1B02" w:rsidRDefault="008E5E30" w:rsidP="008E5E30">
      <w:pPr>
        <w:pStyle w:val="ListParagraph"/>
        <w:numPr>
          <w:ilvl w:val="0"/>
          <w:numId w:val="6"/>
        </w:numPr>
        <w:spacing w:after="80"/>
        <w:contextualSpacing w:val="0"/>
        <w:jc w:val="both"/>
        <w:rPr>
          <w:lang w:val="es-ES"/>
        </w:rPr>
      </w:pPr>
      <w:r w:rsidRPr="002D1B02">
        <w:rPr>
          <w:lang w:val="es-ES"/>
        </w:rPr>
        <w:t>Un segundo pago 30% a la entrega y aprobación del informe intermedio a satisfacción del Banco.</w:t>
      </w:r>
    </w:p>
    <w:p w:rsidR="008E5E30" w:rsidRPr="002D1B02" w:rsidRDefault="008E5E30" w:rsidP="008E5E30">
      <w:pPr>
        <w:pStyle w:val="ListParagraph"/>
        <w:numPr>
          <w:ilvl w:val="0"/>
          <w:numId w:val="6"/>
        </w:numPr>
        <w:spacing w:after="80"/>
        <w:contextualSpacing w:val="0"/>
        <w:jc w:val="both"/>
        <w:rPr>
          <w:lang w:val="es-ES"/>
        </w:rPr>
      </w:pPr>
      <w:r w:rsidRPr="002D1B02">
        <w:rPr>
          <w:lang w:val="es-ES"/>
        </w:rPr>
        <w:t>Un pago final de 40% a la entrega y aprobación del informe final a satisfacción del Banco.</w:t>
      </w:r>
    </w:p>
    <w:p w:rsidR="008E5E30" w:rsidRPr="002D1B02" w:rsidRDefault="008E5E30" w:rsidP="008E5E30">
      <w:pPr>
        <w:tabs>
          <w:tab w:val="center" w:pos="4680"/>
        </w:tabs>
        <w:spacing w:before="240" w:after="120"/>
        <w:jc w:val="center"/>
        <w:rPr>
          <w:b/>
          <w:lang w:val="es-ES"/>
        </w:rPr>
      </w:pPr>
      <w:r w:rsidRPr="002D1B02">
        <w:rPr>
          <w:b/>
          <w:lang w:val="es-ES"/>
        </w:rPr>
        <w:t>VII. SUPERVISIÓN</w:t>
      </w:r>
      <w:r w:rsidRPr="002D1B02">
        <w:rPr>
          <w:rFonts w:ascii="Times New Roman Bold" w:hAnsi="Times New Roman Bold"/>
          <w:b/>
          <w:smallCaps/>
          <w:lang w:val="es-ES"/>
        </w:rPr>
        <w:t xml:space="preserve"> O COORDINACI</w:t>
      </w:r>
      <w:r w:rsidRPr="002D1B02">
        <w:rPr>
          <w:rFonts w:ascii="Times New Roman Bold" w:hAnsi="Times New Roman Bold" w:hint="eastAsia"/>
          <w:b/>
          <w:smallCaps/>
          <w:lang w:val="es-ES"/>
        </w:rPr>
        <w:t>Ó</w:t>
      </w:r>
      <w:r w:rsidRPr="002D1B02">
        <w:rPr>
          <w:rFonts w:ascii="Times New Roman Bold" w:hAnsi="Times New Roman Bold"/>
          <w:b/>
          <w:smallCaps/>
          <w:lang w:val="es-ES"/>
        </w:rPr>
        <w:t>N</w:t>
      </w:r>
    </w:p>
    <w:p w:rsidR="008E5E30" w:rsidRPr="002D1B02" w:rsidRDefault="008E5E30" w:rsidP="008E5E30">
      <w:pPr>
        <w:pStyle w:val="Paragraph"/>
        <w:tabs>
          <w:tab w:val="clear" w:pos="1440"/>
        </w:tabs>
        <w:spacing w:before="0" w:after="0"/>
        <w:ind w:left="0" w:firstLine="0"/>
        <w:outlineLvl w:val="9"/>
        <w:rPr>
          <w:bCs/>
          <w:szCs w:val="24"/>
          <w:lang w:val="es-ES"/>
        </w:rPr>
      </w:pPr>
      <w:r w:rsidRPr="002D1B02">
        <w:rPr>
          <w:bCs/>
          <w:szCs w:val="24"/>
          <w:lang w:val="es-ES"/>
        </w:rPr>
        <w:t>La coordinación de la consultoría estará a cargo del jefe de proyecto.</w:t>
      </w:r>
    </w:p>
    <w:p w:rsidR="008E5E30" w:rsidRPr="00110F7A" w:rsidRDefault="008E5E30" w:rsidP="008E5E30">
      <w:pPr>
        <w:pStyle w:val="ListParagraph"/>
        <w:shd w:val="clear" w:color="auto" w:fill="FFFFFF"/>
        <w:spacing w:before="120" w:after="120"/>
        <w:ind w:left="0"/>
        <w:contextualSpacing w:val="0"/>
        <w:jc w:val="both"/>
        <w:rPr>
          <w:color w:val="000000"/>
          <w:lang w:val="es-ES"/>
        </w:rPr>
      </w:pPr>
    </w:p>
    <w:sectPr w:rsidR="008E5E30" w:rsidRPr="00110F7A" w:rsidSect="00546746">
      <w:headerReference w:type="default" r:id="rId28"/>
      <w:pgSz w:w="12240" w:h="15840"/>
      <w:pgMar w:top="1440" w:right="1800" w:bottom="900" w:left="180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63CD" w:rsidRDefault="001E63CD" w:rsidP="00530A6E">
      <w:r>
        <w:separator/>
      </w:r>
    </w:p>
  </w:endnote>
  <w:endnote w:type="continuationSeparator" w:id="0">
    <w:p w:rsidR="001E63CD" w:rsidRDefault="001E63CD" w:rsidP="00530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63CD" w:rsidRDefault="001E63CD" w:rsidP="00530A6E">
      <w:r>
        <w:separator/>
      </w:r>
    </w:p>
  </w:footnote>
  <w:footnote w:type="continuationSeparator" w:id="0">
    <w:p w:rsidR="001E63CD" w:rsidRDefault="001E63CD" w:rsidP="00530A6E">
      <w:r>
        <w:continuationSeparator/>
      </w:r>
    </w:p>
  </w:footnote>
  <w:footnote w:id="1">
    <w:p w:rsidR="001E63CD" w:rsidRPr="00586BDE" w:rsidRDefault="001E63CD">
      <w:pPr>
        <w:pStyle w:val="FootnoteText"/>
        <w:rPr>
          <w:lang w:val="es-ES"/>
        </w:rPr>
      </w:pPr>
      <w:r>
        <w:rPr>
          <w:rStyle w:val="FootnoteReference"/>
        </w:rPr>
        <w:footnoteRef/>
      </w:r>
      <w:r w:rsidRPr="00586BDE">
        <w:rPr>
          <w:lang w:val="es-ES"/>
        </w:rPr>
        <w:t xml:space="preserve"> </w:t>
      </w:r>
      <w:hyperlink r:id="rId1" w:history="1">
        <w:r w:rsidRPr="00586BDE">
          <w:rPr>
            <w:rStyle w:val="Hyperlink"/>
            <w:lang w:val="es-ES"/>
          </w:rPr>
          <w:t>Impacto del sector logístico no se refleja a lo interno del país</w:t>
        </w:r>
      </w:hyperlink>
    </w:p>
  </w:footnote>
  <w:footnote w:id="2">
    <w:p w:rsidR="001E63CD" w:rsidRPr="006B5C00" w:rsidRDefault="001E63CD" w:rsidP="008E4A17">
      <w:pPr>
        <w:pStyle w:val="FootnoteText"/>
        <w:contextualSpacing/>
        <w:jc w:val="both"/>
        <w:rPr>
          <w:sz w:val="18"/>
          <w:szCs w:val="18"/>
          <w:lang w:val="es-ES"/>
        </w:rPr>
      </w:pPr>
      <w:r w:rsidRPr="006B5C00">
        <w:rPr>
          <w:rStyle w:val="FootnoteReference"/>
          <w:rFonts w:eastAsiaTheme="majorEastAsia"/>
          <w:sz w:val="18"/>
          <w:szCs w:val="18"/>
        </w:rPr>
        <w:footnoteRef/>
      </w:r>
      <w:r w:rsidRPr="006B5C00">
        <w:rPr>
          <w:sz w:val="18"/>
          <w:szCs w:val="18"/>
          <w:lang w:val="es-ES"/>
        </w:rPr>
        <w:t xml:space="preserve"> Según datos de la Contraloría de la República las exportaciones de productos nacionales se ha reducido en los últimos años. Se espera que una vez implementadas las políticas de la presente operación, las exportaciones crezcan al menos al mismo ritmo de aumento del PIB.  Las tasa de crecimiento estimado del PIB entre 2018 y 2020 es de 6.5%.(MEF)   </w:t>
      </w:r>
    </w:p>
  </w:footnote>
  <w:footnote w:id="3">
    <w:p w:rsidR="001E63CD" w:rsidRPr="0024341F" w:rsidRDefault="001E63CD" w:rsidP="006B5C00">
      <w:pPr>
        <w:ind w:hanging="18"/>
        <w:contextualSpacing/>
        <w:jc w:val="both"/>
        <w:rPr>
          <w:rFonts w:ascii="Arial" w:hAnsi="Arial" w:cs="Arial"/>
          <w:sz w:val="18"/>
          <w:szCs w:val="20"/>
          <w:lang w:val="es-ES_tradnl"/>
        </w:rPr>
      </w:pPr>
      <w:r w:rsidRPr="006B5C00">
        <w:rPr>
          <w:rStyle w:val="FootnoteReference"/>
          <w:rFonts w:eastAsiaTheme="majorEastAsia"/>
          <w:sz w:val="18"/>
          <w:szCs w:val="18"/>
        </w:rPr>
        <w:footnoteRef/>
      </w:r>
      <w:r w:rsidRPr="006B5C00">
        <w:rPr>
          <w:sz w:val="18"/>
          <w:szCs w:val="18"/>
          <w:lang w:val="es-BO"/>
        </w:rPr>
        <w:t xml:space="preserve"> </w:t>
      </w:r>
      <w:r w:rsidRPr="006B5C00">
        <w:rPr>
          <w:sz w:val="18"/>
          <w:szCs w:val="18"/>
          <w:lang w:val="es-ES_tradnl"/>
        </w:rPr>
        <w:t>Línea de Base: disciplinas logísticas demandadas que son  impartidas en el país = 29 (13 universitarias, 13 vocacionales y 3 cursos cortos)</w:t>
      </w:r>
    </w:p>
  </w:footnote>
  <w:footnote w:id="4">
    <w:p w:rsidR="001E63CD" w:rsidRPr="00110F7A" w:rsidRDefault="001E63CD" w:rsidP="00EC58FE">
      <w:pPr>
        <w:pStyle w:val="FootnoteText"/>
        <w:rPr>
          <w:lang w:val="es-ES"/>
        </w:rPr>
      </w:pPr>
      <w:r>
        <w:rPr>
          <w:rStyle w:val="FootnoteReference"/>
        </w:rPr>
        <w:footnoteRef/>
      </w:r>
      <w:r>
        <w:rPr>
          <w:lang w:val="es-ES"/>
        </w:rPr>
        <w:t>Una análisis de atribución sirve para evaluar e</w:t>
      </w:r>
      <w:r w:rsidRPr="00110F7A">
        <w:rPr>
          <w:lang w:val="es-ES"/>
        </w:rPr>
        <w:t xml:space="preserve">l grado hasta el cual el cambio observado en el resultado es producto de la intervención, habiéndose permitido todos los demás factores que también hubieran podido afectar el (los) resultado(s) esperados.  </w:t>
      </w:r>
    </w:p>
  </w:footnote>
  <w:footnote w:id="5">
    <w:p w:rsidR="001E63CD" w:rsidRPr="008A02B3" w:rsidRDefault="001E63CD" w:rsidP="00B04502">
      <w:pPr>
        <w:pStyle w:val="FootnoteText"/>
        <w:ind w:left="180" w:hanging="180"/>
        <w:rPr>
          <w:rFonts w:ascii="Arial" w:hAnsi="Arial" w:cs="Arial"/>
          <w:sz w:val="18"/>
          <w:lang w:val="es-ES_tradnl"/>
        </w:rPr>
      </w:pPr>
      <w:r w:rsidRPr="00AD2019">
        <w:rPr>
          <w:rStyle w:val="FootnoteReference"/>
          <w:rFonts w:ascii="Arial" w:eastAsiaTheme="majorEastAsia" w:hAnsi="Arial" w:cs="Arial"/>
          <w:sz w:val="18"/>
        </w:rPr>
        <w:footnoteRef/>
      </w:r>
      <w:r w:rsidRPr="008A02B3">
        <w:rPr>
          <w:rFonts w:ascii="Arial" w:hAnsi="Arial" w:cs="Arial"/>
          <w:sz w:val="18"/>
          <w:lang w:val="es-ES_tradnl"/>
        </w:rPr>
        <w:t xml:space="preserve">  </w:t>
      </w:r>
      <w:r w:rsidRPr="00A147A9">
        <w:rPr>
          <w:sz w:val="18"/>
          <w:lang w:val="es-ES_tradnl"/>
        </w:rPr>
        <w:t>PIB estimado para 2015. Fuente del Banco Mundial.</w:t>
      </w:r>
    </w:p>
  </w:footnote>
  <w:footnote w:id="6">
    <w:p w:rsidR="001E63CD" w:rsidRPr="00CB609D" w:rsidRDefault="001E63CD">
      <w:pPr>
        <w:pStyle w:val="FootnoteText"/>
        <w:rPr>
          <w:lang w:val="es-BO"/>
        </w:rPr>
      </w:pPr>
      <w:r>
        <w:rPr>
          <w:rStyle w:val="FootnoteReference"/>
        </w:rPr>
        <w:footnoteRef/>
      </w:r>
      <w:r w:rsidRPr="00CB609D">
        <w:rPr>
          <w:lang w:val="es-BO"/>
        </w:rPr>
        <w:t xml:space="preserve"> </w:t>
      </w:r>
      <w:r>
        <w:rPr>
          <w:lang w:val="es-ES_tradnl" w:eastAsia="es-ES"/>
        </w:rPr>
        <w:t xml:space="preserve">En este caso, el criterio de </w:t>
      </w:r>
      <w:r w:rsidRPr="007C1FE0">
        <w:rPr>
          <w:lang w:val="es-ES_tradnl" w:eastAsia="es-ES"/>
        </w:rPr>
        <w:t>eficiencia se evalúa pero no se califica</w:t>
      </w:r>
      <w:r>
        <w:rPr>
          <w:lang w:val="es-ES_tradnl" w:eastAsia="es-ES"/>
        </w:rPr>
        <w:t xml:space="preserve"> al ser un programático</w:t>
      </w:r>
    </w:p>
  </w:footnote>
  <w:footnote w:id="7">
    <w:p w:rsidR="001E63CD" w:rsidRPr="001E63CD" w:rsidRDefault="001E63CD" w:rsidP="005852B3">
      <w:pPr>
        <w:pStyle w:val="FootnoteText"/>
      </w:pPr>
      <w:r>
        <w:rPr>
          <w:rStyle w:val="FootnoteReference"/>
        </w:rPr>
        <w:footnoteRef/>
      </w:r>
      <w:r w:rsidRPr="006F4A88">
        <w:rPr>
          <w:lang w:val="es-ES"/>
        </w:rPr>
        <w:t xml:space="preserve"> En 2014 el PIB de Panamá fue de aproximadamente US$ 46,2 MM. </w:t>
      </w:r>
      <w:r>
        <w:rPr>
          <w:lang w:val="es-ES"/>
        </w:rPr>
        <w:t xml:space="preserve"> </w:t>
      </w:r>
      <w:hyperlink r:id="rId2" w:history="1">
        <w:r w:rsidRPr="001E63CD">
          <w:rPr>
            <w:rStyle w:val="Hyperlink"/>
          </w:rPr>
          <w:t>http://www.bancomundial.org/es/country/panama</w:t>
        </w:r>
      </w:hyperlink>
    </w:p>
  </w:footnote>
  <w:footnote w:id="8">
    <w:p w:rsidR="001E63CD" w:rsidRPr="00ED552A" w:rsidRDefault="001E63CD" w:rsidP="005852B3">
      <w:pPr>
        <w:pStyle w:val="FootnoteText"/>
      </w:pPr>
      <w:r>
        <w:rPr>
          <w:rStyle w:val="FootnoteReference"/>
        </w:rPr>
        <w:footnoteRef/>
      </w:r>
      <w:r w:rsidRPr="00ED552A">
        <w:t xml:space="preserve"> </w:t>
      </w:r>
      <w:hyperlink r:id="rId3" w:history="1">
        <w:r w:rsidRPr="00ED552A">
          <w:rPr>
            <w:rStyle w:val="Hyperlink"/>
          </w:rPr>
          <w:t>http://www.teinteresa.es/dinero/Canal-Panama-cifras_0_1063694938.html</w:t>
        </w:r>
      </w:hyperlink>
    </w:p>
  </w:footnote>
  <w:footnote w:id="9">
    <w:p w:rsidR="001E63CD" w:rsidRPr="00535E71" w:rsidRDefault="001E63CD" w:rsidP="005852B3">
      <w:pPr>
        <w:pStyle w:val="FootnoteText"/>
        <w:rPr>
          <w:lang w:val="es-ES"/>
        </w:rPr>
      </w:pPr>
      <w:r>
        <w:rPr>
          <w:rStyle w:val="FootnoteReference"/>
        </w:rPr>
        <w:footnoteRef/>
      </w:r>
      <w:r w:rsidRPr="00535E71">
        <w:rPr>
          <w:lang w:val="es-ES"/>
        </w:rPr>
        <w:t xml:space="preserve"> </w:t>
      </w:r>
      <w:r>
        <w:rPr>
          <w:lang w:val="es-ES"/>
        </w:rPr>
        <w:t>Como por ejemplo: (i) distribución regional y postergación de productos de consumo masivo; y (ii) postergación de bienes de consumo.</w:t>
      </w:r>
    </w:p>
  </w:footnote>
  <w:footnote w:id="10">
    <w:p w:rsidR="001E63CD" w:rsidRPr="00ED552A" w:rsidRDefault="001E63CD" w:rsidP="005852B3">
      <w:pPr>
        <w:pStyle w:val="FootnoteText"/>
      </w:pPr>
      <w:r>
        <w:rPr>
          <w:rStyle w:val="FootnoteReference"/>
        </w:rPr>
        <w:footnoteRef/>
      </w:r>
      <w:r w:rsidRPr="006F4A88">
        <w:rPr>
          <w:lang w:val="es-ES"/>
        </w:rPr>
        <w:t xml:space="preserve"> Su bandera ofrece las ventajas de registro más fácil (a menudo en línea) y la capacidad para emplear mano de obra extranjera más barata. Además los propietarios extranjeros no pagan impuestos sobre la renta.</w:t>
      </w:r>
      <w:r>
        <w:rPr>
          <w:lang w:val="es-ES"/>
        </w:rPr>
        <w:t xml:space="preserve"> </w:t>
      </w:r>
      <w:hyperlink r:id="rId4" w:history="1">
        <w:r w:rsidRPr="00ED552A">
          <w:rPr>
            <w:rStyle w:val="Hyperlink"/>
          </w:rPr>
          <w:t>http://www.bbc.com/mundo/noticias/2014/08/140807_america_latina_barcos_bandera_panama_msd</w:t>
        </w:r>
      </w:hyperlink>
    </w:p>
  </w:footnote>
  <w:footnote w:id="11">
    <w:p w:rsidR="001E63CD" w:rsidRPr="00842A17" w:rsidRDefault="001E63CD" w:rsidP="005852B3">
      <w:pPr>
        <w:pStyle w:val="FootnoteText"/>
        <w:ind w:hanging="180"/>
        <w:jc w:val="both"/>
        <w:rPr>
          <w:spacing w:val="-4"/>
          <w:sz w:val="19"/>
          <w:szCs w:val="19"/>
          <w:lang w:val="es-ES_tradnl"/>
        </w:rPr>
      </w:pPr>
      <w:r w:rsidRPr="00842A17">
        <w:rPr>
          <w:rStyle w:val="FootnoteReference"/>
          <w:spacing w:val="-4"/>
          <w:sz w:val="18"/>
          <w:szCs w:val="18"/>
        </w:rPr>
        <w:footnoteRef/>
      </w:r>
      <w:r w:rsidRPr="00842A17">
        <w:rPr>
          <w:spacing w:val="-4"/>
          <w:sz w:val="18"/>
          <w:szCs w:val="18"/>
          <w:lang w:val="es-ES_tradnl"/>
        </w:rPr>
        <w:t xml:space="preserve"> </w:t>
      </w:r>
      <w:r>
        <w:rPr>
          <w:spacing w:val="-4"/>
          <w:sz w:val="18"/>
          <w:szCs w:val="18"/>
          <w:lang w:val="es-ES_tradnl"/>
        </w:rPr>
        <w:t xml:space="preserve"> </w:t>
      </w:r>
      <w:r w:rsidRPr="00842A17">
        <w:rPr>
          <w:bCs/>
          <w:spacing w:val="-4"/>
          <w:sz w:val="18"/>
          <w:szCs w:val="18"/>
          <w:lang w:val="es-CO"/>
        </w:rPr>
        <w:t>El dé</w:t>
      </w:r>
      <w:r>
        <w:rPr>
          <w:bCs/>
          <w:spacing w:val="-4"/>
          <w:sz w:val="18"/>
          <w:szCs w:val="18"/>
          <w:lang w:val="es-CO"/>
        </w:rPr>
        <w:t xml:space="preserve">ficit </w:t>
      </w:r>
      <w:r w:rsidRPr="00842A17">
        <w:rPr>
          <w:bCs/>
          <w:spacing w:val="-4"/>
          <w:sz w:val="18"/>
          <w:szCs w:val="18"/>
          <w:lang w:val="es-CO"/>
        </w:rPr>
        <w:t xml:space="preserve">comercial se ha </w:t>
      </w:r>
      <w:r>
        <w:rPr>
          <w:bCs/>
          <w:spacing w:val="-4"/>
          <w:sz w:val="18"/>
          <w:szCs w:val="18"/>
          <w:lang w:val="es-CO"/>
        </w:rPr>
        <w:t>ampliado</w:t>
      </w:r>
      <w:r w:rsidRPr="00842A17">
        <w:rPr>
          <w:bCs/>
          <w:spacing w:val="-4"/>
          <w:sz w:val="18"/>
          <w:szCs w:val="18"/>
          <w:lang w:val="es-CO"/>
        </w:rPr>
        <w:t xml:space="preserve"> durante los últimos años por la reducción de exportaciones agrícolas</w:t>
      </w:r>
      <w:r w:rsidRPr="00842A17">
        <w:rPr>
          <w:spacing w:val="-4"/>
          <w:sz w:val="18"/>
          <w:szCs w:val="18"/>
          <w:lang w:val="es-CO"/>
        </w:rPr>
        <w:t xml:space="preserve">, </w:t>
      </w:r>
      <w:r w:rsidRPr="00842A17">
        <w:rPr>
          <w:spacing w:val="-4"/>
          <w:sz w:val="18"/>
          <w:szCs w:val="18"/>
          <w:lang w:val="es-ES_tradnl"/>
        </w:rPr>
        <w:t>Instituto Nacional de Estadística y Censo de la Contraloría del Gobierno de Panamá (</w:t>
      </w:r>
      <w:proofErr w:type="spellStart"/>
      <w:r w:rsidRPr="00842A17">
        <w:rPr>
          <w:spacing w:val="-4"/>
          <w:sz w:val="18"/>
          <w:szCs w:val="18"/>
          <w:lang w:val="es-ES_tradnl"/>
        </w:rPr>
        <w:t>GdP</w:t>
      </w:r>
      <w:proofErr w:type="spellEnd"/>
      <w:r w:rsidRPr="00842A17">
        <w:rPr>
          <w:spacing w:val="-4"/>
          <w:sz w:val="18"/>
          <w:szCs w:val="18"/>
          <w:lang w:val="es-ES_tradnl"/>
        </w:rPr>
        <w:t>) (2014).</w:t>
      </w:r>
      <w:r w:rsidRPr="00842A17">
        <w:rPr>
          <w:spacing w:val="-4"/>
          <w:sz w:val="19"/>
          <w:szCs w:val="19"/>
          <w:lang w:val="es-ES_tradnl"/>
        </w:rPr>
        <w:t xml:space="preserve"> </w:t>
      </w:r>
    </w:p>
  </w:footnote>
  <w:footnote w:id="12">
    <w:p w:rsidR="001E63CD" w:rsidRPr="0082292D" w:rsidRDefault="001E63CD" w:rsidP="005852B3">
      <w:pPr>
        <w:pStyle w:val="FootnoteText"/>
        <w:rPr>
          <w:lang w:val="es-ES_tradnl"/>
        </w:rPr>
      </w:pPr>
      <w:r>
        <w:rPr>
          <w:rStyle w:val="FootnoteReference"/>
        </w:rPr>
        <w:footnoteRef/>
      </w:r>
      <w:r w:rsidRPr="0082292D">
        <w:rPr>
          <w:lang w:val="es-ES_tradnl"/>
        </w:rPr>
        <w:t xml:space="preserve"> </w:t>
      </w:r>
      <w:r w:rsidRPr="0082292D">
        <w:rPr>
          <w:color w:val="000000"/>
          <w:sz w:val="24"/>
          <w:szCs w:val="24"/>
          <w:lang w:val="es-ES"/>
        </w:rPr>
        <w:t>(</w:t>
      </w:r>
      <w:hyperlink r:id="rId5" w:history="1">
        <w:r w:rsidRPr="0082292D">
          <w:rPr>
            <w:rStyle w:val="Hyperlink"/>
            <w:lang w:val="es-ES"/>
          </w:rPr>
          <w:t>http://databank.worldbank.org/data/reports.aspx?source=2&amp;country=PAN&amp;series=&amp;period=#</w:t>
        </w:r>
      </w:hyperlink>
      <w:r w:rsidRPr="0082292D">
        <w:rPr>
          <w:color w:val="000000"/>
          <w:lang w:val="es-ES"/>
        </w:rPr>
        <w:t>)</w:t>
      </w:r>
      <w:r w:rsidRPr="0082292D">
        <w:rPr>
          <w:color w:val="000000"/>
          <w:sz w:val="24"/>
          <w:szCs w:val="24"/>
          <w:lang w:val="es-E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rPr>
      <w:id w:val="-307712577"/>
      <w:docPartObj>
        <w:docPartGallery w:val="Page Numbers (Top of Page)"/>
        <w:docPartUnique/>
      </w:docPartObj>
    </w:sdtPr>
    <w:sdtEndPr>
      <w:rPr>
        <w:sz w:val="24"/>
      </w:rPr>
    </w:sdtEndPr>
    <w:sdtContent>
      <w:p w:rsidR="001E63CD" w:rsidRPr="001641DD" w:rsidRDefault="001E63CD">
        <w:pPr>
          <w:pStyle w:val="Header"/>
          <w:jc w:val="right"/>
          <w:rPr>
            <w:sz w:val="22"/>
            <w:lang w:val="es-ES_tradnl"/>
          </w:rPr>
        </w:pPr>
        <w:r w:rsidRPr="001641DD">
          <w:rPr>
            <w:sz w:val="22"/>
            <w:lang w:val="es-ES_tradnl"/>
          </w:rPr>
          <w:t>Enl</w:t>
        </w:r>
        <w:r>
          <w:rPr>
            <w:sz w:val="22"/>
            <w:lang w:val="es-ES_tradnl"/>
          </w:rPr>
          <w:t xml:space="preserve">ace </w:t>
        </w:r>
        <w:r w:rsidRPr="00862FD4">
          <w:rPr>
            <w:sz w:val="22"/>
            <w:lang w:val="es-ES_tradnl"/>
          </w:rPr>
          <w:t>Electrónico Opcional #</w:t>
        </w:r>
        <w:r>
          <w:rPr>
            <w:sz w:val="22"/>
            <w:lang w:val="es-ES_tradnl"/>
          </w:rPr>
          <w:t>3 – PN-L1119</w:t>
        </w:r>
      </w:p>
      <w:p w:rsidR="001E63CD" w:rsidRPr="001641DD" w:rsidRDefault="001E63CD" w:rsidP="001641DD">
        <w:pPr>
          <w:pStyle w:val="Header"/>
          <w:jc w:val="right"/>
          <w:rPr>
            <w:lang w:val="es-ES_tradnl"/>
          </w:rPr>
        </w:pPr>
        <w:r w:rsidRPr="001641DD">
          <w:rPr>
            <w:sz w:val="22"/>
            <w:lang w:val="es-ES_tradnl"/>
          </w:rPr>
          <w:t xml:space="preserve">Página </w:t>
        </w:r>
        <w:r w:rsidRPr="001641DD">
          <w:rPr>
            <w:bCs/>
            <w:sz w:val="22"/>
          </w:rPr>
          <w:fldChar w:fldCharType="begin"/>
        </w:r>
        <w:r w:rsidRPr="001641DD">
          <w:rPr>
            <w:bCs/>
            <w:sz w:val="22"/>
            <w:lang w:val="es-ES_tradnl"/>
          </w:rPr>
          <w:instrText xml:space="preserve"> PAGE </w:instrText>
        </w:r>
        <w:r w:rsidRPr="001641DD">
          <w:rPr>
            <w:bCs/>
            <w:sz w:val="22"/>
          </w:rPr>
          <w:fldChar w:fldCharType="separate"/>
        </w:r>
        <w:r w:rsidR="00C00771">
          <w:rPr>
            <w:bCs/>
            <w:noProof/>
            <w:sz w:val="22"/>
            <w:lang w:val="es-ES_tradnl"/>
          </w:rPr>
          <w:t>30</w:t>
        </w:r>
        <w:r w:rsidRPr="001641DD">
          <w:rPr>
            <w:bCs/>
            <w:sz w:val="22"/>
          </w:rPr>
          <w:fldChar w:fldCharType="end"/>
        </w:r>
        <w:r w:rsidRPr="001641DD">
          <w:rPr>
            <w:sz w:val="22"/>
            <w:lang w:val="es-ES_tradnl"/>
          </w:rPr>
          <w:t xml:space="preserve"> de </w:t>
        </w:r>
        <w:r w:rsidRPr="001641DD">
          <w:rPr>
            <w:bCs/>
            <w:sz w:val="22"/>
          </w:rPr>
          <w:fldChar w:fldCharType="begin"/>
        </w:r>
        <w:r w:rsidRPr="001641DD">
          <w:rPr>
            <w:bCs/>
            <w:sz w:val="22"/>
            <w:lang w:val="es-ES_tradnl"/>
          </w:rPr>
          <w:instrText xml:space="preserve"> NUMPAGES  </w:instrText>
        </w:r>
        <w:r w:rsidRPr="001641DD">
          <w:rPr>
            <w:bCs/>
            <w:sz w:val="22"/>
          </w:rPr>
          <w:fldChar w:fldCharType="separate"/>
        </w:r>
        <w:r w:rsidR="00C00771">
          <w:rPr>
            <w:bCs/>
            <w:noProof/>
            <w:sz w:val="22"/>
            <w:lang w:val="es-ES_tradnl"/>
          </w:rPr>
          <w:t>35</w:t>
        </w:r>
        <w:r w:rsidRPr="001641DD">
          <w:rPr>
            <w:bCs/>
            <w:sz w:val="22"/>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7288E"/>
    <w:multiLevelType w:val="hybridMultilevel"/>
    <w:tmpl w:val="10B658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F66810"/>
    <w:multiLevelType w:val="multilevel"/>
    <w:tmpl w:val="C786EA86"/>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8363E5E"/>
    <w:multiLevelType w:val="hybridMultilevel"/>
    <w:tmpl w:val="02421B6A"/>
    <w:lvl w:ilvl="0" w:tplc="A87ACCC4">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nsid w:val="1A696274"/>
    <w:multiLevelType w:val="hybridMultilevel"/>
    <w:tmpl w:val="9C0267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F0141A"/>
    <w:multiLevelType w:val="hybridMultilevel"/>
    <w:tmpl w:val="9A16DA9A"/>
    <w:lvl w:ilvl="0" w:tplc="60C24A8C">
      <w:numFmt w:val="bullet"/>
      <w:lvlText w:val="-"/>
      <w:lvlJc w:val="left"/>
      <w:pPr>
        <w:ind w:left="720" w:hanging="360"/>
      </w:pPr>
      <w:rPr>
        <w:rFonts w:ascii="Cambria" w:eastAsia="Calibri" w:hAnsi="Cambri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D79533A"/>
    <w:multiLevelType w:val="multilevel"/>
    <w:tmpl w:val="FF560952"/>
    <w:lvl w:ilvl="0">
      <w:start w:val="1"/>
      <w:numFmt w:val="upperRoman"/>
      <w:pStyle w:val="FirstHeading"/>
      <w:lvlText w:val="%1."/>
      <w:lvlJc w:val="right"/>
      <w:pPr>
        <w:ind w:left="720" w:hanging="720"/>
      </w:pPr>
    </w:lvl>
    <w:lvl w:ilvl="1">
      <w:start w:val="1"/>
      <w:numFmt w:val="decimal"/>
      <w:pStyle w:val="SecHeading"/>
      <w:lvlText w:val="%2."/>
      <w:lvlJc w:val="left"/>
      <w:pPr>
        <w:tabs>
          <w:tab w:val="num" w:pos="1296"/>
        </w:tabs>
        <w:ind w:left="1296" w:hanging="576"/>
      </w:pPr>
    </w:lvl>
    <w:lvl w:ilvl="2">
      <w:start w:val="1"/>
      <w:numFmt w:val="lowerLetter"/>
      <w:pStyle w:val="SubHeading1"/>
      <w:lvlText w:val="%3)"/>
      <w:lvlJc w:val="left"/>
      <w:pPr>
        <w:tabs>
          <w:tab w:val="num" w:pos="666"/>
        </w:tabs>
        <w:ind w:left="666" w:hanging="576"/>
      </w:pPr>
    </w:lvl>
    <w:lvl w:ilvl="3">
      <w:start w:val="1"/>
      <w:numFmt w:val="lowerRoman"/>
      <w:pStyle w:val="Subheading2"/>
      <w:lvlText w:val="(%4)"/>
      <w:lvlJc w:val="right"/>
      <w:pPr>
        <w:tabs>
          <w:tab w:val="num" w:pos="2376"/>
        </w:tabs>
        <w:ind w:left="2376" w:hanging="288"/>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6">
    <w:nsid w:val="2260681E"/>
    <w:multiLevelType w:val="hybridMultilevel"/>
    <w:tmpl w:val="7B10A50C"/>
    <w:lvl w:ilvl="0" w:tplc="312E07C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880638"/>
    <w:multiLevelType w:val="hybridMultilevel"/>
    <w:tmpl w:val="4DBA7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AC1CAE"/>
    <w:multiLevelType w:val="hybridMultilevel"/>
    <w:tmpl w:val="0B96D57A"/>
    <w:lvl w:ilvl="0" w:tplc="F3802266">
      <w:start w:val="1"/>
      <w:numFmt w:val="lowerLetter"/>
      <w:lvlText w:val="%1."/>
      <w:lvlJc w:val="left"/>
      <w:pPr>
        <w:ind w:left="1267" w:hanging="360"/>
      </w:pPr>
      <w:rPr>
        <w:rFonts w:hint="default"/>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9">
    <w:nsid w:val="2763382C"/>
    <w:multiLevelType w:val="multilevel"/>
    <w:tmpl w:val="448E8F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2B5F0561"/>
    <w:multiLevelType w:val="hybridMultilevel"/>
    <w:tmpl w:val="6D0E36DE"/>
    <w:lvl w:ilvl="0" w:tplc="40D0D978">
      <w:start w:val="1"/>
      <w:numFmt w:val="lowerRoman"/>
      <w:lvlText w:val="%1)"/>
      <w:lvlJc w:val="left"/>
      <w:pPr>
        <w:ind w:left="1428" w:hanging="72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1">
    <w:nsid w:val="2B8C6053"/>
    <w:multiLevelType w:val="hybridMultilevel"/>
    <w:tmpl w:val="3550AE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EB519C0"/>
    <w:multiLevelType w:val="hybridMultilevel"/>
    <w:tmpl w:val="18B071C4"/>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nsid w:val="2FF90E25"/>
    <w:multiLevelType w:val="hybridMultilevel"/>
    <w:tmpl w:val="EAC8939C"/>
    <w:lvl w:ilvl="0" w:tplc="B3A8B3EC">
      <w:start w:val="1"/>
      <w:numFmt w:val="decimal"/>
      <w:lvlText w:val="%1."/>
      <w:lvlJc w:val="left"/>
      <w:pPr>
        <w:ind w:left="342" w:hanging="360"/>
      </w:pPr>
      <w:rPr>
        <w:rFonts w:hint="default"/>
      </w:rPr>
    </w:lvl>
    <w:lvl w:ilvl="1" w:tplc="04090019" w:tentative="1">
      <w:start w:val="1"/>
      <w:numFmt w:val="lowerLetter"/>
      <w:lvlText w:val="%2."/>
      <w:lvlJc w:val="left"/>
      <w:pPr>
        <w:ind w:left="1062" w:hanging="360"/>
      </w:pPr>
    </w:lvl>
    <w:lvl w:ilvl="2" w:tplc="0409001B" w:tentative="1">
      <w:start w:val="1"/>
      <w:numFmt w:val="lowerRoman"/>
      <w:lvlText w:val="%3."/>
      <w:lvlJc w:val="right"/>
      <w:pPr>
        <w:ind w:left="1782" w:hanging="180"/>
      </w:pPr>
    </w:lvl>
    <w:lvl w:ilvl="3" w:tplc="0409000F" w:tentative="1">
      <w:start w:val="1"/>
      <w:numFmt w:val="decimal"/>
      <w:lvlText w:val="%4."/>
      <w:lvlJc w:val="left"/>
      <w:pPr>
        <w:ind w:left="2502" w:hanging="360"/>
      </w:pPr>
    </w:lvl>
    <w:lvl w:ilvl="4" w:tplc="04090019" w:tentative="1">
      <w:start w:val="1"/>
      <w:numFmt w:val="lowerLetter"/>
      <w:lvlText w:val="%5."/>
      <w:lvlJc w:val="left"/>
      <w:pPr>
        <w:ind w:left="3222" w:hanging="360"/>
      </w:pPr>
    </w:lvl>
    <w:lvl w:ilvl="5" w:tplc="0409001B" w:tentative="1">
      <w:start w:val="1"/>
      <w:numFmt w:val="lowerRoman"/>
      <w:lvlText w:val="%6."/>
      <w:lvlJc w:val="right"/>
      <w:pPr>
        <w:ind w:left="3942" w:hanging="180"/>
      </w:pPr>
    </w:lvl>
    <w:lvl w:ilvl="6" w:tplc="0409000F" w:tentative="1">
      <w:start w:val="1"/>
      <w:numFmt w:val="decimal"/>
      <w:lvlText w:val="%7."/>
      <w:lvlJc w:val="left"/>
      <w:pPr>
        <w:ind w:left="4662" w:hanging="360"/>
      </w:pPr>
    </w:lvl>
    <w:lvl w:ilvl="7" w:tplc="04090019" w:tentative="1">
      <w:start w:val="1"/>
      <w:numFmt w:val="lowerLetter"/>
      <w:lvlText w:val="%8."/>
      <w:lvlJc w:val="left"/>
      <w:pPr>
        <w:ind w:left="5382" w:hanging="360"/>
      </w:pPr>
    </w:lvl>
    <w:lvl w:ilvl="8" w:tplc="0409001B" w:tentative="1">
      <w:start w:val="1"/>
      <w:numFmt w:val="lowerRoman"/>
      <w:lvlText w:val="%9."/>
      <w:lvlJc w:val="right"/>
      <w:pPr>
        <w:ind w:left="6102" w:hanging="180"/>
      </w:pPr>
    </w:lvl>
  </w:abstractNum>
  <w:abstractNum w:abstractNumId="14">
    <w:nsid w:val="3155475D"/>
    <w:multiLevelType w:val="hybridMultilevel"/>
    <w:tmpl w:val="2B70CE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2F2F02"/>
    <w:multiLevelType w:val="hybridMultilevel"/>
    <w:tmpl w:val="12BCFCBA"/>
    <w:lvl w:ilvl="0" w:tplc="ED627828">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nsid w:val="37AA2F28"/>
    <w:multiLevelType w:val="hybridMultilevel"/>
    <w:tmpl w:val="94D8A7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B130EA3"/>
    <w:multiLevelType w:val="hybridMultilevel"/>
    <w:tmpl w:val="D25A7E32"/>
    <w:lvl w:ilvl="0" w:tplc="400A0013">
      <w:start w:val="1"/>
      <w:numFmt w:val="upperRoman"/>
      <w:lvlText w:val="%1."/>
      <w:lvlJc w:val="right"/>
      <w:pPr>
        <w:ind w:left="1440" w:hanging="72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CAC5F34"/>
    <w:multiLevelType w:val="hybridMultilevel"/>
    <w:tmpl w:val="2AAEAE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B50475"/>
    <w:multiLevelType w:val="hybridMultilevel"/>
    <w:tmpl w:val="515C9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F76D6C"/>
    <w:multiLevelType w:val="hybridMultilevel"/>
    <w:tmpl w:val="2B70CE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D06C75"/>
    <w:multiLevelType w:val="hybridMultilevel"/>
    <w:tmpl w:val="12BCFCBA"/>
    <w:lvl w:ilvl="0" w:tplc="ED627828">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nsid w:val="49D816FB"/>
    <w:multiLevelType w:val="multilevel"/>
    <w:tmpl w:val="36DC049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4BCD4030"/>
    <w:multiLevelType w:val="hybridMultilevel"/>
    <w:tmpl w:val="B6D8FFD4"/>
    <w:lvl w:ilvl="0" w:tplc="57B2A878">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24">
    <w:nsid w:val="4CD01B46"/>
    <w:multiLevelType w:val="hybridMultilevel"/>
    <w:tmpl w:val="32D6C222"/>
    <w:lvl w:ilvl="0" w:tplc="278EB5B2">
      <w:start w:val="1"/>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51876F29"/>
    <w:multiLevelType w:val="multilevel"/>
    <w:tmpl w:val="36DC049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60816EAB"/>
    <w:multiLevelType w:val="multilevel"/>
    <w:tmpl w:val="4E8CCB82"/>
    <w:lvl w:ilvl="0">
      <w:start w:val="1"/>
      <w:numFmt w:val="upperRoman"/>
      <w:lvlText w:val="%1."/>
      <w:lvlJc w:val="left"/>
      <w:pPr>
        <w:ind w:left="1080" w:hanging="720"/>
      </w:pPr>
      <w:rPr>
        <w:rFonts w:hint="default"/>
        <w:b/>
      </w:rPr>
    </w:lvl>
    <w:lvl w:ilvl="1">
      <w:start w:val="1"/>
      <w:numFmt w:val="decimal"/>
      <w:isLgl/>
      <w:lvlText w:val="%1.%2"/>
      <w:lvlJc w:val="left"/>
      <w:pPr>
        <w:ind w:left="8550" w:hanging="360"/>
      </w:pPr>
      <w:rPr>
        <w:rFonts w:ascii="Times New Roman" w:hAnsi="Times New Roman" w:cs="Times New Roman" w:hint="default"/>
        <w:b w:val="0"/>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60B37666"/>
    <w:multiLevelType w:val="hybridMultilevel"/>
    <w:tmpl w:val="298A205E"/>
    <w:lvl w:ilvl="0" w:tplc="2F240136">
      <w:start w:val="1"/>
      <w:numFmt w:val="lowerLetter"/>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6A2D0E22"/>
    <w:multiLevelType w:val="hybridMultilevel"/>
    <w:tmpl w:val="D762847E"/>
    <w:lvl w:ilvl="0" w:tplc="400A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9">
    <w:nsid w:val="74C74592"/>
    <w:multiLevelType w:val="multilevel"/>
    <w:tmpl w:val="D68E96DE"/>
    <w:lvl w:ilvl="0">
      <w:start w:val="1"/>
      <w:numFmt w:val="upperRoman"/>
      <w:pStyle w:val="Heading1"/>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pStyle w:val="Heading3"/>
      <w:lvlText w:val="%3."/>
      <w:lvlJc w:val="left"/>
      <w:pPr>
        <w:tabs>
          <w:tab w:val="num" w:pos="1800"/>
        </w:tabs>
        <w:ind w:left="1440" w:firstLine="0"/>
      </w:pPr>
    </w:lvl>
    <w:lvl w:ilvl="3">
      <w:start w:val="1"/>
      <w:numFmt w:val="lowerLetter"/>
      <w:pStyle w:val="Heading4"/>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30">
    <w:nsid w:val="74D7371C"/>
    <w:multiLevelType w:val="hybridMultilevel"/>
    <w:tmpl w:val="65E44990"/>
    <w:lvl w:ilvl="0" w:tplc="909C4D14">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C010879"/>
    <w:multiLevelType w:val="hybridMultilevel"/>
    <w:tmpl w:val="7EB2D7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5"/>
  </w:num>
  <w:num w:numId="3">
    <w:abstractNumId w:val="18"/>
  </w:num>
  <w:num w:numId="4">
    <w:abstractNumId w:val="0"/>
  </w:num>
  <w:num w:numId="5">
    <w:abstractNumId w:val="31"/>
  </w:num>
  <w:num w:numId="6">
    <w:abstractNumId w:val="3"/>
  </w:num>
  <w:num w:numId="7">
    <w:abstractNumId w:val="17"/>
  </w:num>
  <w:num w:numId="8">
    <w:abstractNumId w:val="6"/>
  </w:num>
  <w:num w:numId="9">
    <w:abstractNumId w:val="14"/>
  </w:num>
  <w:num w:numId="10">
    <w:abstractNumId w:val="22"/>
  </w:num>
  <w:num w:numId="11">
    <w:abstractNumId w:val="21"/>
  </w:num>
  <w:num w:numId="12">
    <w:abstractNumId w:val="20"/>
  </w:num>
  <w:num w:numId="13">
    <w:abstractNumId w:val="26"/>
  </w:num>
  <w:num w:numId="14">
    <w:abstractNumId w:val="23"/>
  </w:num>
  <w:num w:numId="15">
    <w:abstractNumId w:val="24"/>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8"/>
  </w:num>
  <w:num w:numId="19">
    <w:abstractNumId w:val="27"/>
  </w:num>
  <w:num w:numId="20">
    <w:abstractNumId w:val="9"/>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1"/>
  </w:num>
  <w:num w:numId="34">
    <w:abstractNumId w:val="7"/>
  </w:num>
  <w:num w:numId="35">
    <w:abstractNumId w:val="11"/>
  </w:num>
  <w:num w:numId="36">
    <w:abstractNumId w:val="16"/>
  </w:num>
  <w:num w:numId="37">
    <w:abstractNumId w:val="30"/>
  </w:num>
  <w:num w:numId="38">
    <w:abstractNumId w:val="25"/>
  </w:num>
  <w:num w:numId="39">
    <w:abstractNumId w:val="12"/>
  </w:num>
  <w:num w:numId="40">
    <w:abstractNumId w:val="28"/>
  </w:num>
  <w:num w:numId="41">
    <w:abstractNumId w:val="4"/>
  </w:num>
  <w:num w:numId="42">
    <w:abstractNumId w:val="10"/>
  </w:num>
  <w:num w:numId="43">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AC3"/>
    <w:rsid w:val="00005C0E"/>
    <w:rsid w:val="0000675F"/>
    <w:rsid w:val="00010F47"/>
    <w:rsid w:val="00013939"/>
    <w:rsid w:val="00014D26"/>
    <w:rsid w:val="00015FDF"/>
    <w:rsid w:val="0002710C"/>
    <w:rsid w:val="00030889"/>
    <w:rsid w:val="00031C82"/>
    <w:rsid w:val="00043BD5"/>
    <w:rsid w:val="00052B85"/>
    <w:rsid w:val="00053E35"/>
    <w:rsid w:val="000605EA"/>
    <w:rsid w:val="00062A61"/>
    <w:rsid w:val="00062ECE"/>
    <w:rsid w:val="00066FD8"/>
    <w:rsid w:val="00067A0D"/>
    <w:rsid w:val="000721CB"/>
    <w:rsid w:val="00080E6B"/>
    <w:rsid w:val="000817FB"/>
    <w:rsid w:val="00086045"/>
    <w:rsid w:val="000947FF"/>
    <w:rsid w:val="00097AB2"/>
    <w:rsid w:val="000A063F"/>
    <w:rsid w:val="000A17AF"/>
    <w:rsid w:val="000A5FF0"/>
    <w:rsid w:val="000B0A6A"/>
    <w:rsid w:val="000B186A"/>
    <w:rsid w:val="000B2024"/>
    <w:rsid w:val="000B656A"/>
    <w:rsid w:val="000B6E87"/>
    <w:rsid w:val="000C3BE1"/>
    <w:rsid w:val="000C4727"/>
    <w:rsid w:val="000C6386"/>
    <w:rsid w:val="000C7A6C"/>
    <w:rsid w:val="000D17A6"/>
    <w:rsid w:val="000E583F"/>
    <w:rsid w:val="000E7A18"/>
    <w:rsid w:val="00100989"/>
    <w:rsid w:val="00107663"/>
    <w:rsid w:val="00107D44"/>
    <w:rsid w:val="0011098F"/>
    <w:rsid w:val="00110F7A"/>
    <w:rsid w:val="0011167D"/>
    <w:rsid w:val="00111AEE"/>
    <w:rsid w:val="001136F5"/>
    <w:rsid w:val="00117928"/>
    <w:rsid w:val="0012118F"/>
    <w:rsid w:val="0012414D"/>
    <w:rsid w:val="00131F49"/>
    <w:rsid w:val="00133551"/>
    <w:rsid w:val="001347A7"/>
    <w:rsid w:val="0014161E"/>
    <w:rsid w:val="001417F1"/>
    <w:rsid w:val="001468FE"/>
    <w:rsid w:val="001515E6"/>
    <w:rsid w:val="001530F4"/>
    <w:rsid w:val="00154610"/>
    <w:rsid w:val="0015621C"/>
    <w:rsid w:val="00160777"/>
    <w:rsid w:val="00160B02"/>
    <w:rsid w:val="001633A2"/>
    <w:rsid w:val="001641BB"/>
    <w:rsid w:val="001641DD"/>
    <w:rsid w:val="001743E5"/>
    <w:rsid w:val="00192BBB"/>
    <w:rsid w:val="001933FE"/>
    <w:rsid w:val="001957AE"/>
    <w:rsid w:val="00195FC2"/>
    <w:rsid w:val="001A1F50"/>
    <w:rsid w:val="001A57EC"/>
    <w:rsid w:val="001A67BC"/>
    <w:rsid w:val="001B054B"/>
    <w:rsid w:val="001B2D4B"/>
    <w:rsid w:val="001B4FED"/>
    <w:rsid w:val="001D45B1"/>
    <w:rsid w:val="001E2995"/>
    <w:rsid w:val="001E31CC"/>
    <w:rsid w:val="001E577D"/>
    <w:rsid w:val="001E63CD"/>
    <w:rsid w:val="001E7DC3"/>
    <w:rsid w:val="001F01A7"/>
    <w:rsid w:val="001F05F8"/>
    <w:rsid w:val="001F19D7"/>
    <w:rsid w:val="001F36D0"/>
    <w:rsid w:val="001F485A"/>
    <w:rsid w:val="00202900"/>
    <w:rsid w:val="002057D1"/>
    <w:rsid w:val="002063FA"/>
    <w:rsid w:val="0020705F"/>
    <w:rsid w:val="00215334"/>
    <w:rsid w:val="002177B7"/>
    <w:rsid w:val="0022066F"/>
    <w:rsid w:val="002211A9"/>
    <w:rsid w:val="00222644"/>
    <w:rsid w:val="0022270B"/>
    <w:rsid w:val="00223F4F"/>
    <w:rsid w:val="0023656F"/>
    <w:rsid w:val="00237567"/>
    <w:rsid w:val="00240631"/>
    <w:rsid w:val="00244D4B"/>
    <w:rsid w:val="00246FC9"/>
    <w:rsid w:val="00252416"/>
    <w:rsid w:val="0025681E"/>
    <w:rsid w:val="00261F8D"/>
    <w:rsid w:val="00263F58"/>
    <w:rsid w:val="00265D8F"/>
    <w:rsid w:val="00267C80"/>
    <w:rsid w:val="00271FDC"/>
    <w:rsid w:val="002736CF"/>
    <w:rsid w:val="00274390"/>
    <w:rsid w:val="00280DC2"/>
    <w:rsid w:val="00281268"/>
    <w:rsid w:val="00281AC3"/>
    <w:rsid w:val="00282FBD"/>
    <w:rsid w:val="00283322"/>
    <w:rsid w:val="00284D79"/>
    <w:rsid w:val="002949F4"/>
    <w:rsid w:val="00294FFB"/>
    <w:rsid w:val="00295D75"/>
    <w:rsid w:val="00296583"/>
    <w:rsid w:val="0029730E"/>
    <w:rsid w:val="002A056E"/>
    <w:rsid w:val="002A33C2"/>
    <w:rsid w:val="002B3102"/>
    <w:rsid w:val="002B792C"/>
    <w:rsid w:val="002C134D"/>
    <w:rsid w:val="002C3FFE"/>
    <w:rsid w:val="002C6AF3"/>
    <w:rsid w:val="002D1B02"/>
    <w:rsid w:val="002D1E15"/>
    <w:rsid w:val="002D680E"/>
    <w:rsid w:val="002E1F46"/>
    <w:rsid w:val="002E2C7A"/>
    <w:rsid w:val="002E3F77"/>
    <w:rsid w:val="002E46A5"/>
    <w:rsid w:val="002F0D17"/>
    <w:rsid w:val="002F50CB"/>
    <w:rsid w:val="002F5DD6"/>
    <w:rsid w:val="002F6F90"/>
    <w:rsid w:val="0030253E"/>
    <w:rsid w:val="003026EE"/>
    <w:rsid w:val="00302AB7"/>
    <w:rsid w:val="00305BF8"/>
    <w:rsid w:val="00306757"/>
    <w:rsid w:val="003123A6"/>
    <w:rsid w:val="0032663A"/>
    <w:rsid w:val="003515E9"/>
    <w:rsid w:val="00356FFF"/>
    <w:rsid w:val="003604CF"/>
    <w:rsid w:val="003750FA"/>
    <w:rsid w:val="0038164A"/>
    <w:rsid w:val="003822C0"/>
    <w:rsid w:val="00382F1F"/>
    <w:rsid w:val="00383BB2"/>
    <w:rsid w:val="0038441B"/>
    <w:rsid w:val="003854BB"/>
    <w:rsid w:val="003964FB"/>
    <w:rsid w:val="00396984"/>
    <w:rsid w:val="00396F81"/>
    <w:rsid w:val="003A36D4"/>
    <w:rsid w:val="003A5574"/>
    <w:rsid w:val="003A5826"/>
    <w:rsid w:val="003B0B3A"/>
    <w:rsid w:val="003B25D4"/>
    <w:rsid w:val="003B2E3C"/>
    <w:rsid w:val="003B374F"/>
    <w:rsid w:val="003B40CB"/>
    <w:rsid w:val="003B62A4"/>
    <w:rsid w:val="003B79A7"/>
    <w:rsid w:val="003C6E2A"/>
    <w:rsid w:val="003D5532"/>
    <w:rsid w:val="003E3BDC"/>
    <w:rsid w:val="003E68D0"/>
    <w:rsid w:val="003F2323"/>
    <w:rsid w:val="004016ED"/>
    <w:rsid w:val="00405174"/>
    <w:rsid w:val="004060BD"/>
    <w:rsid w:val="004064E5"/>
    <w:rsid w:val="00406B8C"/>
    <w:rsid w:val="00406EA6"/>
    <w:rsid w:val="0041011B"/>
    <w:rsid w:val="0041239D"/>
    <w:rsid w:val="0041339E"/>
    <w:rsid w:val="00414BEE"/>
    <w:rsid w:val="00416285"/>
    <w:rsid w:val="0042162C"/>
    <w:rsid w:val="00422B81"/>
    <w:rsid w:val="00422E5F"/>
    <w:rsid w:val="00424184"/>
    <w:rsid w:val="0042669F"/>
    <w:rsid w:val="00426E2F"/>
    <w:rsid w:val="00427FF6"/>
    <w:rsid w:val="00431177"/>
    <w:rsid w:val="004312E6"/>
    <w:rsid w:val="00444D9C"/>
    <w:rsid w:val="0044674F"/>
    <w:rsid w:val="00451BB6"/>
    <w:rsid w:val="00451BF2"/>
    <w:rsid w:val="00452F78"/>
    <w:rsid w:val="0045536F"/>
    <w:rsid w:val="00455860"/>
    <w:rsid w:val="004569C2"/>
    <w:rsid w:val="00461414"/>
    <w:rsid w:val="00463526"/>
    <w:rsid w:val="00465EA8"/>
    <w:rsid w:val="00466834"/>
    <w:rsid w:val="004670F6"/>
    <w:rsid w:val="00467806"/>
    <w:rsid w:val="0047412F"/>
    <w:rsid w:val="00477B70"/>
    <w:rsid w:val="00480F0A"/>
    <w:rsid w:val="00487E74"/>
    <w:rsid w:val="00490161"/>
    <w:rsid w:val="00491A40"/>
    <w:rsid w:val="004A0843"/>
    <w:rsid w:val="004A34BE"/>
    <w:rsid w:val="004A616F"/>
    <w:rsid w:val="004B0002"/>
    <w:rsid w:val="004B45D3"/>
    <w:rsid w:val="004C1B17"/>
    <w:rsid w:val="004C24A6"/>
    <w:rsid w:val="004C3EA9"/>
    <w:rsid w:val="004C651D"/>
    <w:rsid w:val="004C658A"/>
    <w:rsid w:val="004D1B8B"/>
    <w:rsid w:val="004D2882"/>
    <w:rsid w:val="004D32ED"/>
    <w:rsid w:val="004D3462"/>
    <w:rsid w:val="004D40E5"/>
    <w:rsid w:val="004D6B22"/>
    <w:rsid w:val="004F53DE"/>
    <w:rsid w:val="00500499"/>
    <w:rsid w:val="00501185"/>
    <w:rsid w:val="00502F0E"/>
    <w:rsid w:val="00506B35"/>
    <w:rsid w:val="0051105A"/>
    <w:rsid w:val="0051240D"/>
    <w:rsid w:val="00513F9F"/>
    <w:rsid w:val="00514DBD"/>
    <w:rsid w:val="005172F0"/>
    <w:rsid w:val="005177B2"/>
    <w:rsid w:val="00530A6E"/>
    <w:rsid w:val="00530EA8"/>
    <w:rsid w:val="00537521"/>
    <w:rsid w:val="005401BC"/>
    <w:rsid w:val="005408E3"/>
    <w:rsid w:val="00543F4F"/>
    <w:rsid w:val="00544C35"/>
    <w:rsid w:val="00546169"/>
    <w:rsid w:val="00546746"/>
    <w:rsid w:val="00547E9D"/>
    <w:rsid w:val="00550DB9"/>
    <w:rsid w:val="005552D8"/>
    <w:rsid w:val="005633A9"/>
    <w:rsid w:val="00566D4F"/>
    <w:rsid w:val="0057086D"/>
    <w:rsid w:val="00574C7F"/>
    <w:rsid w:val="00575B19"/>
    <w:rsid w:val="00576462"/>
    <w:rsid w:val="005770E5"/>
    <w:rsid w:val="00580214"/>
    <w:rsid w:val="00583036"/>
    <w:rsid w:val="00583C33"/>
    <w:rsid w:val="0058495B"/>
    <w:rsid w:val="00584D54"/>
    <w:rsid w:val="005852B3"/>
    <w:rsid w:val="00586BDE"/>
    <w:rsid w:val="00591D50"/>
    <w:rsid w:val="0059210B"/>
    <w:rsid w:val="005978C6"/>
    <w:rsid w:val="005A516D"/>
    <w:rsid w:val="005A5BAB"/>
    <w:rsid w:val="005A715C"/>
    <w:rsid w:val="005B76CB"/>
    <w:rsid w:val="005B7707"/>
    <w:rsid w:val="005C3B68"/>
    <w:rsid w:val="005C6DEA"/>
    <w:rsid w:val="005C7538"/>
    <w:rsid w:val="005E0ECB"/>
    <w:rsid w:val="005E39A5"/>
    <w:rsid w:val="005E3EE8"/>
    <w:rsid w:val="005E4065"/>
    <w:rsid w:val="005F5628"/>
    <w:rsid w:val="005F72E3"/>
    <w:rsid w:val="005F7D9F"/>
    <w:rsid w:val="00602972"/>
    <w:rsid w:val="006040FC"/>
    <w:rsid w:val="006041CE"/>
    <w:rsid w:val="00605D0A"/>
    <w:rsid w:val="006069D2"/>
    <w:rsid w:val="006078F1"/>
    <w:rsid w:val="00610BC3"/>
    <w:rsid w:val="006124F6"/>
    <w:rsid w:val="00612E61"/>
    <w:rsid w:val="0061307E"/>
    <w:rsid w:val="00620CEB"/>
    <w:rsid w:val="00621CB7"/>
    <w:rsid w:val="00626246"/>
    <w:rsid w:val="00630669"/>
    <w:rsid w:val="00634B20"/>
    <w:rsid w:val="00644492"/>
    <w:rsid w:val="006505D5"/>
    <w:rsid w:val="00654FFB"/>
    <w:rsid w:val="0066116F"/>
    <w:rsid w:val="006715A0"/>
    <w:rsid w:val="006730AD"/>
    <w:rsid w:val="00674C06"/>
    <w:rsid w:val="006753A6"/>
    <w:rsid w:val="00677927"/>
    <w:rsid w:val="00677EBA"/>
    <w:rsid w:val="0068168C"/>
    <w:rsid w:val="00695621"/>
    <w:rsid w:val="00697030"/>
    <w:rsid w:val="006A3C1E"/>
    <w:rsid w:val="006B0ED2"/>
    <w:rsid w:val="006B5C00"/>
    <w:rsid w:val="006D1765"/>
    <w:rsid w:val="006D23DD"/>
    <w:rsid w:val="006E1CBC"/>
    <w:rsid w:val="006E6B25"/>
    <w:rsid w:val="006F1EF5"/>
    <w:rsid w:val="006F63C5"/>
    <w:rsid w:val="006F6810"/>
    <w:rsid w:val="0070013A"/>
    <w:rsid w:val="00703794"/>
    <w:rsid w:val="00704FFB"/>
    <w:rsid w:val="007069E2"/>
    <w:rsid w:val="00711630"/>
    <w:rsid w:val="00720022"/>
    <w:rsid w:val="0072337A"/>
    <w:rsid w:val="00725C3C"/>
    <w:rsid w:val="00727A64"/>
    <w:rsid w:val="00731137"/>
    <w:rsid w:val="0073377D"/>
    <w:rsid w:val="00734E4D"/>
    <w:rsid w:val="00736479"/>
    <w:rsid w:val="00737813"/>
    <w:rsid w:val="00740F31"/>
    <w:rsid w:val="0074165A"/>
    <w:rsid w:val="00743617"/>
    <w:rsid w:val="00744029"/>
    <w:rsid w:val="00745C43"/>
    <w:rsid w:val="00747EA1"/>
    <w:rsid w:val="00752F9F"/>
    <w:rsid w:val="00753A15"/>
    <w:rsid w:val="00766BAA"/>
    <w:rsid w:val="00770A7A"/>
    <w:rsid w:val="007745D7"/>
    <w:rsid w:val="0078177B"/>
    <w:rsid w:val="007825C2"/>
    <w:rsid w:val="00785271"/>
    <w:rsid w:val="007972EC"/>
    <w:rsid w:val="007A1939"/>
    <w:rsid w:val="007A5866"/>
    <w:rsid w:val="007A7B00"/>
    <w:rsid w:val="007B48F2"/>
    <w:rsid w:val="007B4CF4"/>
    <w:rsid w:val="007B4F7A"/>
    <w:rsid w:val="007C2848"/>
    <w:rsid w:val="007C3521"/>
    <w:rsid w:val="007C4F9A"/>
    <w:rsid w:val="007D14F5"/>
    <w:rsid w:val="007D390F"/>
    <w:rsid w:val="007E213F"/>
    <w:rsid w:val="007E21E3"/>
    <w:rsid w:val="007E5C10"/>
    <w:rsid w:val="007E71D7"/>
    <w:rsid w:val="008013C2"/>
    <w:rsid w:val="00802C7C"/>
    <w:rsid w:val="00804169"/>
    <w:rsid w:val="00806623"/>
    <w:rsid w:val="00807EA0"/>
    <w:rsid w:val="00815AF4"/>
    <w:rsid w:val="00820CBF"/>
    <w:rsid w:val="00823F65"/>
    <w:rsid w:val="00824F9F"/>
    <w:rsid w:val="00826150"/>
    <w:rsid w:val="00826769"/>
    <w:rsid w:val="008312DD"/>
    <w:rsid w:val="00833622"/>
    <w:rsid w:val="00836BA8"/>
    <w:rsid w:val="00841D23"/>
    <w:rsid w:val="0084207C"/>
    <w:rsid w:val="008501D1"/>
    <w:rsid w:val="0086131C"/>
    <w:rsid w:val="008615F7"/>
    <w:rsid w:val="00862FD4"/>
    <w:rsid w:val="00862FF9"/>
    <w:rsid w:val="00863EF0"/>
    <w:rsid w:val="00867044"/>
    <w:rsid w:val="00876B8A"/>
    <w:rsid w:val="008808C9"/>
    <w:rsid w:val="00880CF0"/>
    <w:rsid w:val="008814E5"/>
    <w:rsid w:val="00883FD0"/>
    <w:rsid w:val="008874E7"/>
    <w:rsid w:val="0089001F"/>
    <w:rsid w:val="00891BB1"/>
    <w:rsid w:val="008A02B3"/>
    <w:rsid w:val="008A1CFF"/>
    <w:rsid w:val="008B16EE"/>
    <w:rsid w:val="008B2DC3"/>
    <w:rsid w:val="008B4802"/>
    <w:rsid w:val="008B4CA5"/>
    <w:rsid w:val="008B7D21"/>
    <w:rsid w:val="008C03F9"/>
    <w:rsid w:val="008C7AAE"/>
    <w:rsid w:val="008D21A6"/>
    <w:rsid w:val="008D3017"/>
    <w:rsid w:val="008D344E"/>
    <w:rsid w:val="008E4A17"/>
    <w:rsid w:val="008E5E30"/>
    <w:rsid w:val="008F3092"/>
    <w:rsid w:val="008F5693"/>
    <w:rsid w:val="008F63DC"/>
    <w:rsid w:val="00906F21"/>
    <w:rsid w:val="00911D51"/>
    <w:rsid w:val="00911E00"/>
    <w:rsid w:val="00913D8C"/>
    <w:rsid w:val="00917B5A"/>
    <w:rsid w:val="0092094B"/>
    <w:rsid w:val="00924A7C"/>
    <w:rsid w:val="00925B80"/>
    <w:rsid w:val="0093182C"/>
    <w:rsid w:val="009338EF"/>
    <w:rsid w:val="00944E8E"/>
    <w:rsid w:val="009516C2"/>
    <w:rsid w:val="00951C99"/>
    <w:rsid w:val="0095312F"/>
    <w:rsid w:val="00953CE5"/>
    <w:rsid w:val="009547B5"/>
    <w:rsid w:val="0095796F"/>
    <w:rsid w:val="00965C57"/>
    <w:rsid w:val="009672BA"/>
    <w:rsid w:val="009673C0"/>
    <w:rsid w:val="00967531"/>
    <w:rsid w:val="00967655"/>
    <w:rsid w:val="00967F11"/>
    <w:rsid w:val="009727F1"/>
    <w:rsid w:val="0097477C"/>
    <w:rsid w:val="00980A2F"/>
    <w:rsid w:val="0098318B"/>
    <w:rsid w:val="009A0475"/>
    <w:rsid w:val="009A50FA"/>
    <w:rsid w:val="009B261D"/>
    <w:rsid w:val="009B3935"/>
    <w:rsid w:val="009B7749"/>
    <w:rsid w:val="009C0610"/>
    <w:rsid w:val="009C22BB"/>
    <w:rsid w:val="009C4493"/>
    <w:rsid w:val="009D14E5"/>
    <w:rsid w:val="009E0CAB"/>
    <w:rsid w:val="009E2E3E"/>
    <w:rsid w:val="009F0721"/>
    <w:rsid w:val="009F2624"/>
    <w:rsid w:val="009F2CEB"/>
    <w:rsid w:val="009F4DA7"/>
    <w:rsid w:val="009F6685"/>
    <w:rsid w:val="009F7F76"/>
    <w:rsid w:val="00A04CEE"/>
    <w:rsid w:val="00A067B4"/>
    <w:rsid w:val="00A07837"/>
    <w:rsid w:val="00A1248A"/>
    <w:rsid w:val="00A147A9"/>
    <w:rsid w:val="00A207CA"/>
    <w:rsid w:val="00A20BD6"/>
    <w:rsid w:val="00A26100"/>
    <w:rsid w:val="00A266B9"/>
    <w:rsid w:val="00A307FA"/>
    <w:rsid w:val="00A30CCE"/>
    <w:rsid w:val="00A312A3"/>
    <w:rsid w:val="00A32A8D"/>
    <w:rsid w:val="00A33E7E"/>
    <w:rsid w:val="00A3532E"/>
    <w:rsid w:val="00A40DDA"/>
    <w:rsid w:val="00A437AA"/>
    <w:rsid w:val="00A45F54"/>
    <w:rsid w:val="00A46F13"/>
    <w:rsid w:val="00A50F9B"/>
    <w:rsid w:val="00A6072B"/>
    <w:rsid w:val="00A631ED"/>
    <w:rsid w:val="00A701F5"/>
    <w:rsid w:val="00A740B3"/>
    <w:rsid w:val="00A743C1"/>
    <w:rsid w:val="00A857B0"/>
    <w:rsid w:val="00A85A58"/>
    <w:rsid w:val="00A90B17"/>
    <w:rsid w:val="00A9234B"/>
    <w:rsid w:val="00A92D54"/>
    <w:rsid w:val="00A93F35"/>
    <w:rsid w:val="00A94144"/>
    <w:rsid w:val="00A95F68"/>
    <w:rsid w:val="00AA27A8"/>
    <w:rsid w:val="00AA2D61"/>
    <w:rsid w:val="00AA53BC"/>
    <w:rsid w:val="00AA5554"/>
    <w:rsid w:val="00AB5FEC"/>
    <w:rsid w:val="00AB74E4"/>
    <w:rsid w:val="00AC035E"/>
    <w:rsid w:val="00AC0CF1"/>
    <w:rsid w:val="00AC0D1D"/>
    <w:rsid w:val="00AC2F5A"/>
    <w:rsid w:val="00AC72F1"/>
    <w:rsid w:val="00AD0A37"/>
    <w:rsid w:val="00AD5ADC"/>
    <w:rsid w:val="00AE2997"/>
    <w:rsid w:val="00AE41B0"/>
    <w:rsid w:val="00AE426C"/>
    <w:rsid w:val="00AE60BC"/>
    <w:rsid w:val="00B00245"/>
    <w:rsid w:val="00B004F6"/>
    <w:rsid w:val="00B04502"/>
    <w:rsid w:val="00B06A15"/>
    <w:rsid w:val="00B10D6F"/>
    <w:rsid w:val="00B11C51"/>
    <w:rsid w:val="00B1729D"/>
    <w:rsid w:val="00B21909"/>
    <w:rsid w:val="00B25CEA"/>
    <w:rsid w:val="00B3074F"/>
    <w:rsid w:val="00B30A1C"/>
    <w:rsid w:val="00B32DB2"/>
    <w:rsid w:val="00B34CD9"/>
    <w:rsid w:val="00B360E2"/>
    <w:rsid w:val="00B43B25"/>
    <w:rsid w:val="00B43BFA"/>
    <w:rsid w:val="00B44AE7"/>
    <w:rsid w:val="00B45C40"/>
    <w:rsid w:val="00B5320D"/>
    <w:rsid w:val="00B558D6"/>
    <w:rsid w:val="00B6292D"/>
    <w:rsid w:val="00B62BC2"/>
    <w:rsid w:val="00B70874"/>
    <w:rsid w:val="00B741C6"/>
    <w:rsid w:val="00B83ACB"/>
    <w:rsid w:val="00B85E8E"/>
    <w:rsid w:val="00B86024"/>
    <w:rsid w:val="00B92B03"/>
    <w:rsid w:val="00B9574D"/>
    <w:rsid w:val="00B96E22"/>
    <w:rsid w:val="00BA0857"/>
    <w:rsid w:val="00BA7303"/>
    <w:rsid w:val="00BB2401"/>
    <w:rsid w:val="00BB25A4"/>
    <w:rsid w:val="00BB4723"/>
    <w:rsid w:val="00BB56D3"/>
    <w:rsid w:val="00BB6C0D"/>
    <w:rsid w:val="00BB72C2"/>
    <w:rsid w:val="00BC112D"/>
    <w:rsid w:val="00BC5F7D"/>
    <w:rsid w:val="00BD3434"/>
    <w:rsid w:val="00BE07FC"/>
    <w:rsid w:val="00BE1EB7"/>
    <w:rsid w:val="00BE4DB4"/>
    <w:rsid w:val="00BF2D78"/>
    <w:rsid w:val="00BF3BC6"/>
    <w:rsid w:val="00C00771"/>
    <w:rsid w:val="00C04622"/>
    <w:rsid w:val="00C10BB5"/>
    <w:rsid w:val="00C11822"/>
    <w:rsid w:val="00C13FEB"/>
    <w:rsid w:val="00C251A1"/>
    <w:rsid w:val="00C257C0"/>
    <w:rsid w:val="00C32265"/>
    <w:rsid w:val="00C43FE4"/>
    <w:rsid w:val="00C44EF7"/>
    <w:rsid w:val="00C65733"/>
    <w:rsid w:val="00C66195"/>
    <w:rsid w:val="00C67010"/>
    <w:rsid w:val="00C6742B"/>
    <w:rsid w:val="00C74B5C"/>
    <w:rsid w:val="00C77024"/>
    <w:rsid w:val="00C81905"/>
    <w:rsid w:val="00C90C58"/>
    <w:rsid w:val="00C90E92"/>
    <w:rsid w:val="00C92DE3"/>
    <w:rsid w:val="00C9366B"/>
    <w:rsid w:val="00C95495"/>
    <w:rsid w:val="00C960A4"/>
    <w:rsid w:val="00CA34DF"/>
    <w:rsid w:val="00CA685C"/>
    <w:rsid w:val="00CB1DA3"/>
    <w:rsid w:val="00CB31AE"/>
    <w:rsid w:val="00CB5170"/>
    <w:rsid w:val="00CB5781"/>
    <w:rsid w:val="00CB609D"/>
    <w:rsid w:val="00CC1F25"/>
    <w:rsid w:val="00CC1F90"/>
    <w:rsid w:val="00CC5C8B"/>
    <w:rsid w:val="00CC698C"/>
    <w:rsid w:val="00CD0E5B"/>
    <w:rsid w:val="00CD5D91"/>
    <w:rsid w:val="00CD62B5"/>
    <w:rsid w:val="00CD6C31"/>
    <w:rsid w:val="00CD76B8"/>
    <w:rsid w:val="00CD7F04"/>
    <w:rsid w:val="00CE351B"/>
    <w:rsid w:val="00CE4005"/>
    <w:rsid w:val="00CE4A94"/>
    <w:rsid w:val="00CE4C2E"/>
    <w:rsid w:val="00CE79F7"/>
    <w:rsid w:val="00CF1ECC"/>
    <w:rsid w:val="00CF3132"/>
    <w:rsid w:val="00CF7AD8"/>
    <w:rsid w:val="00D01B96"/>
    <w:rsid w:val="00D03AA1"/>
    <w:rsid w:val="00D12CD7"/>
    <w:rsid w:val="00D13BF8"/>
    <w:rsid w:val="00D214E9"/>
    <w:rsid w:val="00D21530"/>
    <w:rsid w:val="00D23607"/>
    <w:rsid w:val="00D30BF0"/>
    <w:rsid w:val="00D344B3"/>
    <w:rsid w:val="00D344E0"/>
    <w:rsid w:val="00D35C29"/>
    <w:rsid w:val="00D413F8"/>
    <w:rsid w:val="00D41E6D"/>
    <w:rsid w:val="00D430CD"/>
    <w:rsid w:val="00D468C8"/>
    <w:rsid w:val="00D54564"/>
    <w:rsid w:val="00D55EF4"/>
    <w:rsid w:val="00D735C1"/>
    <w:rsid w:val="00D83F41"/>
    <w:rsid w:val="00D8655E"/>
    <w:rsid w:val="00D938E2"/>
    <w:rsid w:val="00D947B1"/>
    <w:rsid w:val="00DA5910"/>
    <w:rsid w:val="00DA618B"/>
    <w:rsid w:val="00DA6654"/>
    <w:rsid w:val="00DB449D"/>
    <w:rsid w:val="00DB6067"/>
    <w:rsid w:val="00DC0C04"/>
    <w:rsid w:val="00DC1490"/>
    <w:rsid w:val="00DC6154"/>
    <w:rsid w:val="00DD7E83"/>
    <w:rsid w:val="00DE1F4E"/>
    <w:rsid w:val="00DE2706"/>
    <w:rsid w:val="00DE3A7D"/>
    <w:rsid w:val="00DF062D"/>
    <w:rsid w:val="00DF10A8"/>
    <w:rsid w:val="00DF1DB9"/>
    <w:rsid w:val="00DF47A2"/>
    <w:rsid w:val="00E01F0D"/>
    <w:rsid w:val="00E02538"/>
    <w:rsid w:val="00E238D2"/>
    <w:rsid w:val="00E24C6D"/>
    <w:rsid w:val="00E2561A"/>
    <w:rsid w:val="00E26929"/>
    <w:rsid w:val="00E30C1D"/>
    <w:rsid w:val="00E353EA"/>
    <w:rsid w:val="00E35E37"/>
    <w:rsid w:val="00E40AD9"/>
    <w:rsid w:val="00E4288A"/>
    <w:rsid w:val="00E54DAB"/>
    <w:rsid w:val="00E55C10"/>
    <w:rsid w:val="00E62070"/>
    <w:rsid w:val="00E64643"/>
    <w:rsid w:val="00E751FE"/>
    <w:rsid w:val="00E75320"/>
    <w:rsid w:val="00E75A99"/>
    <w:rsid w:val="00E75AA9"/>
    <w:rsid w:val="00E7686E"/>
    <w:rsid w:val="00E80B23"/>
    <w:rsid w:val="00E90BC0"/>
    <w:rsid w:val="00E92350"/>
    <w:rsid w:val="00EA0588"/>
    <w:rsid w:val="00EA5512"/>
    <w:rsid w:val="00EB01CA"/>
    <w:rsid w:val="00EC2B31"/>
    <w:rsid w:val="00EC2E10"/>
    <w:rsid w:val="00EC58FE"/>
    <w:rsid w:val="00ED13FF"/>
    <w:rsid w:val="00ED1E05"/>
    <w:rsid w:val="00ED7A60"/>
    <w:rsid w:val="00EE40B0"/>
    <w:rsid w:val="00EE5B06"/>
    <w:rsid w:val="00EF1400"/>
    <w:rsid w:val="00EF2734"/>
    <w:rsid w:val="00EF594E"/>
    <w:rsid w:val="00F03497"/>
    <w:rsid w:val="00F044ED"/>
    <w:rsid w:val="00F07AD0"/>
    <w:rsid w:val="00F10905"/>
    <w:rsid w:val="00F24B5D"/>
    <w:rsid w:val="00F25C3F"/>
    <w:rsid w:val="00F32FB1"/>
    <w:rsid w:val="00F4441E"/>
    <w:rsid w:val="00F57288"/>
    <w:rsid w:val="00F7051D"/>
    <w:rsid w:val="00F76EB7"/>
    <w:rsid w:val="00F82BE1"/>
    <w:rsid w:val="00F830C8"/>
    <w:rsid w:val="00F836CD"/>
    <w:rsid w:val="00F9783B"/>
    <w:rsid w:val="00FA13DD"/>
    <w:rsid w:val="00FA4C31"/>
    <w:rsid w:val="00FB1D32"/>
    <w:rsid w:val="00FB22C0"/>
    <w:rsid w:val="00FC0EE7"/>
    <w:rsid w:val="00FC2BC4"/>
    <w:rsid w:val="00FC3B46"/>
    <w:rsid w:val="00FC4367"/>
    <w:rsid w:val="00FC4BB5"/>
    <w:rsid w:val="00FC6ABF"/>
    <w:rsid w:val="00FC7BCA"/>
    <w:rsid w:val="00FD4703"/>
    <w:rsid w:val="00FD484A"/>
    <w:rsid w:val="00FD48BC"/>
    <w:rsid w:val="00FD76B8"/>
    <w:rsid w:val="00FD7EFA"/>
    <w:rsid w:val="00FE1AD9"/>
    <w:rsid w:val="00FE542B"/>
    <w:rsid w:val="00FE7BE1"/>
    <w:rsid w:val="00FF254C"/>
    <w:rsid w:val="00FF2F9D"/>
    <w:rsid w:val="00FF519E"/>
    <w:rsid w:val="00FF7B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A6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30A6E"/>
    <w:pPr>
      <w:keepNext/>
      <w:numPr>
        <w:numId w:val="1"/>
      </w:numPr>
      <w:spacing w:before="240" w:after="60"/>
      <w:outlineLvl w:val="0"/>
    </w:pPr>
    <w:rPr>
      <w:rFonts w:ascii="Arial" w:hAnsi="Arial"/>
      <w:b/>
      <w:kern w:val="28"/>
      <w:sz w:val="28"/>
      <w:szCs w:val="20"/>
    </w:rPr>
  </w:style>
  <w:style w:type="paragraph" w:styleId="Heading2">
    <w:name w:val="heading 2"/>
    <w:basedOn w:val="Normal"/>
    <w:next w:val="Normal"/>
    <w:link w:val="Heading2Char"/>
    <w:uiPriority w:val="9"/>
    <w:semiHidden/>
    <w:unhideWhenUsed/>
    <w:qFormat/>
    <w:rsid w:val="00C44EF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530A6E"/>
    <w:pPr>
      <w:keepNext/>
      <w:numPr>
        <w:ilvl w:val="2"/>
        <w:numId w:val="1"/>
      </w:numPr>
      <w:spacing w:before="240" w:after="60"/>
      <w:outlineLvl w:val="2"/>
    </w:pPr>
    <w:rPr>
      <w:rFonts w:ascii="Arial" w:hAnsi="Arial"/>
      <w:szCs w:val="20"/>
    </w:rPr>
  </w:style>
  <w:style w:type="paragraph" w:styleId="Heading4">
    <w:name w:val="heading 4"/>
    <w:basedOn w:val="Normal"/>
    <w:next w:val="Normal"/>
    <w:link w:val="Heading4Char"/>
    <w:uiPriority w:val="9"/>
    <w:qFormat/>
    <w:rsid w:val="00530A6E"/>
    <w:pPr>
      <w:keepNext/>
      <w:numPr>
        <w:ilvl w:val="3"/>
        <w:numId w:val="1"/>
      </w:numPr>
      <w:spacing w:before="240" w:after="60"/>
      <w:outlineLvl w:val="3"/>
    </w:pPr>
    <w:rPr>
      <w:rFonts w:ascii="Arial" w:hAnsi="Arial"/>
      <w:b/>
      <w:szCs w:val="20"/>
    </w:rPr>
  </w:style>
  <w:style w:type="paragraph" w:styleId="Heading5">
    <w:name w:val="heading 5"/>
    <w:basedOn w:val="Normal"/>
    <w:next w:val="Normal"/>
    <w:link w:val="Heading5Char"/>
    <w:uiPriority w:val="9"/>
    <w:semiHidden/>
    <w:unhideWhenUsed/>
    <w:qFormat/>
    <w:rsid w:val="004B0002"/>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530A6E"/>
    <w:pPr>
      <w:numPr>
        <w:ilvl w:val="5"/>
        <w:numId w:val="1"/>
      </w:numPr>
      <w:spacing w:before="240" w:after="60"/>
      <w:outlineLvl w:val="5"/>
    </w:pPr>
    <w:rPr>
      <w:i/>
      <w:sz w:val="22"/>
      <w:szCs w:val="20"/>
    </w:rPr>
  </w:style>
  <w:style w:type="paragraph" w:styleId="Heading7">
    <w:name w:val="heading 7"/>
    <w:basedOn w:val="Normal"/>
    <w:next w:val="Normal"/>
    <w:link w:val="Heading7Char"/>
    <w:uiPriority w:val="9"/>
    <w:qFormat/>
    <w:rsid w:val="00530A6E"/>
    <w:pPr>
      <w:numPr>
        <w:ilvl w:val="6"/>
        <w:numId w:val="1"/>
      </w:numPr>
      <w:spacing w:before="240" w:after="60"/>
      <w:outlineLvl w:val="6"/>
    </w:pPr>
    <w:rPr>
      <w:rFonts w:ascii="Arial" w:hAnsi="Arial"/>
      <w:szCs w:val="20"/>
    </w:rPr>
  </w:style>
  <w:style w:type="paragraph" w:styleId="Heading8">
    <w:name w:val="heading 8"/>
    <w:basedOn w:val="Normal"/>
    <w:next w:val="Normal"/>
    <w:link w:val="Heading8Char"/>
    <w:uiPriority w:val="9"/>
    <w:qFormat/>
    <w:rsid w:val="00530A6E"/>
    <w:pPr>
      <w:numPr>
        <w:ilvl w:val="7"/>
        <w:numId w:val="1"/>
      </w:numPr>
      <w:spacing w:before="240" w:after="60"/>
      <w:outlineLvl w:val="7"/>
    </w:pPr>
    <w:rPr>
      <w:rFonts w:ascii="Arial" w:hAnsi="Arial"/>
      <w:i/>
      <w:szCs w:val="20"/>
    </w:rPr>
  </w:style>
  <w:style w:type="paragraph" w:styleId="Heading9">
    <w:name w:val="heading 9"/>
    <w:basedOn w:val="Normal"/>
    <w:next w:val="Normal"/>
    <w:link w:val="Heading9Char"/>
    <w:uiPriority w:val="9"/>
    <w:qFormat/>
    <w:rsid w:val="00530A6E"/>
    <w:pPr>
      <w:numPr>
        <w:ilvl w:val="8"/>
        <w:numId w:val="1"/>
      </w:num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81AC3"/>
    <w:pPr>
      <w:spacing w:after="0" w:line="240" w:lineRule="auto"/>
    </w:pPr>
  </w:style>
  <w:style w:type="character" w:customStyle="1" w:styleId="Heading1Char">
    <w:name w:val="Heading 1 Char"/>
    <w:basedOn w:val="DefaultParagraphFont"/>
    <w:link w:val="Heading1"/>
    <w:uiPriority w:val="9"/>
    <w:rsid w:val="00530A6E"/>
    <w:rPr>
      <w:rFonts w:ascii="Arial" w:eastAsia="Times New Roman" w:hAnsi="Arial" w:cs="Times New Roman"/>
      <w:b/>
      <w:kern w:val="28"/>
      <w:sz w:val="28"/>
      <w:szCs w:val="20"/>
    </w:rPr>
  </w:style>
  <w:style w:type="character" w:customStyle="1" w:styleId="Heading3Char">
    <w:name w:val="Heading 3 Char"/>
    <w:basedOn w:val="DefaultParagraphFont"/>
    <w:link w:val="Heading3"/>
    <w:uiPriority w:val="9"/>
    <w:rsid w:val="00530A6E"/>
    <w:rPr>
      <w:rFonts w:ascii="Arial" w:eastAsia="Times New Roman" w:hAnsi="Arial" w:cs="Times New Roman"/>
      <w:sz w:val="24"/>
      <w:szCs w:val="20"/>
    </w:rPr>
  </w:style>
  <w:style w:type="character" w:customStyle="1" w:styleId="Heading4Char">
    <w:name w:val="Heading 4 Char"/>
    <w:basedOn w:val="DefaultParagraphFont"/>
    <w:link w:val="Heading4"/>
    <w:uiPriority w:val="9"/>
    <w:rsid w:val="00530A6E"/>
    <w:rPr>
      <w:rFonts w:ascii="Arial" w:eastAsia="Times New Roman" w:hAnsi="Arial" w:cs="Times New Roman"/>
      <w:b/>
      <w:sz w:val="24"/>
      <w:szCs w:val="20"/>
    </w:rPr>
  </w:style>
  <w:style w:type="character" w:customStyle="1" w:styleId="Heading6Char">
    <w:name w:val="Heading 6 Char"/>
    <w:basedOn w:val="DefaultParagraphFont"/>
    <w:link w:val="Heading6"/>
    <w:rsid w:val="00530A6E"/>
    <w:rPr>
      <w:rFonts w:ascii="Times New Roman" w:eastAsia="Times New Roman" w:hAnsi="Times New Roman" w:cs="Times New Roman"/>
      <w:i/>
      <w:szCs w:val="20"/>
    </w:rPr>
  </w:style>
  <w:style w:type="character" w:customStyle="1" w:styleId="Heading7Char">
    <w:name w:val="Heading 7 Char"/>
    <w:basedOn w:val="DefaultParagraphFont"/>
    <w:link w:val="Heading7"/>
    <w:uiPriority w:val="9"/>
    <w:rsid w:val="00530A6E"/>
    <w:rPr>
      <w:rFonts w:ascii="Arial" w:eastAsia="Times New Roman" w:hAnsi="Arial" w:cs="Times New Roman"/>
      <w:sz w:val="24"/>
      <w:szCs w:val="20"/>
    </w:rPr>
  </w:style>
  <w:style w:type="character" w:customStyle="1" w:styleId="Heading8Char">
    <w:name w:val="Heading 8 Char"/>
    <w:basedOn w:val="DefaultParagraphFont"/>
    <w:link w:val="Heading8"/>
    <w:uiPriority w:val="9"/>
    <w:rsid w:val="00530A6E"/>
    <w:rPr>
      <w:rFonts w:ascii="Arial" w:eastAsia="Times New Roman" w:hAnsi="Arial" w:cs="Times New Roman"/>
      <w:i/>
      <w:sz w:val="24"/>
      <w:szCs w:val="20"/>
    </w:rPr>
  </w:style>
  <w:style w:type="character" w:customStyle="1" w:styleId="Heading9Char">
    <w:name w:val="Heading 9 Char"/>
    <w:basedOn w:val="DefaultParagraphFont"/>
    <w:link w:val="Heading9"/>
    <w:uiPriority w:val="9"/>
    <w:rsid w:val="00530A6E"/>
    <w:rPr>
      <w:rFonts w:ascii="Arial" w:eastAsia="Times New Roman" w:hAnsi="Arial" w:cs="Times New Roman"/>
      <w:b/>
      <w:i/>
      <w:sz w:val="18"/>
      <w:szCs w:val="20"/>
    </w:rPr>
  </w:style>
  <w:style w:type="paragraph" w:customStyle="1" w:styleId="Chapter">
    <w:name w:val="Chapter"/>
    <w:basedOn w:val="Normal"/>
    <w:next w:val="Normal"/>
    <w:uiPriority w:val="99"/>
    <w:rsid w:val="00530A6E"/>
    <w:pPr>
      <w:tabs>
        <w:tab w:val="num" w:pos="720"/>
        <w:tab w:val="left" w:pos="1440"/>
      </w:tabs>
      <w:spacing w:after="240"/>
      <w:ind w:left="720" w:hanging="720"/>
      <w:jc w:val="center"/>
    </w:pPr>
    <w:rPr>
      <w:b/>
      <w:smallCaps/>
      <w:noProof/>
      <w:szCs w:val="20"/>
    </w:rPr>
  </w:style>
  <w:style w:type="paragraph" w:customStyle="1" w:styleId="Paragraph">
    <w:name w:val="Paragraph"/>
    <w:aliases w:val="paragraph,p,PARAGRAPH,PG,pa,at"/>
    <w:basedOn w:val="BodyTextIndent"/>
    <w:link w:val="ParagraphChar"/>
    <w:rsid w:val="00530A6E"/>
    <w:pPr>
      <w:tabs>
        <w:tab w:val="num" w:pos="1440"/>
      </w:tabs>
      <w:spacing w:before="120"/>
      <w:ind w:left="1440" w:hanging="720"/>
      <w:jc w:val="both"/>
      <w:outlineLvl w:val="1"/>
    </w:pPr>
    <w:rPr>
      <w:szCs w:val="20"/>
    </w:rPr>
  </w:style>
  <w:style w:type="paragraph" w:styleId="Header">
    <w:name w:val="header"/>
    <w:basedOn w:val="Normal"/>
    <w:link w:val="HeaderChar"/>
    <w:uiPriority w:val="99"/>
    <w:rsid w:val="00530A6E"/>
    <w:pPr>
      <w:tabs>
        <w:tab w:val="center" w:pos="4320"/>
        <w:tab w:val="right" w:pos="8640"/>
      </w:tabs>
    </w:pPr>
  </w:style>
  <w:style w:type="character" w:customStyle="1" w:styleId="HeaderChar">
    <w:name w:val="Header Char"/>
    <w:basedOn w:val="DefaultParagraphFont"/>
    <w:link w:val="Header"/>
    <w:uiPriority w:val="99"/>
    <w:rsid w:val="00530A6E"/>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530A6E"/>
    <w:pPr>
      <w:spacing w:after="120"/>
      <w:ind w:left="360"/>
    </w:pPr>
  </w:style>
  <w:style w:type="character" w:customStyle="1" w:styleId="BodyTextIndentChar">
    <w:name w:val="Body Text Indent Char"/>
    <w:basedOn w:val="DefaultParagraphFont"/>
    <w:link w:val="BodyTextIndent"/>
    <w:uiPriority w:val="99"/>
    <w:semiHidden/>
    <w:rsid w:val="00530A6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30A6E"/>
    <w:pPr>
      <w:tabs>
        <w:tab w:val="center" w:pos="4680"/>
        <w:tab w:val="right" w:pos="9360"/>
      </w:tabs>
    </w:pPr>
  </w:style>
  <w:style w:type="character" w:customStyle="1" w:styleId="FooterChar">
    <w:name w:val="Footer Char"/>
    <w:basedOn w:val="DefaultParagraphFont"/>
    <w:link w:val="Footer"/>
    <w:uiPriority w:val="99"/>
    <w:rsid w:val="00530A6E"/>
    <w:rPr>
      <w:rFonts w:ascii="Times New Roman" w:eastAsia="Times New Roman" w:hAnsi="Times New Roman" w:cs="Times New Roman"/>
      <w:sz w:val="24"/>
      <w:szCs w:val="24"/>
    </w:rPr>
  </w:style>
  <w:style w:type="paragraph" w:styleId="BalloonText">
    <w:name w:val="Balloon Text"/>
    <w:basedOn w:val="Normal"/>
    <w:link w:val="BalloonTextChar"/>
    <w:uiPriority w:val="99"/>
    <w:unhideWhenUsed/>
    <w:rsid w:val="00530A6E"/>
    <w:rPr>
      <w:rFonts w:ascii="Tahoma" w:hAnsi="Tahoma" w:cs="Tahoma"/>
      <w:sz w:val="16"/>
      <w:szCs w:val="16"/>
    </w:rPr>
  </w:style>
  <w:style w:type="character" w:customStyle="1" w:styleId="BalloonTextChar">
    <w:name w:val="Balloon Text Char"/>
    <w:basedOn w:val="DefaultParagraphFont"/>
    <w:link w:val="BalloonText"/>
    <w:uiPriority w:val="99"/>
    <w:rsid w:val="00530A6E"/>
    <w:rPr>
      <w:rFonts w:ascii="Tahoma" w:eastAsia="Times New Roman" w:hAnsi="Tahoma" w:cs="Tahoma"/>
      <w:sz w:val="16"/>
      <w:szCs w:val="16"/>
    </w:rPr>
  </w:style>
  <w:style w:type="character" w:customStyle="1" w:styleId="Heading2Char">
    <w:name w:val="Heading 2 Char"/>
    <w:basedOn w:val="DefaultParagraphFont"/>
    <w:link w:val="Heading2"/>
    <w:uiPriority w:val="9"/>
    <w:semiHidden/>
    <w:rsid w:val="00C44EF7"/>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99"/>
    <w:unhideWhenUsed/>
    <w:rsid w:val="00C44EF7"/>
    <w:pPr>
      <w:spacing w:after="120"/>
    </w:pPr>
  </w:style>
  <w:style w:type="character" w:customStyle="1" w:styleId="BodyTextChar">
    <w:name w:val="Body Text Char"/>
    <w:basedOn w:val="DefaultParagraphFont"/>
    <w:link w:val="BodyText"/>
    <w:uiPriority w:val="99"/>
    <w:rsid w:val="00C44EF7"/>
    <w:rPr>
      <w:rFonts w:ascii="Times New Roman" w:eastAsia="Times New Roman" w:hAnsi="Times New Roman" w:cs="Times New Roman"/>
      <w:sz w:val="24"/>
      <w:szCs w:val="24"/>
    </w:rPr>
  </w:style>
  <w:style w:type="character" w:styleId="PageNumber">
    <w:name w:val="page number"/>
    <w:basedOn w:val="DefaultParagraphFont"/>
    <w:semiHidden/>
    <w:rsid w:val="00C44EF7"/>
  </w:style>
  <w:style w:type="paragraph" w:styleId="Subtitle">
    <w:name w:val="Subtitle"/>
    <w:basedOn w:val="Normal"/>
    <w:link w:val="SubtitleChar"/>
    <w:qFormat/>
    <w:rsid w:val="00C44EF7"/>
    <w:pPr>
      <w:tabs>
        <w:tab w:val="center" w:pos="4680"/>
      </w:tabs>
      <w:spacing w:before="120"/>
      <w:jc w:val="center"/>
    </w:pPr>
    <w:rPr>
      <w:b/>
      <w:bCs/>
      <w:szCs w:val="20"/>
      <w:lang w:val="es-ES"/>
    </w:rPr>
  </w:style>
  <w:style w:type="character" w:customStyle="1" w:styleId="SubtitleChar">
    <w:name w:val="Subtitle Char"/>
    <w:basedOn w:val="DefaultParagraphFont"/>
    <w:link w:val="Subtitle"/>
    <w:rsid w:val="00C44EF7"/>
    <w:rPr>
      <w:rFonts w:ascii="Times New Roman" w:eastAsia="Times New Roman" w:hAnsi="Times New Roman" w:cs="Times New Roman"/>
      <w:b/>
      <w:bCs/>
      <w:sz w:val="24"/>
      <w:szCs w:val="20"/>
      <w:lang w:val="es-ES"/>
    </w:rPr>
  </w:style>
  <w:style w:type="character" w:styleId="Hyperlink">
    <w:name w:val="Hyperlink"/>
    <w:basedOn w:val="DefaultParagraphFont"/>
    <w:rsid w:val="00891BB1"/>
    <w:rPr>
      <w:color w:val="0000FF"/>
      <w:u w:val="single"/>
    </w:rPr>
  </w:style>
  <w:style w:type="paragraph" w:styleId="ListParagraph">
    <w:name w:val="List Paragraph"/>
    <w:basedOn w:val="Normal"/>
    <w:link w:val="ListParagraphChar"/>
    <w:uiPriority w:val="34"/>
    <w:qFormat/>
    <w:rsid w:val="00731137"/>
    <w:pPr>
      <w:ind w:left="720"/>
      <w:contextualSpacing/>
    </w:pPr>
  </w:style>
  <w:style w:type="paragraph" w:customStyle="1" w:styleId="subpar">
    <w:name w:val="subpar"/>
    <w:basedOn w:val="BodyTextIndent3"/>
    <w:rsid w:val="002D1E15"/>
    <w:pPr>
      <w:tabs>
        <w:tab w:val="num" w:pos="1152"/>
      </w:tabs>
      <w:spacing w:before="120"/>
      <w:ind w:left="1152" w:hanging="432"/>
      <w:jc w:val="both"/>
      <w:outlineLvl w:val="2"/>
    </w:pPr>
    <w:rPr>
      <w:sz w:val="24"/>
      <w:szCs w:val="20"/>
    </w:rPr>
  </w:style>
  <w:style w:type="paragraph" w:customStyle="1" w:styleId="SubSubPar">
    <w:name w:val="SubSubPar"/>
    <w:basedOn w:val="subpar"/>
    <w:rsid w:val="002D1E15"/>
  </w:style>
  <w:style w:type="character" w:customStyle="1" w:styleId="ParagraphChar">
    <w:name w:val="Paragraph Char"/>
    <w:basedOn w:val="DefaultParagraphFont"/>
    <w:link w:val="Paragraph"/>
    <w:locked/>
    <w:rsid w:val="002D1E15"/>
    <w:rPr>
      <w:rFonts w:ascii="Times New Roman" w:eastAsia="Times New Roman" w:hAnsi="Times New Roman" w:cs="Times New Roman"/>
      <w:sz w:val="24"/>
      <w:szCs w:val="20"/>
    </w:rPr>
  </w:style>
  <w:style w:type="paragraph" w:styleId="BodyTextIndent3">
    <w:name w:val="Body Text Indent 3"/>
    <w:basedOn w:val="Normal"/>
    <w:link w:val="BodyTextIndent3Char"/>
    <w:uiPriority w:val="99"/>
    <w:semiHidden/>
    <w:unhideWhenUsed/>
    <w:rsid w:val="002D1E1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D1E15"/>
    <w:rPr>
      <w:rFonts w:ascii="Times New Roman" w:eastAsia="Times New Roman" w:hAnsi="Times New Roman" w:cs="Times New Roman"/>
      <w:sz w:val="16"/>
      <w:szCs w:val="16"/>
    </w:rPr>
  </w:style>
  <w:style w:type="paragraph" w:styleId="FootnoteText">
    <w:name w:val="footnote text"/>
    <w:aliases w:val="fn,single space,footnote text,foottextfra,footnote,F,Texto nota pie Car Car,texto de nota al pie,Nota a pie/Bibliog,Texto nota pie Car Car Car Car Car Car Car Car,Texto nota pie Car Car Car,f,FOOTNOTES,Footnote Text Char Char"/>
    <w:basedOn w:val="Normal"/>
    <w:link w:val="FootnoteTextChar1"/>
    <w:uiPriority w:val="99"/>
    <w:rsid w:val="002D1E15"/>
    <w:rPr>
      <w:sz w:val="20"/>
      <w:szCs w:val="20"/>
    </w:rPr>
  </w:style>
  <w:style w:type="character" w:customStyle="1" w:styleId="FootnoteTextChar">
    <w:name w:val="Footnote Text Char"/>
    <w:aliases w:val="foottextfra Char,footnote Char,F Char,Texto nota pie Car Car Char,texto de nota al pie Char,Nota a pie/Bibliog Char,Texto nota pie Car Car Car Car Car Car Car Car Char,Texto nota pie Car Car Car Char,Texto de rodapé Char,fn Char1"/>
    <w:basedOn w:val="DefaultParagraphFont"/>
    <w:uiPriority w:val="99"/>
    <w:rsid w:val="002D1E15"/>
    <w:rPr>
      <w:rFonts w:ascii="Times New Roman" w:eastAsia="Times New Roman" w:hAnsi="Times New Roman" w:cs="Times New Roman"/>
      <w:sz w:val="20"/>
      <w:szCs w:val="20"/>
    </w:rPr>
  </w:style>
  <w:style w:type="character" w:styleId="FootnoteReference">
    <w:name w:val="footnote reference"/>
    <w:aliases w:val="referencia nota al pie,ftref,16 Point,Superscript 6 Point,FC,Ref,de nota al pie,(Ref. de nota al pie),Fußnotenzeichen DISS,Style 24,Appel note de bas de page"/>
    <w:basedOn w:val="DefaultParagraphFont"/>
    <w:uiPriority w:val="99"/>
    <w:rsid w:val="002D1E15"/>
    <w:rPr>
      <w:vertAlign w:val="superscript"/>
    </w:rPr>
  </w:style>
  <w:style w:type="character" w:customStyle="1" w:styleId="FootnoteTextChar1">
    <w:name w:val="Footnote Text Char1"/>
    <w:aliases w:val="fn Char,single space Char,footnote text Char,foottextfra Char1,footnote Char1,F Char1,Texto nota pie Car Car Char1,texto de nota al pie Char1,Nota a pie/Bibliog Char1,Texto nota pie Car Car Car Car Car Car Car Car Char1,f Char"/>
    <w:basedOn w:val="DefaultParagraphFont"/>
    <w:link w:val="FootnoteText"/>
    <w:locked/>
    <w:rsid w:val="002D1E15"/>
    <w:rPr>
      <w:rFonts w:ascii="Times New Roman" w:eastAsia="Times New Roman" w:hAnsi="Times New Roman" w:cs="Times New Roman"/>
      <w:sz w:val="20"/>
      <w:szCs w:val="20"/>
    </w:rPr>
  </w:style>
  <w:style w:type="paragraph" w:customStyle="1" w:styleId="heading-b24">
    <w:name w:val="heading-b24"/>
    <w:basedOn w:val="Normal"/>
    <w:next w:val="Normal"/>
    <w:rsid w:val="00396984"/>
    <w:pPr>
      <w:spacing w:after="600"/>
      <w:jc w:val="center"/>
    </w:pPr>
    <w:rPr>
      <w:rFonts w:ascii="Times New Roman Bold" w:hAnsi="Times New Roman Bold"/>
      <w:b/>
      <w:smallCaps/>
      <w:spacing w:val="-3"/>
      <w:szCs w:val="20"/>
      <w:lang w:val="es-ES_tradnl"/>
    </w:rPr>
  </w:style>
  <w:style w:type="character" w:styleId="Strong">
    <w:name w:val="Strong"/>
    <w:basedOn w:val="DefaultParagraphFont"/>
    <w:uiPriority w:val="22"/>
    <w:qFormat/>
    <w:rsid w:val="00396984"/>
    <w:rPr>
      <w:b/>
      <w:bCs/>
    </w:rPr>
  </w:style>
  <w:style w:type="character" w:styleId="CommentReference">
    <w:name w:val="annotation reference"/>
    <w:basedOn w:val="DefaultParagraphFont"/>
    <w:unhideWhenUsed/>
    <w:rsid w:val="00CD6C31"/>
    <w:rPr>
      <w:sz w:val="16"/>
      <w:szCs w:val="16"/>
    </w:rPr>
  </w:style>
  <w:style w:type="paragraph" w:styleId="CommentText">
    <w:name w:val="annotation text"/>
    <w:basedOn w:val="Normal"/>
    <w:link w:val="CommentTextChar"/>
    <w:unhideWhenUsed/>
    <w:rsid w:val="00CD6C31"/>
    <w:rPr>
      <w:sz w:val="20"/>
      <w:szCs w:val="20"/>
    </w:rPr>
  </w:style>
  <w:style w:type="character" w:customStyle="1" w:styleId="CommentTextChar">
    <w:name w:val="Comment Text Char"/>
    <w:basedOn w:val="DefaultParagraphFont"/>
    <w:link w:val="CommentText"/>
    <w:rsid w:val="00CD6C31"/>
    <w:rPr>
      <w:rFonts w:ascii="Times New Roman" w:eastAsia="Times New Roman" w:hAnsi="Times New Roman" w:cs="Times New Roman"/>
      <w:sz w:val="20"/>
      <w:szCs w:val="20"/>
    </w:rPr>
  </w:style>
  <w:style w:type="character" w:customStyle="1" w:styleId="NoSpacingChar">
    <w:name w:val="No Spacing Char"/>
    <w:link w:val="NoSpacing"/>
    <w:uiPriority w:val="1"/>
    <w:rsid w:val="0047412F"/>
  </w:style>
  <w:style w:type="paragraph" w:styleId="Title">
    <w:name w:val="Title"/>
    <w:basedOn w:val="Normal"/>
    <w:link w:val="TitleChar"/>
    <w:qFormat/>
    <w:rsid w:val="0047412F"/>
    <w:pPr>
      <w:tabs>
        <w:tab w:val="left" w:pos="1440"/>
        <w:tab w:val="left" w:pos="3060"/>
      </w:tabs>
      <w:jc w:val="center"/>
      <w:outlineLvl w:val="0"/>
    </w:pPr>
    <w:rPr>
      <w:lang w:val="es-ES" w:eastAsia="x-none"/>
    </w:rPr>
  </w:style>
  <w:style w:type="character" w:customStyle="1" w:styleId="TitleChar">
    <w:name w:val="Title Char"/>
    <w:basedOn w:val="DefaultParagraphFont"/>
    <w:link w:val="Title"/>
    <w:rsid w:val="0047412F"/>
    <w:rPr>
      <w:rFonts w:ascii="Times New Roman" w:eastAsia="Times New Roman" w:hAnsi="Times New Roman" w:cs="Times New Roman"/>
      <w:sz w:val="24"/>
      <w:szCs w:val="24"/>
      <w:lang w:val="es-ES" w:eastAsia="x-none"/>
    </w:rPr>
  </w:style>
  <w:style w:type="paragraph" w:customStyle="1" w:styleId="FirstHeading">
    <w:name w:val="FirstHeading"/>
    <w:basedOn w:val="Normal"/>
    <w:link w:val="FirstHeadingChar"/>
    <w:uiPriority w:val="99"/>
    <w:rsid w:val="0047412F"/>
    <w:pPr>
      <w:keepNext/>
      <w:numPr>
        <w:numId w:val="2"/>
      </w:numPr>
      <w:tabs>
        <w:tab w:val="left" w:pos="0"/>
        <w:tab w:val="left" w:pos="90"/>
      </w:tabs>
      <w:spacing w:before="120" w:after="120"/>
    </w:pPr>
    <w:rPr>
      <w:rFonts w:eastAsia="Batang"/>
      <w:b/>
      <w:szCs w:val="20"/>
      <w:lang w:val="es-ES"/>
    </w:rPr>
  </w:style>
  <w:style w:type="paragraph" w:customStyle="1" w:styleId="SecHeading">
    <w:name w:val="SecHeading"/>
    <w:basedOn w:val="Normal"/>
    <w:next w:val="Normal"/>
    <w:uiPriority w:val="99"/>
    <w:rsid w:val="0047412F"/>
    <w:pPr>
      <w:keepNext/>
      <w:numPr>
        <w:ilvl w:val="1"/>
        <w:numId w:val="2"/>
      </w:numPr>
      <w:spacing w:before="120" w:after="120"/>
    </w:pPr>
    <w:rPr>
      <w:rFonts w:eastAsia="Batang"/>
      <w:b/>
      <w:szCs w:val="20"/>
      <w:lang w:val="es-ES_tradnl"/>
    </w:rPr>
  </w:style>
  <w:style w:type="paragraph" w:customStyle="1" w:styleId="SubHeading1">
    <w:name w:val="SubHeading1"/>
    <w:basedOn w:val="SecHeading"/>
    <w:uiPriority w:val="99"/>
    <w:rsid w:val="0047412F"/>
    <w:pPr>
      <w:numPr>
        <w:ilvl w:val="2"/>
      </w:numPr>
    </w:pPr>
  </w:style>
  <w:style w:type="paragraph" w:customStyle="1" w:styleId="Subheading2">
    <w:name w:val="Subheading2"/>
    <w:basedOn w:val="SecHeading"/>
    <w:uiPriority w:val="99"/>
    <w:rsid w:val="0047412F"/>
    <w:pPr>
      <w:numPr>
        <w:ilvl w:val="3"/>
      </w:numPr>
    </w:pPr>
  </w:style>
  <w:style w:type="paragraph" w:styleId="CommentSubject">
    <w:name w:val="annotation subject"/>
    <w:basedOn w:val="CommentText"/>
    <w:next w:val="CommentText"/>
    <w:link w:val="CommentSubjectChar"/>
    <w:uiPriority w:val="99"/>
    <w:semiHidden/>
    <w:unhideWhenUsed/>
    <w:rsid w:val="00A6072B"/>
    <w:rPr>
      <w:b/>
      <w:bCs/>
    </w:rPr>
  </w:style>
  <w:style w:type="character" w:customStyle="1" w:styleId="CommentSubjectChar">
    <w:name w:val="Comment Subject Char"/>
    <w:basedOn w:val="CommentTextChar"/>
    <w:link w:val="CommentSubject"/>
    <w:uiPriority w:val="99"/>
    <w:semiHidden/>
    <w:rsid w:val="00A6072B"/>
    <w:rPr>
      <w:rFonts w:ascii="Times New Roman" w:eastAsia="Times New Roman" w:hAnsi="Times New Roman" w:cs="Times New Roman"/>
      <w:b/>
      <w:bCs/>
      <w:sz w:val="20"/>
      <w:szCs w:val="20"/>
    </w:rPr>
  </w:style>
  <w:style w:type="paragraph" w:styleId="Revision">
    <w:name w:val="Revision"/>
    <w:hidden/>
    <w:uiPriority w:val="99"/>
    <w:semiHidden/>
    <w:rsid w:val="00A6072B"/>
    <w:pPr>
      <w:spacing w:after="0" w:line="240" w:lineRule="auto"/>
    </w:pPr>
    <w:rPr>
      <w:rFonts w:ascii="Times New Roman" w:eastAsia="Times New Roman" w:hAnsi="Times New Roman" w:cs="Times New Roman"/>
      <w:sz w:val="24"/>
      <w:szCs w:val="24"/>
    </w:rPr>
  </w:style>
  <w:style w:type="paragraph" w:customStyle="1" w:styleId="Newpage">
    <w:name w:val="Newpage"/>
    <w:basedOn w:val="Normal"/>
    <w:link w:val="NewpageChar"/>
    <w:rsid w:val="00CE79F7"/>
    <w:pPr>
      <w:tabs>
        <w:tab w:val="left" w:pos="1440"/>
        <w:tab w:val="left" w:pos="3060"/>
      </w:tabs>
      <w:jc w:val="center"/>
    </w:pPr>
    <w:rPr>
      <w:rFonts w:cs="Arial"/>
      <w:b/>
      <w:smallCaps/>
      <w:spacing w:val="-3"/>
      <w:szCs w:val="20"/>
      <w:lang w:val="es-ES_tradnl"/>
    </w:rPr>
  </w:style>
  <w:style w:type="character" w:customStyle="1" w:styleId="ParagraphCar">
    <w:name w:val="Paragraph Car"/>
    <w:rsid w:val="00911E00"/>
    <w:rPr>
      <w:sz w:val="24"/>
    </w:rPr>
  </w:style>
  <w:style w:type="character" w:customStyle="1" w:styleId="FirstHeadingChar">
    <w:name w:val="FirstHeading Char"/>
    <w:link w:val="FirstHeading"/>
    <w:uiPriority w:val="99"/>
    <w:rsid w:val="00911E00"/>
    <w:rPr>
      <w:rFonts w:ascii="Times New Roman" w:eastAsia="Batang" w:hAnsi="Times New Roman" w:cs="Times New Roman"/>
      <w:b/>
      <w:sz w:val="24"/>
      <w:szCs w:val="20"/>
      <w:lang w:val="es-ES"/>
    </w:rPr>
  </w:style>
  <w:style w:type="table" w:styleId="TableGrid">
    <w:name w:val="Table Grid"/>
    <w:basedOn w:val="TableNormal"/>
    <w:uiPriority w:val="59"/>
    <w:rsid w:val="002226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Car1">
    <w:name w:val="Paragraph Car1"/>
    <w:locked/>
    <w:rsid w:val="009727F1"/>
    <w:rPr>
      <w:sz w:val="24"/>
    </w:rPr>
  </w:style>
  <w:style w:type="paragraph" w:customStyle="1" w:styleId="Default">
    <w:name w:val="Default"/>
    <w:rsid w:val="0050118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ewpageChar">
    <w:name w:val="Newpage Char"/>
    <w:link w:val="Newpage"/>
    <w:rsid w:val="00480F0A"/>
    <w:rPr>
      <w:rFonts w:ascii="Times New Roman" w:eastAsia="Times New Roman" w:hAnsi="Times New Roman" w:cs="Arial"/>
      <w:b/>
      <w:smallCaps/>
      <w:spacing w:val="-3"/>
      <w:sz w:val="24"/>
      <w:szCs w:val="20"/>
      <w:lang w:val="es-ES_tradnl"/>
    </w:rPr>
  </w:style>
  <w:style w:type="character" w:customStyle="1" w:styleId="ListParagraphChar">
    <w:name w:val="List Paragraph Char"/>
    <w:link w:val="ListParagraph"/>
    <w:uiPriority w:val="34"/>
    <w:locked/>
    <w:rsid w:val="00422B81"/>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4B0002"/>
    <w:rPr>
      <w:rFonts w:eastAsiaTheme="minorEastAsia"/>
      <w:b/>
      <w:bCs/>
      <w:i/>
      <w:iCs/>
      <w:sz w:val="26"/>
      <w:szCs w:val="26"/>
    </w:rPr>
  </w:style>
  <w:style w:type="character" w:styleId="FollowedHyperlink">
    <w:name w:val="FollowedHyperlink"/>
    <w:basedOn w:val="DefaultParagraphFont"/>
    <w:uiPriority w:val="99"/>
    <w:semiHidden/>
    <w:unhideWhenUsed/>
    <w:rsid w:val="00281268"/>
    <w:rPr>
      <w:color w:val="800080" w:themeColor="followedHyperlink"/>
      <w:u w:val="single"/>
    </w:rPr>
  </w:style>
  <w:style w:type="paragraph" w:styleId="NormalWeb">
    <w:name w:val="Normal (Web)"/>
    <w:basedOn w:val="Normal"/>
    <w:uiPriority w:val="99"/>
    <w:semiHidden/>
    <w:unhideWhenUsed/>
    <w:rsid w:val="00465EA8"/>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A6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30A6E"/>
    <w:pPr>
      <w:keepNext/>
      <w:numPr>
        <w:numId w:val="1"/>
      </w:numPr>
      <w:spacing w:before="240" w:after="60"/>
      <w:outlineLvl w:val="0"/>
    </w:pPr>
    <w:rPr>
      <w:rFonts w:ascii="Arial" w:hAnsi="Arial"/>
      <w:b/>
      <w:kern w:val="28"/>
      <w:sz w:val="28"/>
      <w:szCs w:val="20"/>
    </w:rPr>
  </w:style>
  <w:style w:type="paragraph" w:styleId="Heading2">
    <w:name w:val="heading 2"/>
    <w:basedOn w:val="Normal"/>
    <w:next w:val="Normal"/>
    <w:link w:val="Heading2Char"/>
    <w:uiPriority w:val="9"/>
    <w:semiHidden/>
    <w:unhideWhenUsed/>
    <w:qFormat/>
    <w:rsid w:val="00C44EF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530A6E"/>
    <w:pPr>
      <w:keepNext/>
      <w:numPr>
        <w:ilvl w:val="2"/>
        <w:numId w:val="1"/>
      </w:numPr>
      <w:spacing w:before="240" w:after="60"/>
      <w:outlineLvl w:val="2"/>
    </w:pPr>
    <w:rPr>
      <w:rFonts w:ascii="Arial" w:hAnsi="Arial"/>
      <w:szCs w:val="20"/>
    </w:rPr>
  </w:style>
  <w:style w:type="paragraph" w:styleId="Heading4">
    <w:name w:val="heading 4"/>
    <w:basedOn w:val="Normal"/>
    <w:next w:val="Normal"/>
    <w:link w:val="Heading4Char"/>
    <w:uiPriority w:val="9"/>
    <w:qFormat/>
    <w:rsid w:val="00530A6E"/>
    <w:pPr>
      <w:keepNext/>
      <w:numPr>
        <w:ilvl w:val="3"/>
        <w:numId w:val="1"/>
      </w:numPr>
      <w:spacing w:before="240" w:after="60"/>
      <w:outlineLvl w:val="3"/>
    </w:pPr>
    <w:rPr>
      <w:rFonts w:ascii="Arial" w:hAnsi="Arial"/>
      <w:b/>
      <w:szCs w:val="20"/>
    </w:rPr>
  </w:style>
  <w:style w:type="paragraph" w:styleId="Heading5">
    <w:name w:val="heading 5"/>
    <w:basedOn w:val="Normal"/>
    <w:next w:val="Normal"/>
    <w:link w:val="Heading5Char"/>
    <w:uiPriority w:val="9"/>
    <w:semiHidden/>
    <w:unhideWhenUsed/>
    <w:qFormat/>
    <w:rsid w:val="004B0002"/>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530A6E"/>
    <w:pPr>
      <w:numPr>
        <w:ilvl w:val="5"/>
        <w:numId w:val="1"/>
      </w:numPr>
      <w:spacing w:before="240" w:after="60"/>
      <w:outlineLvl w:val="5"/>
    </w:pPr>
    <w:rPr>
      <w:i/>
      <w:sz w:val="22"/>
      <w:szCs w:val="20"/>
    </w:rPr>
  </w:style>
  <w:style w:type="paragraph" w:styleId="Heading7">
    <w:name w:val="heading 7"/>
    <w:basedOn w:val="Normal"/>
    <w:next w:val="Normal"/>
    <w:link w:val="Heading7Char"/>
    <w:uiPriority w:val="9"/>
    <w:qFormat/>
    <w:rsid w:val="00530A6E"/>
    <w:pPr>
      <w:numPr>
        <w:ilvl w:val="6"/>
        <w:numId w:val="1"/>
      </w:numPr>
      <w:spacing w:before="240" w:after="60"/>
      <w:outlineLvl w:val="6"/>
    </w:pPr>
    <w:rPr>
      <w:rFonts w:ascii="Arial" w:hAnsi="Arial"/>
      <w:szCs w:val="20"/>
    </w:rPr>
  </w:style>
  <w:style w:type="paragraph" w:styleId="Heading8">
    <w:name w:val="heading 8"/>
    <w:basedOn w:val="Normal"/>
    <w:next w:val="Normal"/>
    <w:link w:val="Heading8Char"/>
    <w:uiPriority w:val="9"/>
    <w:qFormat/>
    <w:rsid w:val="00530A6E"/>
    <w:pPr>
      <w:numPr>
        <w:ilvl w:val="7"/>
        <w:numId w:val="1"/>
      </w:numPr>
      <w:spacing w:before="240" w:after="60"/>
      <w:outlineLvl w:val="7"/>
    </w:pPr>
    <w:rPr>
      <w:rFonts w:ascii="Arial" w:hAnsi="Arial"/>
      <w:i/>
      <w:szCs w:val="20"/>
    </w:rPr>
  </w:style>
  <w:style w:type="paragraph" w:styleId="Heading9">
    <w:name w:val="heading 9"/>
    <w:basedOn w:val="Normal"/>
    <w:next w:val="Normal"/>
    <w:link w:val="Heading9Char"/>
    <w:uiPriority w:val="9"/>
    <w:qFormat/>
    <w:rsid w:val="00530A6E"/>
    <w:pPr>
      <w:numPr>
        <w:ilvl w:val="8"/>
        <w:numId w:val="1"/>
      </w:num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81AC3"/>
    <w:pPr>
      <w:spacing w:after="0" w:line="240" w:lineRule="auto"/>
    </w:pPr>
  </w:style>
  <w:style w:type="character" w:customStyle="1" w:styleId="Heading1Char">
    <w:name w:val="Heading 1 Char"/>
    <w:basedOn w:val="DefaultParagraphFont"/>
    <w:link w:val="Heading1"/>
    <w:uiPriority w:val="9"/>
    <w:rsid w:val="00530A6E"/>
    <w:rPr>
      <w:rFonts w:ascii="Arial" w:eastAsia="Times New Roman" w:hAnsi="Arial" w:cs="Times New Roman"/>
      <w:b/>
      <w:kern w:val="28"/>
      <w:sz w:val="28"/>
      <w:szCs w:val="20"/>
    </w:rPr>
  </w:style>
  <w:style w:type="character" w:customStyle="1" w:styleId="Heading3Char">
    <w:name w:val="Heading 3 Char"/>
    <w:basedOn w:val="DefaultParagraphFont"/>
    <w:link w:val="Heading3"/>
    <w:uiPriority w:val="9"/>
    <w:rsid w:val="00530A6E"/>
    <w:rPr>
      <w:rFonts w:ascii="Arial" w:eastAsia="Times New Roman" w:hAnsi="Arial" w:cs="Times New Roman"/>
      <w:sz w:val="24"/>
      <w:szCs w:val="20"/>
    </w:rPr>
  </w:style>
  <w:style w:type="character" w:customStyle="1" w:styleId="Heading4Char">
    <w:name w:val="Heading 4 Char"/>
    <w:basedOn w:val="DefaultParagraphFont"/>
    <w:link w:val="Heading4"/>
    <w:uiPriority w:val="9"/>
    <w:rsid w:val="00530A6E"/>
    <w:rPr>
      <w:rFonts w:ascii="Arial" w:eastAsia="Times New Roman" w:hAnsi="Arial" w:cs="Times New Roman"/>
      <w:b/>
      <w:sz w:val="24"/>
      <w:szCs w:val="20"/>
    </w:rPr>
  </w:style>
  <w:style w:type="character" w:customStyle="1" w:styleId="Heading6Char">
    <w:name w:val="Heading 6 Char"/>
    <w:basedOn w:val="DefaultParagraphFont"/>
    <w:link w:val="Heading6"/>
    <w:rsid w:val="00530A6E"/>
    <w:rPr>
      <w:rFonts w:ascii="Times New Roman" w:eastAsia="Times New Roman" w:hAnsi="Times New Roman" w:cs="Times New Roman"/>
      <w:i/>
      <w:szCs w:val="20"/>
    </w:rPr>
  </w:style>
  <w:style w:type="character" w:customStyle="1" w:styleId="Heading7Char">
    <w:name w:val="Heading 7 Char"/>
    <w:basedOn w:val="DefaultParagraphFont"/>
    <w:link w:val="Heading7"/>
    <w:uiPriority w:val="9"/>
    <w:rsid w:val="00530A6E"/>
    <w:rPr>
      <w:rFonts w:ascii="Arial" w:eastAsia="Times New Roman" w:hAnsi="Arial" w:cs="Times New Roman"/>
      <w:sz w:val="24"/>
      <w:szCs w:val="20"/>
    </w:rPr>
  </w:style>
  <w:style w:type="character" w:customStyle="1" w:styleId="Heading8Char">
    <w:name w:val="Heading 8 Char"/>
    <w:basedOn w:val="DefaultParagraphFont"/>
    <w:link w:val="Heading8"/>
    <w:uiPriority w:val="9"/>
    <w:rsid w:val="00530A6E"/>
    <w:rPr>
      <w:rFonts w:ascii="Arial" w:eastAsia="Times New Roman" w:hAnsi="Arial" w:cs="Times New Roman"/>
      <w:i/>
      <w:sz w:val="24"/>
      <w:szCs w:val="20"/>
    </w:rPr>
  </w:style>
  <w:style w:type="character" w:customStyle="1" w:styleId="Heading9Char">
    <w:name w:val="Heading 9 Char"/>
    <w:basedOn w:val="DefaultParagraphFont"/>
    <w:link w:val="Heading9"/>
    <w:uiPriority w:val="9"/>
    <w:rsid w:val="00530A6E"/>
    <w:rPr>
      <w:rFonts w:ascii="Arial" w:eastAsia="Times New Roman" w:hAnsi="Arial" w:cs="Times New Roman"/>
      <w:b/>
      <w:i/>
      <w:sz w:val="18"/>
      <w:szCs w:val="20"/>
    </w:rPr>
  </w:style>
  <w:style w:type="paragraph" w:customStyle="1" w:styleId="Chapter">
    <w:name w:val="Chapter"/>
    <w:basedOn w:val="Normal"/>
    <w:next w:val="Normal"/>
    <w:uiPriority w:val="99"/>
    <w:rsid w:val="00530A6E"/>
    <w:pPr>
      <w:tabs>
        <w:tab w:val="num" w:pos="720"/>
        <w:tab w:val="left" w:pos="1440"/>
      </w:tabs>
      <w:spacing w:after="240"/>
      <w:ind w:left="720" w:hanging="720"/>
      <w:jc w:val="center"/>
    </w:pPr>
    <w:rPr>
      <w:b/>
      <w:smallCaps/>
      <w:noProof/>
      <w:szCs w:val="20"/>
    </w:rPr>
  </w:style>
  <w:style w:type="paragraph" w:customStyle="1" w:styleId="Paragraph">
    <w:name w:val="Paragraph"/>
    <w:aliases w:val="paragraph,p,PARAGRAPH,PG,pa,at"/>
    <w:basedOn w:val="BodyTextIndent"/>
    <w:link w:val="ParagraphChar"/>
    <w:rsid w:val="00530A6E"/>
    <w:pPr>
      <w:tabs>
        <w:tab w:val="num" w:pos="1440"/>
      </w:tabs>
      <w:spacing w:before="120"/>
      <w:ind w:left="1440" w:hanging="720"/>
      <w:jc w:val="both"/>
      <w:outlineLvl w:val="1"/>
    </w:pPr>
    <w:rPr>
      <w:szCs w:val="20"/>
    </w:rPr>
  </w:style>
  <w:style w:type="paragraph" w:styleId="Header">
    <w:name w:val="header"/>
    <w:basedOn w:val="Normal"/>
    <w:link w:val="HeaderChar"/>
    <w:uiPriority w:val="99"/>
    <w:rsid w:val="00530A6E"/>
    <w:pPr>
      <w:tabs>
        <w:tab w:val="center" w:pos="4320"/>
        <w:tab w:val="right" w:pos="8640"/>
      </w:tabs>
    </w:pPr>
  </w:style>
  <w:style w:type="character" w:customStyle="1" w:styleId="HeaderChar">
    <w:name w:val="Header Char"/>
    <w:basedOn w:val="DefaultParagraphFont"/>
    <w:link w:val="Header"/>
    <w:uiPriority w:val="99"/>
    <w:rsid w:val="00530A6E"/>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530A6E"/>
    <w:pPr>
      <w:spacing w:after="120"/>
      <w:ind w:left="360"/>
    </w:pPr>
  </w:style>
  <w:style w:type="character" w:customStyle="1" w:styleId="BodyTextIndentChar">
    <w:name w:val="Body Text Indent Char"/>
    <w:basedOn w:val="DefaultParagraphFont"/>
    <w:link w:val="BodyTextIndent"/>
    <w:uiPriority w:val="99"/>
    <w:semiHidden/>
    <w:rsid w:val="00530A6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30A6E"/>
    <w:pPr>
      <w:tabs>
        <w:tab w:val="center" w:pos="4680"/>
        <w:tab w:val="right" w:pos="9360"/>
      </w:tabs>
    </w:pPr>
  </w:style>
  <w:style w:type="character" w:customStyle="1" w:styleId="FooterChar">
    <w:name w:val="Footer Char"/>
    <w:basedOn w:val="DefaultParagraphFont"/>
    <w:link w:val="Footer"/>
    <w:uiPriority w:val="99"/>
    <w:rsid w:val="00530A6E"/>
    <w:rPr>
      <w:rFonts w:ascii="Times New Roman" w:eastAsia="Times New Roman" w:hAnsi="Times New Roman" w:cs="Times New Roman"/>
      <w:sz w:val="24"/>
      <w:szCs w:val="24"/>
    </w:rPr>
  </w:style>
  <w:style w:type="paragraph" w:styleId="BalloonText">
    <w:name w:val="Balloon Text"/>
    <w:basedOn w:val="Normal"/>
    <w:link w:val="BalloonTextChar"/>
    <w:uiPriority w:val="99"/>
    <w:unhideWhenUsed/>
    <w:rsid w:val="00530A6E"/>
    <w:rPr>
      <w:rFonts w:ascii="Tahoma" w:hAnsi="Tahoma" w:cs="Tahoma"/>
      <w:sz w:val="16"/>
      <w:szCs w:val="16"/>
    </w:rPr>
  </w:style>
  <w:style w:type="character" w:customStyle="1" w:styleId="BalloonTextChar">
    <w:name w:val="Balloon Text Char"/>
    <w:basedOn w:val="DefaultParagraphFont"/>
    <w:link w:val="BalloonText"/>
    <w:uiPriority w:val="99"/>
    <w:rsid w:val="00530A6E"/>
    <w:rPr>
      <w:rFonts w:ascii="Tahoma" w:eastAsia="Times New Roman" w:hAnsi="Tahoma" w:cs="Tahoma"/>
      <w:sz w:val="16"/>
      <w:szCs w:val="16"/>
    </w:rPr>
  </w:style>
  <w:style w:type="character" w:customStyle="1" w:styleId="Heading2Char">
    <w:name w:val="Heading 2 Char"/>
    <w:basedOn w:val="DefaultParagraphFont"/>
    <w:link w:val="Heading2"/>
    <w:uiPriority w:val="9"/>
    <w:semiHidden/>
    <w:rsid w:val="00C44EF7"/>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99"/>
    <w:unhideWhenUsed/>
    <w:rsid w:val="00C44EF7"/>
    <w:pPr>
      <w:spacing w:after="120"/>
    </w:pPr>
  </w:style>
  <w:style w:type="character" w:customStyle="1" w:styleId="BodyTextChar">
    <w:name w:val="Body Text Char"/>
    <w:basedOn w:val="DefaultParagraphFont"/>
    <w:link w:val="BodyText"/>
    <w:uiPriority w:val="99"/>
    <w:rsid w:val="00C44EF7"/>
    <w:rPr>
      <w:rFonts w:ascii="Times New Roman" w:eastAsia="Times New Roman" w:hAnsi="Times New Roman" w:cs="Times New Roman"/>
      <w:sz w:val="24"/>
      <w:szCs w:val="24"/>
    </w:rPr>
  </w:style>
  <w:style w:type="character" w:styleId="PageNumber">
    <w:name w:val="page number"/>
    <w:basedOn w:val="DefaultParagraphFont"/>
    <w:semiHidden/>
    <w:rsid w:val="00C44EF7"/>
  </w:style>
  <w:style w:type="paragraph" w:styleId="Subtitle">
    <w:name w:val="Subtitle"/>
    <w:basedOn w:val="Normal"/>
    <w:link w:val="SubtitleChar"/>
    <w:qFormat/>
    <w:rsid w:val="00C44EF7"/>
    <w:pPr>
      <w:tabs>
        <w:tab w:val="center" w:pos="4680"/>
      </w:tabs>
      <w:spacing w:before="120"/>
      <w:jc w:val="center"/>
    </w:pPr>
    <w:rPr>
      <w:b/>
      <w:bCs/>
      <w:szCs w:val="20"/>
      <w:lang w:val="es-ES"/>
    </w:rPr>
  </w:style>
  <w:style w:type="character" w:customStyle="1" w:styleId="SubtitleChar">
    <w:name w:val="Subtitle Char"/>
    <w:basedOn w:val="DefaultParagraphFont"/>
    <w:link w:val="Subtitle"/>
    <w:rsid w:val="00C44EF7"/>
    <w:rPr>
      <w:rFonts w:ascii="Times New Roman" w:eastAsia="Times New Roman" w:hAnsi="Times New Roman" w:cs="Times New Roman"/>
      <w:b/>
      <w:bCs/>
      <w:sz w:val="24"/>
      <w:szCs w:val="20"/>
      <w:lang w:val="es-ES"/>
    </w:rPr>
  </w:style>
  <w:style w:type="character" w:styleId="Hyperlink">
    <w:name w:val="Hyperlink"/>
    <w:basedOn w:val="DefaultParagraphFont"/>
    <w:rsid w:val="00891BB1"/>
    <w:rPr>
      <w:color w:val="0000FF"/>
      <w:u w:val="single"/>
    </w:rPr>
  </w:style>
  <w:style w:type="paragraph" w:styleId="ListParagraph">
    <w:name w:val="List Paragraph"/>
    <w:basedOn w:val="Normal"/>
    <w:link w:val="ListParagraphChar"/>
    <w:uiPriority w:val="34"/>
    <w:qFormat/>
    <w:rsid w:val="00731137"/>
    <w:pPr>
      <w:ind w:left="720"/>
      <w:contextualSpacing/>
    </w:pPr>
  </w:style>
  <w:style w:type="paragraph" w:customStyle="1" w:styleId="subpar">
    <w:name w:val="subpar"/>
    <w:basedOn w:val="BodyTextIndent3"/>
    <w:rsid w:val="002D1E15"/>
    <w:pPr>
      <w:tabs>
        <w:tab w:val="num" w:pos="1152"/>
      </w:tabs>
      <w:spacing w:before="120"/>
      <w:ind w:left="1152" w:hanging="432"/>
      <w:jc w:val="both"/>
      <w:outlineLvl w:val="2"/>
    </w:pPr>
    <w:rPr>
      <w:sz w:val="24"/>
      <w:szCs w:val="20"/>
    </w:rPr>
  </w:style>
  <w:style w:type="paragraph" w:customStyle="1" w:styleId="SubSubPar">
    <w:name w:val="SubSubPar"/>
    <w:basedOn w:val="subpar"/>
    <w:rsid w:val="002D1E15"/>
  </w:style>
  <w:style w:type="character" w:customStyle="1" w:styleId="ParagraphChar">
    <w:name w:val="Paragraph Char"/>
    <w:basedOn w:val="DefaultParagraphFont"/>
    <w:link w:val="Paragraph"/>
    <w:locked/>
    <w:rsid w:val="002D1E15"/>
    <w:rPr>
      <w:rFonts w:ascii="Times New Roman" w:eastAsia="Times New Roman" w:hAnsi="Times New Roman" w:cs="Times New Roman"/>
      <w:sz w:val="24"/>
      <w:szCs w:val="20"/>
    </w:rPr>
  </w:style>
  <w:style w:type="paragraph" w:styleId="BodyTextIndent3">
    <w:name w:val="Body Text Indent 3"/>
    <w:basedOn w:val="Normal"/>
    <w:link w:val="BodyTextIndent3Char"/>
    <w:uiPriority w:val="99"/>
    <w:semiHidden/>
    <w:unhideWhenUsed/>
    <w:rsid w:val="002D1E1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D1E15"/>
    <w:rPr>
      <w:rFonts w:ascii="Times New Roman" w:eastAsia="Times New Roman" w:hAnsi="Times New Roman" w:cs="Times New Roman"/>
      <w:sz w:val="16"/>
      <w:szCs w:val="16"/>
    </w:rPr>
  </w:style>
  <w:style w:type="paragraph" w:styleId="FootnoteText">
    <w:name w:val="footnote text"/>
    <w:aliases w:val="fn,single space,footnote text,foottextfra,footnote,F,Texto nota pie Car Car,texto de nota al pie,Nota a pie/Bibliog,Texto nota pie Car Car Car Car Car Car Car Car,Texto nota pie Car Car Car,f,FOOTNOTES,Footnote Text Char Char"/>
    <w:basedOn w:val="Normal"/>
    <w:link w:val="FootnoteTextChar1"/>
    <w:uiPriority w:val="99"/>
    <w:rsid w:val="002D1E15"/>
    <w:rPr>
      <w:sz w:val="20"/>
      <w:szCs w:val="20"/>
    </w:rPr>
  </w:style>
  <w:style w:type="character" w:customStyle="1" w:styleId="FootnoteTextChar">
    <w:name w:val="Footnote Text Char"/>
    <w:aliases w:val="foottextfra Char,footnote Char,F Char,Texto nota pie Car Car Char,texto de nota al pie Char,Nota a pie/Bibliog Char,Texto nota pie Car Car Car Car Car Car Car Car Char,Texto nota pie Car Car Car Char,Texto de rodapé Char,fn Char1"/>
    <w:basedOn w:val="DefaultParagraphFont"/>
    <w:uiPriority w:val="99"/>
    <w:rsid w:val="002D1E15"/>
    <w:rPr>
      <w:rFonts w:ascii="Times New Roman" w:eastAsia="Times New Roman" w:hAnsi="Times New Roman" w:cs="Times New Roman"/>
      <w:sz w:val="20"/>
      <w:szCs w:val="20"/>
    </w:rPr>
  </w:style>
  <w:style w:type="character" w:styleId="FootnoteReference">
    <w:name w:val="footnote reference"/>
    <w:aliases w:val="referencia nota al pie,ftref,16 Point,Superscript 6 Point,FC,Ref,de nota al pie,(Ref. de nota al pie),Fußnotenzeichen DISS,Style 24,Appel note de bas de page"/>
    <w:basedOn w:val="DefaultParagraphFont"/>
    <w:uiPriority w:val="99"/>
    <w:rsid w:val="002D1E15"/>
    <w:rPr>
      <w:vertAlign w:val="superscript"/>
    </w:rPr>
  </w:style>
  <w:style w:type="character" w:customStyle="1" w:styleId="FootnoteTextChar1">
    <w:name w:val="Footnote Text Char1"/>
    <w:aliases w:val="fn Char,single space Char,footnote text Char,foottextfra Char1,footnote Char1,F Char1,Texto nota pie Car Car Char1,texto de nota al pie Char1,Nota a pie/Bibliog Char1,Texto nota pie Car Car Car Car Car Car Car Car Char1,f Char"/>
    <w:basedOn w:val="DefaultParagraphFont"/>
    <w:link w:val="FootnoteText"/>
    <w:locked/>
    <w:rsid w:val="002D1E15"/>
    <w:rPr>
      <w:rFonts w:ascii="Times New Roman" w:eastAsia="Times New Roman" w:hAnsi="Times New Roman" w:cs="Times New Roman"/>
      <w:sz w:val="20"/>
      <w:szCs w:val="20"/>
    </w:rPr>
  </w:style>
  <w:style w:type="paragraph" w:customStyle="1" w:styleId="heading-b24">
    <w:name w:val="heading-b24"/>
    <w:basedOn w:val="Normal"/>
    <w:next w:val="Normal"/>
    <w:rsid w:val="00396984"/>
    <w:pPr>
      <w:spacing w:after="600"/>
      <w:jc w:val="center"/>
    </w:pPr>
    <w:rPr>
      <w:rFonts w:ascii="Times New Roman Bold" w:hAnsi="Times New Roman Bold"/>
      <w:b/>
      <w:smallCaps/>
      <w:spacing w:val="-3"/>
      <w:szCs w:val="20"/>
      <w:lang w:val="es-ES_tradnl"/>
    </w:rPr>
  </w:style>
  <w:style w:type="character" w:styleId="Strong">
    <w:name w:val="Strong"/>
    <w:basedOn w:val="DefaultParagraphFont"/>
    <w:uiPriority w:val="22"/>
    <w:qFormat/>
    <w:rsid w:val="00396984"/>
    <w:rPr>
      <w:b/>
      <w:bCs/>
    </w:rPr>
  </w:style>
  <w:style w:type="character" w:styleId="CommentReference">
    <w:name w:val="annotation reference"/>
    <w:basedOn w:val="DefaultParagraphFont"/>
    <w:unhideWhenUsed/>
    <w:rsid w:val="00CD6C31"/>
    <w:rPr>
      <w:sz w:val="16"/>
      <w:szCs w:val="16"/>
    </w:rPr>
  </w:style>
  <w:style w:type="paragraph" w:styleId="CommentText">
    <w:name w:val="annotation text"/>
    <w:basedOn w:val="Normal"/>
    <w:link w:val="CommentTextChar"/>
    <w:unhideWhenUsed/>
    <w:rsid w:val="00CD6C31"/>
    <w:rPr>
      <w:sz w:val="20"/>
      <w:szCs w:val="20"/>
    </w:rPr>
  </w:style>
  <w:style w:type="character" w:customStyle="1" w:styleId="CommentTextChar">
    <w:name w:val="Comment Text Char"/>
    <w:basedOn w:val="DefaultParagraphFont"/>
    <w:link w:val="CommentText"/>
    <w:rsid w:val="00CD6C31"/>
    <w:rPr>
      <w:rFonts w:ascii="Times New Roman" w:eastAsia="Times New Roman" w:hAnsi="Times New Roman" w:cs="Times New Roman"/>
      <w:sz w:val="20"/>
      <w:szCs w:val="20"/>
    </w:rPr>
  </w:style>
  <w:style w:type="character" w:customStyle="1" w:styleId="NoSpacingChar">
    <w:name w:val="No Spacing Char"/>
    <w:link w:val="NoSpacing"/>
    <w:uiPriority w:val="1"/>
    <w:rsid w:val="0047412F"/>
  </w:style>
  <w:style w:type="paragraph" w:styleId="Title">
    <w:name w:val="Title"/>
    <w:basedOn w:val="Normal"/>
    <w:link w:val="TitleChar"/>
    <w:qFormat/>
    <w:rsid w:val="0047412F"/>
    <w:pPr>
      <w:tabs>
        <w:tab w:val="left" w:pos="1440"/>
        <w:tab w:val="left" w:pos="3060"/>
      </w:tabs>
      <w:jc w:val="center"/>
      <w:outlineLvl w:val="0"/>
    </w:pPr>
    <w:rPr>
      <w:lang w:val="es-ES" w:eastAsia="x-none"/>
    </w:rPr>
  </w:style>
  <w:style w:type="character" w:customStyle="1" w:styleId="TitleChar">
    <w:name w:val="Title Char"/>
    <w:basedOn w:val="DefaultParagraphFont"/>
    <w:link w:val="Title"/>
    <w:rsid w:val="0047412F"/>
    <w:rPr>
      <w:rFonts w:ascii="Times New Roman" w:eastAsia="Times New Roman" w:hAnsi="Times New Roman" w:cs="Times New Roman"/>
      <w:sz w:val="24"/>
      <w:szCs w:val="24"/>
      <w:lang w:val="es-ES" w:eastAsia="x-none"/>
    </w:rPr>
  </w:style>
  <w:style w:type="paragraph" w:customStyle="1" w:styleId="FirstHeading">
    <w:name w:val="FirstHeading"/>
    <w:basedOn w:val="Normal"/>
    <w:link w:val="FirstHeadingChar"/>
    <w:uiPriority w:val="99"/>
    <w:rsid w:val="0047412F"/>
    <w:pPr>
      <w:keepNext/>
      <w:numPr>
        <w:numId w:val="2"/>
      </w:numPr>
      <w:tabs>
        <w:tab w:val="left" w:pos="0"/>
        <w:tab w:val="left" w:pos="90"/>
      </w:tabs>
      <w:spacing w:before="120" w:after="120"/>
    </w:pPr>
    <w:rPr>
      <w:rFonts w:eastAsia="Batang"/>
      <w:b/>
      <w:szCs w:val="20"/>
      <w:lang w:val="es-ES"/>
    </w:rPr>
  </w:style>
  <w:style w:type="paragraph" w:customStyle="1" w:styleId="SecHeading">
    <w:name w:val="SecHeading"/>
    <w:basedOn w:val="Normal"/>
    <w:next w:val="Normal"/>
    <w:uiPriority w:val="99"/>
    <w:rsid w:val="0047412F"/>
    <w:pPr>
      <w:keepNext/>
      <w:numPr>
        <w:ilvl w:val="1"/>
        <w:numId w:val="2"/>
      </w:numPr>
      <w:spacing w:before="120" w:after="120"/>
    </w:pPr>
    <w:rPr>
      <w:rFonts w:eastAsia="Batang"/>
      <w:b/>
      <w:szCs w:val="20"/>
      <w:lang w:val="es-ES_tradnl"/>
    </w:rPr>
  </w:style>
  <w:style w:type="paragraph" w:customStyle="1" w:styleId="SubHeading1">
    <w:name w:val="SubHeading1"/>
    <w:basedOn w:val="SecHeading"/>
    <w:uiPriority w:val="99"/>
    <w:rsid w:val="0047412F"/>
    <w:pPr>
      <w:numPr>
        <w:ilvl w:val="2"/>
      </w:numPr>
    </w:pPr>
  </w:style>
  <w:style w:type="paragraph" w:customStyle="1" w:styleId="Subheading2">
    <w:name w:val="Subheading2"/>
    <w:basedOn w:val="SecHeading"/>
    <w:uiPriority w:val="99"/>
    <w:rsid w:val="0047412F"/>
    <w:pPr>
      <w:numPr>
        <w:ilvl w:val="3"/>
      </w:numPr>
    </w:pPr>
  </w:style>
  <w:style w:type="paragraph" w:styleId="CommentSubject">
    <w:name w:val="annotation subject"/>
    <w:basedOn w:val="CommentText"/>
    <w:next w:val="CommentText"/>
    <w:link w:val="CommentSubjectChar"/>
    <w:uiPriority w:val="99"/>
    <w:semiHidden/>
    <w:unhideWhenUsed/>
    <w:rsid w:val="00A6072B"/>
    <w:rPr>
      <w:b/>
      <w:bCs/>
    </w:rPr>
  </w:style>
  <w:style w:type="character" w:customStyle="1" w:styleId="CommentSubjectChar">
    <w:name w:val="Comment Subject Char"/>
    <w:basedOn w:val="CommentTextChar"/>
    <w:link w:val="CommentSubject"/>
    <w:uiPriority w:val="99"/>
    <w:semiHidden/>
    <w:rsid w:val="00A6072B"/>
    <w:rPr>
      <w:rFonts w:ascii="Times New Roman" w:eastAsia="Times New Roman" w:hAnsi="Times New Roman" w:cs="Times New Roman"/>
      <w:b/>
      <w:bCs/>
      <w:sz w:val="20"/>
      <w:szCs w:val="20"/>
    </w:rPr>
  </w:style>
  <w:style w:type="paragraph" w:styleId="Revision">
    <w:name w:val="Revision"/>
    <w:hidden/>
    <w:uiPriority w:val="99"/>
    <w:semiHidden/>
    <w:rsid w:val="00A6072B"/>
    <w:pPr>
      <w:spacing w:after="0" w:line="240" w:lineRule="auto"/>
    </w:pPr>
    <w:rPr>
      <w:rFonts w:ascii="Times New Roman" w:eastAsia="Times New Roman" w:hAnsi="Times New Roman" w:cs="Times New Roman"/>
      <w:sz w:val="24"/>
      <w:szCs w:val="24"/>
    </w:rPr>
  </w:style>
  <w:style w:type="paragraph" w:customStyle="1" w:styleId="Newpage">
    <w:name w:val="Newpage"/>
    <w:basedOn w:val="Normal"/>
    <w:link w:val="NewpageChar"/>
    <w:rsid w:val="00CE79F7"/>
    <w:pPr>
      <w:tabs>
        <w:tab w:val="left" w:pos="1440"/>
        <w:tab w:val="left" w:pos="3060"/>
      </w:tabs>
      <w:jc w:val="center"/>
    </w:pPr>
    <w:rPr>
      <w:rFonts w:cs="Arial"/>
      <w:b/>
      <w:smallCaps/>
      <w:spacing w:val="-3"/>
      <w:szCs w:val="20"/>
      <w:lang w:val="es-ES_tradnl"/>
    </w:rPr>
  </w:style>
  <w:style w:type="character" w:customStyle="1" w:styleId="ParagraphCar">
    <w:name w:val="Paragraph Car"/>
    <w:rsid w:val="00911E00"/>
    <w:rPr>
      <w:sz w:val="24"/>
    </w:rPr>
  </w:style>
  <w:style w:type="character" w:customStyle="1" w:styleId="FirstHeadingChar">
    <w:name w:val="FirstHeading Char"/>
    <w:link w:val="FirstHeading"/>
    <w:uiPriority w:val="99"/>
    <w:rsid w:val="00911E00"/>
    <w:rPr>
      <w:rFonts w:ascii="Times New Roman" w:eastAsia="Batang" w:hAnsi="Times New Roman" w:cs="Times New Roman"/>
      <w:b/>
      <w:sz w:val="24"/>
      <w:szCs w:val="20"/>
      <w:lang w:val="es-ES"/>
    </w:rPr>
  </w:style>
  <w:style w:type="table" w:styleId="TableGrid">
    <w:name w:val="Table Grid"/>
    <w:basedOn w:val="TableNormal"/>
    <w:uiPriority w:val="59"/>
    <w:rsid w:val="002226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Car1">
    <w:name w:val="Paragraph Car1"/>
    <w:locked/>
    <w:rsid w:val="009727F1"/>
    <w:rPr>
      <w:sz w:val="24"/>
    </w:rPr>
  </w:style>
  <w:style w:type="paragraph" w:customStyle="1" w:styleId="Default">
    <w:name w:val="Default"/>
    <w:rsid w:val="0050118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ewpageChar">
    <w:name w:val="Newpage Char"/>
    <w:link w:val="Newpage"/>
    <w:rsid w:val="00480F0A"/>
    <w:rPr>
      <w:rFonts w:ascii="Times New Roman" w:eastAsia="Times New Roman" w:hAnsi="Times New Roman" w:cs="Arial"/>
      <w:b/>
      <w:smallCaps/>
      <w:spacing w:val="-3"/>
      <w:sz w:val="24"/>
      <w:szCs w:val="20"/>
      <w:lang w:val="es-ES_tradnl"/>
    </w:rPr>
  </w:style>
  <w:style w:type="character" w:customStyle="1" w:styleId="ListParagraphChar">
    <w:name w:val="List Paragraph Char"/>
    <w:link w:val="ListParagraph"/>
    <w:uiPriority w:val="34"/>
    <w:locked/>
    <w:rsid w:val="00422B81"/>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4B0002"/>
    <w:rPr>
      <w:rFonts w:eastAsiaTheme="minorEastAsia"/>
      <w:b/>
      <w:bCs/>
      <w:i/>
      <w:iCs/>
      <w:sz w:val="26"/>
      <w:szCs w:val="26"/>
    </w:rPr>
  </w:style>
  <w:style w:type="character" w:styleId="FollowedHyperlink">
    <w:name w:val="FollowedHyperlink"/>
    <w:basedOn w:val="DefaultParagraphFont"/>
    <w:uiPriority w:val="99"/>
    <w:semiHidden/>
    <w:unhideWhenUsed/>
    <w:rsid w:val="00281268"/>
    <w:rPr>
      <w:color w:val="800080" w:themeColor="followedHyperlink"/>
      <w:u w:val="single"/>
    </w:rPr>
  </w:style>
  <w:style w:type="paragraph" w:styleId="NormalWeb">
    <w:name w:val="Normal (Web)"/>
    <w:basedOn w:val="Normal"/>
    <w:uiPriority w:val="99"/>
    <w:semiHidden/>
    <w:unhideWhenUsed/>
    <w:rsid w:val="00465EA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343293">
      <w:bodyDiv w:val="1"/>
      <w:marLeft w:val="0"/>
      <w:marRight w:val="0"/>
      <w:marTop w:val="0"/>
      <w:marBottom w:val="0"/>
      <w:divBdr>
        <w:top w:val="none" w:sz="0" w:space="0" w:color="auto"/>
        <w:left w:val="none" w:sz="0" w:space="0" w:color="auto"/>
        <w:bottom w:val="none" w:sz="0" w:space="0" w:color="auto"/>
        <w:right w:val="none" w:sz="0" w:space="0" w:color="auto"/>
      </w:divBdr>
    </w:div>
    <w:div w:id="652871791">
      <w:bodyDiv w:val="1"/>
      <w:marLeft w:val="0"/>
      <w:marRight w:val="0"/>
      <w:marTop w:val="0"/>
      <w:marBottom w:val="0"/>
      <w:divBdr>
        <w:top w:val="none" w:sz="0" w:space="0" w:color="auto"/>
        <w:left w:val="none" w:sz="0" w:space="0" w:color="auto"/>
        <w:bottom w:val="none" w:sz="0" w:space="0" w:color="auto"/>
        <w:right w:val="none" w:sz="0" w:space="0" w:color="auto"/>
      </w:divBdr>
    </w:div>
    <w:div w:id="690494743">
      <w:bodyDiv w:val="1"/>
      <w:marLeft w:val="0"/>
      <w:marRight w:val="0"/>
      <w:marTop w:val="0"/>
      <w:marBottom w:val="0"/>
      <w:divBdr>
        <w:top w:val="none" w:sz="0" w:space="0" w:color="auto"/>
        <w:left w:val="none" w:sz="0" w:space="0" w:color="auto"/>
        <w:bottom w:val="none" w:sz="0" w:space="0" w:color="auto"/>
        <w:right w:val="none" w:sz="0" w:space="0" w:color="auto"/>
      </w:divBdr>
    </w:div>
    <w:div w:id="1128202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ancomundial.org/es/country/panama"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lpi.worldbank.org/international/scorecard/radar/254/C/PAN/2014"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atos.bancomundial.org/indicador/LP.LPI.OVRL.XQ" TargetMode="Externa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hyperlink" Target="http://lpi.worldbank.org/"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http://www.iadb.org/es/banco-interamericano-de-desarrollo,2837.html" TargetMode="Externa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teinteresa.es/dinero/Canal-Panama-cifras_0_1063694938.html" TargetMode="External"/><Relationship Id="rId2" Type="http://schemas.openxmlformats.org/officeDocument/2006/relationships/hyperlink" Target="http://www.bancomundial.org/es/country/panama" TargetMode="External"/><Relationship Id="rId1" Type="http://schemas.openxmlformats.org/officeDocument/2006/relationships/hyperlink" Target="http://apede.org/impacto-del-sector-logistico-no-se-refleja-a-lo-interno-del-pais-2/" TargetMode="External"/><Relationship Id="rId5" Type="http://schemas.openxmlformats.org/officeDocument/2006/relationships/hyperlink" Target="http://databank.worldbank.org/data/reports.aspx?source=2&amp;country=PAN&amp;series=&amp;period=%23" TargetMode="External"/><Relationship Id="rId4" Type="http://schemas.openxmlformats.org/officeDocument/2006/relationships/hyperlink" Target="http://www.bbc.com/mundo/noticias/2014/08/140807_america_latina_barcos_bandera_panama_ms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A0330E-44E6-4C33-8209-3E3EA2BE6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35</Pages>
  <Words>10527</Words>
  <Characters>60004</Characters>
  <Application>Microsoft Office Word</Application>
  <DocSecurity>0</DocSecurity>
  <Lines>500</Lines>
  <Paragraphs>140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Inter-American Development Bank</Company>
  <LinksUpToDate>false</LinksUpToDate>
  <CharactersWithSpaces>70391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almar</dc:creator>
  <cp:lastModifiedBy>IADB</cp:lastModifiedBy>
  <cp:revision>6</cp:revision>
  <cp:lastPrinted>2014-05-13T14:10:00Z</cp:lastPrinted>
  <dcterms:created xsi:type="dcterms:W3CDTF">2016-02-11T21:44:00Z</dcterms:created>
  <dcterms:modified xsi:type="dcterms:W3CDTF">2016-02-17T14:59:00Z</dcterms:modified>
</cp:coreProperties>
</file>