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50" w:rsidRPr="00154BFC" w:rsidRDefault="00C07F13" w:rsidP="00E62C89">
      <w:pPr>
        <w:jc w:val="center"/>
        <w:outlineLvl w:val="0"/>
        <w:rPr>
          <w:rFonts w:ascii="Times New Roman Bold" w:hAnsi="Times New Roman Bold"/>
          <w:b/>
          <w:bCs/>
          <w:smallCaps/>
        </w:rPr>
      </w:pPr>
      <w:r w:rsidRPr="00154BFC">
        <w:rPr>
          <w:rFonts w:ascii="Times New Roman Bold" w:hAnsi="Times New Roman Bold"/>
          <w:b/>
          <w:bCs/>
          <w:smallCaps/>
        </w:rPr>
        <w:t>Index for Completed and Proposed Sector work</w:t>
      </w:r>
    </w:p>
    <w:p w:rsidR="009E1350" w:rsidRPr="00154BFC" w:rsidRDefault="009E1350">
      <w:pPr>
        <w:jc w:val="center"/>
        <w:rPr>
          <w:rFonts w:ascii="Times New Roman Bold" w:hAnsi="Times New Roman Bold"/>
          <w:b/>
          <w:bCs/>
          <w:smallCaps/>
        </w:rPr>
      </w:pPr>
    </w:p>
    <w:tbl>
      <w:tblPr>
        <w:tblW w:w="13972"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0"/>
        <w:gridCol w:w="2086"/>
        <w:gridCol w:w="1195"/>
        <w:gridCol w:w="9391"/>
      </w:tblGrid>
      <w:tr w:rsidR="009E1350" w:rsidRPr="00AE2755" w:rsidTr="004B0FEC">
        <w:trPr>
          <w:tblHeader/>
          <w:jc w:val="center"/>
        </w:trPr>
        <w:tc>
          <w:tcPr>
            <w:tcW w:w="1300" w:type="dxa"/>
            <w:shd w:val="clear" w:color="auto" w:fill="99CCFF"/>
            <w:vAlign w:val="center"/>
          </w:tcPr>
          <w:p w:rsidR="009E1350" w:rsidRPr="00D566CB" w:rsidRDefault="00C07F13">
            <w:pPr>
              <w:jc w:val="center"/>
              <w:rPr>
                <w:b/>
                <w:bCs/>
                <w:sz w:val="20"/>
                <w:szCs w:val="20"/>
                <w:lang w:val="es-ES"/>
              </w:rPr>
            </w:pPr>
            <w:r>
              <w:rPr>
                <w:b/>
                <w:bCs/>
                <w:sz w:val="20"/>
                <w:szCs w:val="20"/>
                <w:lang w:val="es-ES"/>
              </w:rPr>
              <w:t>Topic</w:t>
            </w:r>
          </w:p>
        </w:tc>
        <w:tc>
          <w:tcPr>
            <w:tcW w:w="2086" w:type="dxa"/>
            <w:shd w:val="clear" w:color="auto" w:fill="99CCFF"/>
            <w:vAlign w:val="center"/>
          </w:tcPr>
          <w:p w:rsidR="009E1350" w:rsidRPr="00D566CB" w:rsidRDefault="009E1350">
            <w:pPr>
              <w:jc w:val="center"/>
              <w:rPr>
                <w:b/>
                <w:bCs/>
                <w:sz w:val="20"/>
                <w:szCs w:val="20"/>
                <w:lang w:val="es-ES"/>
              </w:rPr>
            </w:pPr>
            <w:r w:rsidRPr="00D566CB">
              <w:rPr>
                <w:b/>
                <w:bCs/>
                <w:sz w:val="20"/>
                <w:szCs w:val="20"/>
                <w:lang w:val="es-ES"/>
              </w:rPr>
              <w:t>Descrip</w:t>
            </w:r>
            <w:r w:rsidR="00C07F13">
              <w:rPr>
                <w:b/>
                <w:bCs/>
                <w:sz w:val="20"/>
                <w:szCs w:val="20"/>
                <w:lang w:val="es-ES"/>
              </w:rPr>
              <w:t>tion</w:t>
            </w:r>
          </w:p>
        </w:tc>
        <w:tc>
          <w:tcPr>
            <w:tcW w:w="1195" w:type="dxa"/>
            <w:shd w:val="clear" w:color="auto" w:fill="99CCFF"/>
            <w:vAlign w:val="center"/>
          </w:tcPr>
          <w:p w:rsidR="009E1350" w:rsidRPr="00D566CB" w:rsidRDefault="00C07F13">
            <w:pPr>
              <w:jc w:val="center"/>
              <w:rPr>
                <w:b/>
                <w:bCs/>
                <w:sz w:val="20"/>
                <w:szCs w:val="20"/>
                <w:lang w:val="es-ES"/>
              </w:rPr>
            </w:pPr>
            <w:r>
              <w:rPr>
                <w:b/>
                <w:bCs/>
                <w:sz w:val="20"/>
                <w:szCs w:val="20"/>
                <w:lang w:val="es-ES"/>
              </w:rPr>
              <w:t>Estimated Dates</w:t>
            </w:r>
          </w:p>
        </w:tc>
        <w:tc>
          <w:tcPr>
            <w:tcW w:w="9391" w:type="dxa"/>
            <w:shd w:val="clear" w:color="auto" w:fill="99CCFF"/>
            <w:vAlign w:val="center"/>
          </w:tcPr>
          <w:p w:rsidR="009E1350" w:rsidRPr="0012223D" w:rsidRDefault="00C07F13">
            <w:pPr>
              <w:jc w:val="center"/>
              <w:rPr>
                <w:bCs/>
                <w:sz w:val="20"/>
                <w:lang w:val="es-ES"/>
              </w:rPr>
            </w:pPr>
            <w:r w:rsidRPr="0012223D">
              <w:rPr>
                <w:bCs/>
                <w:sz w:val="20"/>
                <w:lang w:val="es-ES"/>
              </w:rPr>
              <w:t>References and Electronic Links</w:t>
            </w:r>
          </w:p>
        </w:tc>
      </w:tr>
      <w:tr w:rsidR="00C07F13" w:rsidRPr="00AE2755" w:rsidTr="004B0FEC">
        <w:trPr>
          <w:jc w:val="center"/>
        </w:trPr>
        <w:tc>
          <w:tcPr>
            <w:tcW w:w="1300" w:type="dxa"/>
          </w:tcPr>
          <w:p w:rsidR="00C07F13" w:rsidRPr="00D566CB" w:rsidRDefault="001322F2">
            <w:pPr>
              <w:rPr>
                <w:sz w:val="20"/>
                <w:szCs w:val="20"/>
                <w:lang w:val="es-ES"/>
              </w:rPr>
            </w:pPr>
            <w:r>
              <w:rPr>
                <w:sz w:val="20"/>
                <w:szCs w:val="20"/>
                <w:lang w:val="es-ES"/>
              </w:rPr>
              <w:t>Country Priorities</w:t>
            </w:r>
          </w:p>
        </w:tc>
        <w:tc>
          <w:tcPr>
            <w:tcW w:w="2086" w:type="dxa"/>
          </w:tcPr>
          <w:p w:rsidR="00C07F13" w:rsidRPr="00D566CB" w:rsidRDefault="001322F2" w:rsidP="004B0FEC">
            <w:pPr>
              <w:rPr>
                <w:sz w:val="20"/>
                <w:szCs w:val="20"/>
                <w:lang w:val="es-ES"/>
              </w:rPr>
            </w:pPr>
            <w:r>
              <w:rPr>
                <w:sz w:val="20"/>
                <w:szCs w:val="20"/>
                <w:lang w:val="es-ES"/>
              </w:rPr>
              <w:t>National Education Strategy 2011-2016</w:t>
            </w:r>
          </w:p>
        </w:tc>
        <w:tc>
          <w:tcPr>
            <w:tcW w:w="1195" w:type="dxa"/>
          </w:tcPr>
          <w:p w:rsidR="00C07F13" w:rsidRPr="00D566CB" w:rsidRDefault="001322F2" w:rsidP="006C2201">
            <w:pPr>
              <w:jc w:val="center"/>
              <w:rPr>
                <w:sz w:val="20"/>
                <w:szCs w:val="20"/>
                <w:lang w:val="es-ES"/>
              </w:rPr>
            </w:pPr>
            <w:r>
              <w:rPr>
                <w:sz w:val="20"/>
                <w:szCs w:val="20"/>
                <w:lang w:val="es-ES"/>
              </w:rPr>
              <w:t>Complete</w:t>
            </w:r>
          </w:p>
        </w:tc>
        <w:tc>
          <w:tcPr>
            <w:tcW w:w="9391" w:type="dxa"/>
          </w:tcPr>
          <w:p w:rsidR="00C07F13" w:rsidRPr="00224956" w:rsidRDefault="00224956" w:rsidP="00224956">
            <w:pPr>
              <w:rPr>
                <w:sz w:val="20"/>
                <w:szCs w:val="20"/>
                <w:lang w:val="es-ES"/>
              </w:rPr>
            </w:pPr>
            <w:hyperlink r:id="rId8" w:history="1">
              <w:r w:rsidRPr="00224956">
                <w:rPr>
                  <w:rStyle w:val="Hyperlink"/>
                  <w:sz w:val="20"/>
                  <w:szCs w:val="20"/>
                  <w:lang w:val="es-ES_tradnl"/>
                </w:rPr>
                <w:t>Ministry of Education Belize (2012). Improving access, quality and governance of education in Belize</w:t>
              </w:r>
            </w:hyperlink>
          </w:p>
        </w:tc>
      </w:tr>
      <w:tr w:rsidR="000A10EA" w:rsidRPr="00AE2755" w:rsidTr="004B0FEC">
        <w:trPr>
          <w:jc w:val="center"/>
        </w:trPr>
        <w:tc>
          <w:tcPr>
            <w:tcW w:w="1300" w:type="dxa"/>
            <w:vMerge w:val="restart"/>
          </w:tcPr>
          <w:p w:rsidR="000A10EA" w:rsidRPr="00D566CB" w:rsidRDefault="000A10EA">
            <w:pPr>
              <w:rPr>
                <w:sz w:val="20"/>
                <w:szCs w:val="20"/>
                <w:lang w:val="es-ES"/>
              </w:rPr>
            </w:pPr>
            <w:r>
              <w:rPr>
                <w:sz w:val="20"/>
                <w:szCs w:val="20"/>
                <w:lang w:val="es-ES"/>
              </w:rPr>
              <w:t>Education Sector Diagnostic</w:t>
            </w:r>
          </w:p>
        </w:tc>
        <w:tc>
          <w:tcPr>
            <w:tcW w:w="2086" w:type="dxa"/>
          </w:tcPr>
          <w:p w:rsidR="000A10EA" w:rsidRPr="001322F2" w:rsidRDefault="000E7088" w:rsidP="004B0FEC">
            <w:pPr>
              <w:rPr>
                <w:sz w:val="20"/>
                <w:szCs w:val="20"/>
                <w:lang w:val="pt-BR"/>
              </w:rPr>
            </w:pPr>
            <w:r>
              <w:rPr>
                <w:sz w:val="20"/>
                <w:szCs w:val="20"/>
                <w:lang w:val="pt-BR"/>
              </w:rPr>
              <w:t>Education Sector Assessment</w:t>
            </w:r>
          </w:p>
        </w:tc>
        <w:tc>
          <w:tcPr>
            <w:tcW w:w="1195" w:type="dxa"/>
          </w:tcPr>
          <w:p w:rsidR="000A10EA" w:rsidRPr="00D566CB" w:rsidRDefault="000A10EA" w:rsidP="00C07F13">
            <w:pPr>
              <w:jc w:val="center"/>
              <w:rPr>
                <w:sz w:val="20"/>
                <w:szCs w:val="20"/>
                <w:lang w:val="pt-BR"/>
              </w:rPr>
            </w:pPr>
            <w:r>
              <w:rPr>
                <w:sz w:val="20"/>
                <w:szCs w:val="20"/>
                <w:lang w:val="pt-BR"/>
              </w:rPr>
              <w:t>Complete</w:t>
            </w:r>
          </w:p>
        </w:tc>
        <w:tc>
          <w:tcPr>
            <w:tcW w:w="9391" w:type="dxa"/>
          </w:tcPr>
          <w:p w:rsidR="000A10EA" w:rsidRPr="00224956" w:rsidRDefault="00224956" w:rsidP="00224956">
            <w:pPr>
              <w:rPr>
                <w:sz w:val="20"/>
                <w:szCs w:val="20"/>
                <w:lang w:val="pt-BR"/>
              </w:rPr>
            </w:pPr>
            <w:hyperlink r:id="rId9" w:history="1">
              <w:r w:rsidRPr="00224956">
                <w:rPr>
                  <w:rStyle w:val="Hyperlink"/>
                  <w:sz w:val="20"/>
                  <w:szCs w:val="20"/>
                  <w:lang w:val="es-ES_tradnl"/>
                </w:rPr>
                <w:t>Näslund-Hadley, Emma et. Al. (2013). Challenges and Opportunities in the Belize Education Sector</w:t>
              </w:r>
            </w:hyperlink>
            <w:r w:rsidRPr="00224956">
              <w:rPr>
                <w:sz w:val="20"/>
                <w:szCs w:val="20"/>
                <w:lang w:val="es-ES_tradnl"/>
              </w:rPr>
              <w:t xml:space="preserve"> </w:t>
            </w:r>
          </w:p>
        </w:tc>
      </w:tr>
      <w:tr w:rsidR="000A10EA" w:rsidRPr="00AE2755" w:rsidTr="004B0FEC">
        <w:trPr>
          <w:jc w:val="center"/>
        </w:trPr>
        <w:tc>
          <w:tcPr>
            <w:tcW w:w="1300" w:type="dxa"/>
            <w:vMerge/>
          </w:tcPr>
          <w:p w:rsidR="000A10EA" w:rsidRPr="00D566CB" w:rsidRDefault="000A10EA">
            <w:pPr>
              <w:rPr>
                <w:sz w:val="20"/>
                <w:szCs w:val="20"/>
                <w:lang w:val="es-ES"/>
              </w:rPr>
            </w:pPr>
          </w:p>
        </w:tc>
        <w:tc>
          <w:tcPr>
            <w:tcW w:w="2086" w:type="dxa"/>
          </w:tcPr>
          <w:p w:rsidR="000A10EA" w:rsidRPr="000A10EA" w:rsidRDefault="000A10EA" w:rsidP="004B0FEC">
            <w:pPr>
              <w:rPr>
                <w:sz w:val="20"/>
                <w:szCs w:val="20"/>
              </w:rPr>
            </w:pPr>
            <w:r w:rsidRPr="000A10EA">
              <w:rPr>
                <w:sz w:val="20"/>
                <w:szCs w:val="20"/>
              </w:rPr>
              <w:t>GOB Teacher Education Strategy Framework</w:t>
            </w:r>
          </w:p>
        </w:tc>
        <w:tc>
          <w:tcPr>
            <w:tcW w:w="1195" w:type="dxa"/>
          </w:tcPr>
          <w:p w:rsidR="000A10EA" w:rsidRPr="000A10EA" w:rsidRDefault="000A10EA" w:rsidP="00C07F13">
            <w:pPr>
              <w:jc w:val="center"/>
              <w:rPr>
                <w:sz w:val="20"/>
                <w:szCs w:val="20"/>
              </w:rPr>
            </w:pPr>
            <w:r>
              <w:rPr>
                <w:sz w:val="20"/>
                <w:szCs w:val="20"/>
              </w:rPr>
              <w:t>Complete</w:t>
            </w:r>
          </w:p>
        </w:tc>
        <w:tc>
          <w:tcPr>
            <w:tcW w:w="9391" w:type="dxa"/>
          </w:tcPr>
          <w:p w:rsidR="000A10EA" w:rsidRPr="0012223D" w:rsidRDefault="001701F2" w:rsidP="00C07F13">
            <w:pPr>
              <w:rPr>
                <w:sz w:val="20"/>
                <w:szCs w:val="20"/>
              </w:rPr>
            </w:pPr>
            <w:r>
              <w:rPr>
                <w:sz w:val="20"/>
                <w:szCs w:val="20"/>
              </w:rPr>
              <w:t>*</w:t>
            </w:r>
          </w:p>
        </w:tc>
      </w:tr>
      <w:tr w:rsidR="001E5B9E" w:rsidRPr="00AE2755" w:rsidTr="004B0FEC">
        <w:trPr>
          <w:jc w:val="center"/>
        </w:trPr>
        <w:tc>
          <w:tcPr>
            <w:tcW w:w="1300" w:type="dxa"/>
            <w:vMerge/>
          </w:tcPr>
          <w:p w:rsidR="001E5B9E" w:rsidRPr="00D566CB" w:rsidRDefault="001E5B9E">
            <w:pPr>
              <w:rPr>
                <w:sz w:val="20"/>
                <w:szCs w:val="20"/>
                <w:lang w:val="es-ES"/>
              </w:rPr>
            </w:pPr>
          </w:p>
        </w:tc>
        <w:tc>
          <w:tcPr>
            <w:tcW w:w="2086" w:type="dxa"/>
          </w:tcPr>
          <w:p w:rsidR="001E5B9E" w:rsidRPr="000A10EA" w:rsidRDefault="001E5B9E" w:rsidP="004B0FEC">
            <w:pPr>
              <w:rPr>
                <w:sz w:val="20"/>
                <w:szCs w:val="20"/>
              </w:rPr>
            </w:pPr>
            <w:r>
              <w:rPr>
                <w:sz w:val="20"/>
                <w:szCs w:val="20"/>
              </w:rPr>
              <w:t>Teacher Training Institutes</w:t>
            </w:r>
          </w:p>
        </w:tc>
        <w:tc>
          <w:tcPr>
            <w:tcW w:w="1195" w:type="dxa"/>
          </w:tcPr>
          <w:p w:rsidR="001E5B9E" w:rsidRDefault="001E5B9E" w:rsidP="00C07F13">
            <w:pPr>
              <w:jc w:val="center"/>
              <w:rPr>
                <w:sz w:val="20"/>
                <w:szCs w:val="20"/>
              </w:rPr>
            </w:pPr>
            <w:r>
              <w:rPr>
                <w:sz w:val="20"/>
                <w:szCs w:val="20"/>
              </w:rPr>
              <w:t>Complete</w:t>
            </w:r>
          </w:p>
        </w:tc>
        <w:tc>
          <w:tcPr>
            <w:tcW w:w="9391" w:type="dxa"/>
          </w:tcPr>
          <w:p w:rsidR="001E5B9E" w:rsidRPr="0012223D" w:rsidRDefault="001701F2" w:rsidP="00C07F13">
            <w:pPr>
              <w:rPr>
                <w:sz w:val="20"/>
                <w:szCs w:val="20"/>
              </w:rPr>
            </w:pPr>
            <w:r>
              <w:rPr>
                <w:sz w:val="20"/>
                <w:szCs w:val="20"/>
              </w:rPr>
              <w:t>*</w:t>
            </w:r>
          </w:p>
        </w:tc>
      </w:tr>
      <w:tr w:rsidR="000A10EA" w:rsidRPr="00AE2755" w:rsidTr="004B0FEC">
        <w:trPr>
          <w:jc w:val="center"/>
        </w:trPr>
        <w:tc>
          <w:tcPr>
            <w:tcW w:w="1300" w:type="dxa"/>
            <w:vMerge/>
          </w:tcPr>
          <w:p w:rsidR="000A10EA" w:rsidRPr="000A10EA" w:rsidRDefault="000A10EA">
            <w:pPr>
              <w:rPr>
                <w:sz w:val="20"/>
                <w:szCs w:val="20"/>
              </w:rPr>
            </w:pPr>
          </w:p>
        </w:tc>
        <w:tc>
          <w:tcPr>
            <w:tcW w:w="2086" w:type="dxa"/>
          </w:tcPr>
          <w:p w:rsidR="000A10EA" w:rsidRPr="000A10EA" w:rsidRDefault="000A10EA" w:rsidP="004B0FEC">
            <w:pPr>
              <w:rPr>
                <w:sz w:val="20"/>
                <w:szCs w:val="20"/>
              </w:rPr>
            </w:pPr>
            <w:r>
              <w:rPr>
                <w:sz w:val="20"/>
                <w:szCs w:val="20"/>
              </w:rPr>
              <w:t>Institutional Assessment of the Education System</w:t>
            </w:r>
          </w:p>
        </w:tc>
        <w:tc>
          <w:tcPr>
            <w:tcW w:w="1195" w:type="dxa"/>
          </w:tcPr>
          <w:p w:rsidR="000A10EA" w:rsidRPr="000A10EA" w:rsidRDefault="000A10EA" w:rsidP="00C07F13">
            <w:pPr>
              <w:jc w:val="center"/>
              <w:rPr>
                <w:sz w:val="20"/>
                <w:szCs w:val="20"/>
              </w:rPr>
            </w:pPr>
            <w:r>
              <w:rPr>
                <w:sz w:val="20"/>
                <w:szCs w:val="20"/>
              </w:rPr>
              <w:t>Complete</w:t>
            </w:r>
          </w:p>
        </w:tc>
        <w:tc>
          <w:tcPr>
            <w:tcW w:w="9391" w:type="dxa"/>
          </w:tcPr>
          <w:p w:rsidR="000A10EA" w:rsidRPr="0012223D" w:rsidRDefault="001701F2" w:rsidP="00C07F13">
            <w:pPr>
              <w:rPr>
                <w:sz w:val="20"/>
                <w:szCs w:val="20"/>
              </w:rPr>
            </w:pPr>
            <w:r>
              <w:rPr>
                <w:sz w:val="20"/>
                <w:szCs w:val="20"/>
              </w:rPr>
              <w:t>*</w:t>
            </w:r>
          </w:p>
        </w:tc>
      </w:tr>
      <w:tr w:rsidR="000A10EA" w:rsidRPr="00AE2755" w:rsidTr="004B0FEC">
        <w:trPr>
          <w:jc w:val="center"/>
        </w:trPr>
        <w:tc>
          <w:tcPr>
            <w:tcW w:w="1300" w:type="dxa"/>
            <w:vMerge/>
          </w:tcPr>
          <w:p w:rsidR="000A10EA" w:rsidRPr="000A10EA" w:rsidRDefault="000A10EA">
            <w:pPr>
              <w:rPr>
                <w:sz w:val="20"/>
                <w:szCs w:val="20"/>
              </w:rPr>
            </w:pPr>
          </w:p>
        </w:tc>
        <w:tc>
          <w:tcPr>
            <w:tcW w:w="2086" w:type="dxa"/>
          </w:tcPr>
          <w:p w:rsidR="000A10EA" w:rsidRPr="000A10EA" w:rsidRDefault="000A10EA" w:rsidP="004B0FEC">
            <w:pPr>
              <w:rPr>
                <w:sz w:val="20"/>
                <w:szCs w:val="20"/>
                <w:lang w:val="pt-BR"/>
              </w:rPr>
            </w:pPr>
            <w:r>
              <w:rPr>
                <w:sz w:val="20"/>
                <w:szCs w:val="20"/>
                <w:lang w:val="pt-BR"/>
              </w:rPr>
              <w:t>Belize Education Monograph</w:t>
            </w:r>
          </w:p>
        </w:tc>
        <w:tc>
          <w:tcPr>
            <w:tcW w:w="1195" w:type="dxa"/>
          </w:tcPr>
          <w:p w:rsidR="000A10EA" w:rsidRPr="00D566CB" w:rsidRDefault="000A10EA" w:rsidP="00C07F13">
            <w:pPr>
              <w:jc w:val="center"/>
              <w:rPr>
                <w:sz w:val="20"/>
                <w:szCs w:val="20"/>
                <w:lang w:val="pt-BR"/>
              </w:rPr>
            </w:pPr>
            <w:r>
              <w:rPr>
                <w:sz w:val="20"/>
                <w:szCs w:val="20"/>
                <w:lang w:val="pt-BR"/>
              </w:rPr>
              <w:t>April 2014</w:t>
            </w:r>
          </w:p>
        </w:tc>
        <w:tc>
          <w:tcPr>
            <w:tcW w:w="9391" w:type="dxa"/>
          </w:tcPr>
          <w:p w:rsidR="000A10EA" w:rsidRPr="0012223D" w:rsidRDefault="001701F2" w:rsidP="00C07F13">
            <w:pPr>
              <w:rPr>
                <w:sz w:val="20"/>
                <w:szCs w:val="20"/>
                <w:lang w:val="pt-BR"/>
              </w:rPr>
            </w:pPr>
            <w:r>
              <w:rPr>
                <w:sz w:val="20"/>
                <w:szCs w:val="20"/>
                <w:lang w:val="pt-BR"/>
              </w:rPr>
              <w:t>N/A</w:t>
            </w:r>
            <w:bookmarkStart w:id="0" w:name="_GoBack"/>
            <w:bookmarkEnd w:id="0"/>
          </w:p>
        </w:tc>
      </w:tr>
      <w:tr w:rsidR="000A10EA" w:rsidRPr="00AE2755" w:rsidTr="004B0FEC">
        <w:trPr>
          <w:jc w:val="center"/>
        </w:trPr>
        <w:tc>
          <w:tcPr>
            <w:tcW w:w="1300" w:type="dxa"/>
            <w:vMerge/>
          </w:tcPr>
          <w:p w:rsidR="000A10EA" w:rsidRPr="00D566CB" w:rsidRDefault="000A10EA">
            <w:pPr>
              <w:rPr>
                <w:sz w:val="20"/>
                <w:szCs w:val="20"/>
                <w:lang w:val="es-ES"/>
              </w:rPr>
            </w:pPr>
          </w:p>
        </w:tc>
        <w:tc>
          <w:tcPr>
            <w:tcW w:w="2086" w:type="dxa"/>
          </w:tcPr>
          <w:p w:rsidR="000A10EA" w:rsidRPr="000A10EA" w:rsidRDefault="000A10EA" w:rsidP="004B0FEC">
            <w:pPr>
              <w:rPr>
                <w:sz w:val="20"/>
                <w:szCs w:val="20"/>
                <w:lang w:val="pt-BR"/>
              </w:rPr>
            </w:pPr>
            <w:r>
              <w:rPr>
                <w:sz w:val="20"/>
                <w:szCs w:val="20"/>
                <w:lang w:val="pt-BR"/>
              </w:rPr>
              <w:t>Teachers in Belize</w:t>
            </w:r>
          </w:p>
        </w:tc>
        <w:tc>
          <w:tcPr>
            <w:tcW w:w="1195" w:type="dxa"/>
          </w:tcPr>
          <w:p w:rsidR="000A10EA" w:rsidRPr="00D566CB" w:rsidRDefault="000A10EA" w:rsidP="000A10EA">
            <w:pPr>
              <w:rPr>
                <w:sz w:val="20"/>
                <w:szCs w:val="20"/>
                <w:lang w:val="pt-BR"/>
              </w:rPr>
            </w:pPr>
            <w:r>
              <w:rPr>
                <w:sz w:val="20"/>
                <w:szCs w:val="20"/>
                <w:lang w:val="pt-BR"/>
              </w:rPr>
              <w:t>April 2014</w:t>
            </w:r>
          </w:p>
        </w:tc>
        <w:tc>
          <w:tcPr>
            <w:tcW w:w="9391" w:type="dxa"/>
          </w:tcPr>
          <w:p w:rsidR="000A10EA" w:rsidRPr="0012223D" w:rsidRDefault="001701F2" w:rsidP="00C07F13">
            <w:pPr>
              <w:rPr>
                <w:sz w:val="20"/>
                <w:szCs w:val="20"/>
                <w:lang w:val="pt-BR"/>
              </w:rPr>
            </w:pPr>
            <w:r>
              <w:rPr>
                <w:sz w:val="20"/>
                <w:szCs w:val="20"/>
                <w:lang w:val="pt-BR"/>
              </w:rPr>
              <w:t>N/A</w:t>
            </w:r>
          </w:p>
        </w:tc>
      </w:tr>
      <w:tr w:rsidR="000A10EA" w:rsidRPr="00AE2755" w:rsidTr="004B0FEC">
        <w:trPr>
          <w:jc w:val="center"/>
        </w:trPr>
        <w:tc>
          <w:tcPr>
            <w:tcW w:w="1300" w:type="dxa"/>
            <w:vMerge w:val="restart"/>
          </w:tcPr>
          <w:p w:rsidR="000A10EA" w:rsidRPr="00D566CB" w:rsidRDefault="000A10EA" w:rsidP="001322F2">
            <w:pPr>
              <w:rPr>
                <w:sz w:val="20"/>
                <w:szCs w:val="20"/>
                <w:lang w:val="es-ES"/>
              </w:rPr>
            </w:pPr>
            <w:r>
              <w:rPr>
                <w:sz w:val="20"/>
                <w:szCs w:val="20"/>
                <w:lang w:val="es-ES"/>
              </w:rPr>
              <w:t>Project Design</w:t>
            </w:r>
          </w:p>
        </w:tc>
        <w:tc>
          <w:tcPr>
            <w:tcW w:w="2086" w:type="dxa"/>
          </w:tcPr>
          <w:p w:rsidR="000A10EA" w:rsidRPr="001322F2" w:rsidRDefault="000A10EA" w:rsidP="004B0FEC">
            <w:pPr>
              <w:rPr>
                <w:sz w:val="20"/>
                <w:szCs w:val="20"/>
              </w:rPr>
            </w:pPr>
            <w:r w:rsidRPr="001322F2">
              <w:rPr>
                <w:sz w:val="20"/>
                <w:szCs w:val="20"/>
              </w:rPr>
              <w:t>Operation Manual and Terms of Reference</w:t>
            </w:r>
          </w:p>
        </w:tc>
        <w:tc>
          <w:tcPr>
            <w:tcW w:w="1195" w:type="dxa"/>
          </w:tcPr>
          <w:p w:rsidR="000A10EA" w:rsidRPr="001322F2" w:rsidRDefault="000A10EA" w:rsidP="00C07F13">
            <w:pPr>
              <w:jc w:val="center"/>
              <w:rPr>
                <w:sz w:val="20"/>
                <w:szCs w:val="20"/>
              </w:rPr>
            </w:pPr>
            <w:r>
              <w:rPr>
                <w:sz w:val="20"/>
                <w:szCs w:val="20"/>
              </w:rPr>
              <w:t>March 2014</w:t>
            </w:r>
          </w:p>
        </w:tc>
        <w:tc>
          <w:tcPr>
            <w:tcW w:w="9391" w:type="dxa"/>
          </w:tcPr>
          <w:p w:rsidR="000A10EA" w:rsidRPr="0012223D" w:rsidRDefault="001701F2" w:rsidP="00C07F13">
            <w:pPr>
              <w:rPr>
                <w:sz w:val="20"/>
                <w:szCs w:val="20"/>
              </w:rPr>
            </w:pPr>
            <w:r>
              <w:rPr>
                <w:sz w:val="20"/>
                <w:szCs w:val="20"/>
              </w:rPr>
              <w:t>N/A</w:t>
            </w:r>
          </w:p>
        </w:tc>
      </w:tr>
      <w:tr w:rsidR="000A10EA" w:rsidRPr="00AE2755" w:rsidTr="004B0FEC">
        <w:trPr>
          <w:jc w:val="center"/>
        </w:trPr>
        <w:tc>
          <w:tcPr>
            <w:tcW w:w="1300" w:type="dxa"/>
            <w:vMerge/>
          </w:tcPr>
          <w:p w:rsidR="000A10EA" w:rsidRDefault="000A10EA" w:rsidP="001322F2">
            <w:pPr>
              <w:rPr>
                <w:sz w:val="20"/>
                <w:szCs w:val="20"/>
                <w:lang w:val="es-ES"/>
              </w:rPr>
            </w:pPr>
          </w:p>
        </w:tc>
        <w:tc>
          <w:tcPr>
            <w:tcW w:w="2086" w:type="dxa"/>
          </w:tcPr>
          <w:p w:rsidR="000A10EA" w:rsidRPr="001322F2" w:rsidRDefault="000A10EA" w:rsidP="004B0FEC">
            <w:pPr>
              <w:rPr>
                <w:sz w:val="20"/>
                <w:szCs w:val="20"/>
              </w:rPr>
            </w:pPr>
            <w:r w:rsidRPr="001322F2">
              <w:rPr>
                <w:sz w:val="20"/>
                <w:szCs w:val="20"/>
              </w:rPr>
              <w:t>Mapping of business processes to be automated through the EMIS</w:t>
            </w:r>
          </w:p>
        </w:tc>
        <w:tc>
          <w:tcPr>
            <w:tcW w:w="1195" w:type="dxa"/>
          </w:tcPr>
          <w:p w:rsidR="000A10EA" w:rsidRDefault="000A10EA" w:rsidP="00C07F13">
            <w:pPr>
              <w:jc w:val="center"/>
              <w:rPr>
                <w:sz w:val="20"/>
                <w:szCs w:val="20"/>
              </w:rPr>
            </w:pPr>
            <w:r>
              <w:rPr>
                <w:sz w:val="20"/>
                <w:szCs w:val="20"/>
              </w:rPr>
              <w:t>April 2014</w:t>
            </w:r>
          </w:p>
        </w:tc>
        <w:tc>
          <w:tcPr>
            <w:tcW w:w="9391" w:type="dxa"/>
          </w:tcPr>
          <w:p w:rsidR="000A10EA" w:rsidRPr="0012223D" w:rsidRDefault="001701F2" w:rsidP="00C07F13">
            <w:pPr>
              <w:rPr>
                <w:sz w:val="20"/>
                <w:szCs w:val="20"/>
              </w:rPr>
            </w:pPr>
            <w:r>
              <w:rPr>
                <w:sz w:val="20"/>
                <w:szCs w:val="20"/>
              </w:rPr>
              <w:t>N/A</w:t>
            </w:r>
          </w:p>
        </w:tc>
      </w:tr>
      <w:tr w:rsidR="001322F2" w:rsidRPr="00AE2755" w:rsidTr="004B0FEC">
        <w:trPr>
          <w:jc w:val="center"/>
        </w:trPr>
        <w:tc>
          <w:tcPr>
            <w:tcW w:w="1300" w:type="dxa"/>
          </w:tcPr>
          <w:p w:rsidR="001322F2" w:rsidRPr="00D566CB" w:rsidRDefault="001322F2">
            <w:pPr>
              <w:rPr>
                <w:sz w:val="20"/>
                <w:szCs w:val="20"/>
                <w:lang w:val="es-ES"/>
              </w:rPr>
            </w:pPr>
            <w:r>
              <w:rPr>
                <w:sz w:val="20"/>
                <w:szCs w:val="20"/>
                <w:lang w:val="es-ES"/>
              </w:rPr>
              <w:t>Economic Analysis</w:t>
            </w:r>
          </w:p>
        </w:tc>
        <w:tc>
          <w:tcPr>
            <w:tcW w:w="2086" w:type="dxa"/>
          </w:tcPr>
          <w:p w:rsidR="001322F2" w:rsidRPr="001322F2" w:rsidRDefault="001322F2" w:rsidP="004B0FEC">
            <w:pPr>
              <w:rPr>
                <w:sz w:val="20"/>
                <w:szCs w:val="20"/>
              </w:rPr>
            </w:pPr>
            <w:r w:rsidRPr="001322F2">
              <w:rPr>
                <w:sz w:val="20"/>
                <w:szCs w:val="20"/>
              </w:rPr>
              <w:t>Cost benefit analysis of the proposed investments</w:t>
            </w:r>
          </w:p>
        </w:tc>
        <w:tc>
          <w:tcPr>
            <w:tcW w:w="1195" w:type="dxa"/>
          </w:tcPr>
          <w:p w:rsidR="001322F2" w:rsidRPr="001322F2" w:rsidRDefault="001322F2" w:rsidP="00C07F13">
            <w:pPr>
              <w:jc w:val="center"/>
              <w:rPr>
                <w:sz w:val="20"/>
                <w:szCs w:val="20"/>
              </w:rPr>
            </w:pPr>
            <w:r>
              <w:rPr>
                <w:sz w:val="20"/>
                <w:szCs w:val="20"/>
              </w:rPr>
              <w:t>March 2014</w:t>
            </w:r>
          </w:p>
        </w:tc>
        <w:tc>
          <w:tcPr>
            <w:tcW w:w="9391" w:type="dxa"/>
          </w:tcPr>
          <w:p w:rsidR="001322F2" w:rsidRPr="0012223D" w:rsidRDefault="001701F2" w:rsidP="00C07F13">
            <w:pPr>
              <w:rPr>
                <w:sz w:val="20"/>
                <w:szCs w:val="20"/>
              </w:rPr>
            </w:pPr>
            <w:r>
              <w:rPr>
                <w:sz w:val="20"/>
                <w:szCs w:val="20"/>
              </w:rPr>
              <w:t>N/A</w:t>
            </w:r>
          </w:p>
        </w:tc>
      </w:tr>
      <w:tr w:rsidR="00C07F13" w:rsidRPr="00AE2755" w:rsidTr="004B0FEC">
        <w:trPr>
          <w:jc w:val="center"/>
        </w:trPr>
        <w:tc>
          <w:tcPr>
            <w:tcW w:w="1300" w:type="dxa"/>
          </w:tcPr>
          <w:p w:rsidR="00C07F13" w:rsidRPr="00D566CB" w:rsidRDefault="001322F2">
            <w:pPr>
              <w:rPr>
                <w:sz w:val="20"/>
                <w:szCs w:val="20"/>
                <w:lang w:val="es-ES"/>
              </w:rPr>
            </w:pPr>
            <w:r>
              <w:rPr>
                <w:sz w:val="20"/>
                <w:szCs w:val="20"/>
                <w:lang w:val="es-ES"/>
              </w:rPr>
              <w:t>External Validity</w:t>
            </w:r>
          </w:p>
        </w:tc>
        <w:tc>
          <w:tcPr>
            <w:tcW w:w="2086" w:type="dxa"/>
          </w:tcPr>
          <w:p w:rsidR="00C07F13" w:rsidRPr="001322F2" w:rsidRDefault="001322F2" w:rsidP="004B0FEC">
            <w:pPr>
              <w:rPr>
                <w:sz w:val="20"/>
                <w:szCs w:val="20"/>
              </w:rPr>
            </w:pPr>
            <w:r w:rsidRPr="001322F2">
              <w:rPr>
                <w:sz w:val="20"/>
                <w:szCs w:val="20"/>
              </w:rPr>
              <w:t xml:space="preserve">Impact </w:t>
            </w:r>
            <w:r w:rsidR="000A10EA">
              <w:rPr>
                <w:sz w:val="20"/>
                <w:szCs w:val="20"/>
              </w:rPr>
              <w:t>evaluation of Visible</w:t>
            </w:r>
            <w:r w:rsidRPr="001322F2">
              <w:rPr>
                <w:sz w:val="20"/>
                <w:szCs w:val="20"/>
              </w:rPr>
              <w:t xml:space="preserve"> and Tangible Math Model</w:t>
            </w:r>
          </w:p>
        </w:tc>
        <w:tc>
          <w:tcPr>
            <w:tcW w:w="1195" w:type="dxa"/>
          </w:tcPr>
          <w:p w:rsidR="001322F2" w:rsidRDefault="001322F2" w:rsidP="00C07F13">
            <w:pPr>
              <w:jc w:val="center"/>
              <w:rPr>
                <w:sz w:val="20"/>
                <w:szCs w:val="20"/>
              </w:rPr>
            </w:pPr>
            <w:r>
              <w:rPr>
                <w:sz w:val="20"/>
                <w:szCs w:val="20"/>
              </w:rPr>
              <w:t>March 2014</w:t>
            </w:r>
          </w:p>
          <w:p w:rsidR="00C07F13" w:rsidRPr="001322F2" w:rsidRDefault="00C07F13" w:rsidP="001322F2">
            <w:pPr>
              <w:rPr>
                <w:sz w:val="20"/>
                <w:szCs w:val="20"/>
              </w:rPr>
            </w:pPr>
          </w:p>
        </w:tc>
        <w:tc>
          <w:tcPr>
            <w:tcW w:w="9391" w:type="dxa"/>
          </w:tcPr>
          <w:p w:rsidR="00C07F13" w:rsidRPr="0012223D" w:rsidRDefault="001701F2" w:rsidP="00C07F13">
            <w:pPr>
              <w:rPr>
                <w:sz w:val="20"/>
                <w:szCs w:val="20"/>
              </w:rPr>
            </w:pPr>
            <w:r>
              <w:rPr>
                <w:sz w:val="20"/>
                <w:szCs w:val="20"/>
              </w:rPr>
              <w:t>N/A</w:t>
            </w:r>
          </w:p>
        </w:tc>
      </w:tr>
    </w:tbl>
    <w:p w:rsidR="005C4290" w:rsidRDefault="005C4290" w:rsidP="0018001D"/>
    <w:p w:rsidR="0012223D" w:rsidRPr="001701F2" w:rsidRDefault="0012223D" w:rsidP="0018001D">
      <w:pPr>
        <w:rPr>
          <w:sz w:val="20"/>
          <w:szCs w:val="20"/>
        </w:rPr>
      </w:pPr>
      <w:r w:rsidRPr="001701F2">
        <w:rPr>
          <w:sz w:val="20"/>
          <w:szCs w:val="20"/>
        </w:rPr>
        <w:t>*</w:t>
      </w:r>
      <w:r w:rsidR="001701F2" w:rsidRPr="001701F2">
        <w:rPr>
          <w:sz w:val="20"/>
          <w:szCs w:val="20"/>
        </w:rPr>
        <w:t xml:space="preserve">The information </w:t>
      </w:r>
      <w:r w:rsidR="00A51B45">
        <w:rPr>
          <w:sz w:val="20"/>
          <w:szCs w:val="20"/>
        </w:rPr>
        <w:t>contai</w:t>
      </w:r>
      <w:r w:rsidR="001701F2">
        <w:rPr>
          <w:sz w:val="20"/>
          <w:szCs w:val="20"/>
        </w:rPr>
        <w:t xml:space="preserve">ned </w:t>
      </w:r>
      <w:r w:rsidR="001701F2" w:rsidRPr="001701F2">
        <w:rPr>
          <w:sz w:val="20"/>
          <w:szCs w:val="20"/>
        </w:rPr>
        <w:t xml:space="preserve">in these documents is confidential and will not be disclosed. This is in accordance with the “Deliberative Information” exception referred to in paragraph 4.1 (g) of the Access to Information Policy (GN-1831-28) at the Inter-American Development Bank. </w:t>
      </w:r>
    </w:p>
    <w:sectPr w:rsidR="0012223D" w:rsidRPr="001701F2" w:rsidSect="0018001D">
      <w:headerReference w:type="even" r:id="rId10"/>
      <w:headerReference w:type="default" r:id="rId11"/>
      <w:footerReference w:type="even" r:id="rId12"/>
      <w:footerReference w:type="default" r:id="rId13"/>
      <w:headerReference w:type="first" r:id="rId14"/>
      <w:footerReference w:type="first" r:id="rId15"/>
      <w:pgSz w:w="15840" w:h="12240" w:orient="landscape"/>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A7" w:rsidRDefault="005448A7">
      <w:r>
        <w:separator/>
      </w:r>
    </w:p>
  </w:endnote>
  <w:endnote w:type="continuationSeparator" w:id="0">
    <w:p w:rsidR="005448A7" w:rsidRDefault="0054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9D" w:rsidRDefault="00897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9D" w:rsidRDefault="008977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9D" w:rsidRDefault="00897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A7" w:rsidRDefault="005448A7">
      <w:r>
        <w:separator/>
      </w:r>
    </w:p>
  </w:footnote>
  <w:footnote w:type="continuationSeparator" w:id="0">
    <w:p w:rsidR="005448A7" w:rsidRDefault="00544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9D" w:rsidRDefault="00897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26" w:rsidRPr="00154BFC" w:rsidRDefault="00420D26">
    <w:pPr>
      <w:pStyle w:val="Header"/>
      <w:jc w:val="right"/>
      <w:rPr>
        <w:sz w:val="20"/>
        <w:lang w:val="fr-FR"/>
      </w:rPr>
    </w:pPr>
    <w:r w:rsidRPr="00154BFC">
      <w:rPr>
        <w:sz w:val="20"/>
        <w:lang w:val="fr-FR"/>
      </w:rPr>
      <w:t>An</w:t>
    </w:r>
    <w:r w:rsidR="00C07F13" w:rsidRPr="00154BFC">
      <w:rPr>
        <w:sz w:val="20"/>
        <w:lang w:val="fr-FR"/>
      </w:rPr>
      <w:t>nex</w:t>
    </w:r>
    <w:r w:rsidRPr="00154BFC">
      <w:rPr>
        <w:sz w:val="20"/>
        <w:lang w:val="fr-FR"/>
      </w:rPr>
      <w:t xml:space="preserve"> I</w:t>
    </w:r>
    <w:r w:rsidR="00A377DC" w:rsidRPr="00154BFC">
      <w:rPr>
        <w:sz w:val="20"/>
        <w:lang w:val="fr-FR"/>
      </w:rPr>
      <w:t>V</w:t>
    </w:r>
    <w:r w:rsidR="00C07F13" w:rsidRPr="00154BFC">
      <w:rPr>
        <w:sz w:val="20"/>
        <w:lang w:val="fr-FR"/>
      </w:rPr>
      <w:t xml:space="preserve"> – BL-L1018</w:t>
    </w:r>
  </w:p>
  <w:p w:rsidR="00420D26" w:rsidRPr="00154BFC" w:rsidRDefault="00C07F13">
    <w:pPr>
      <w:pStyle w:val="Header"/>
      <w:jc w:val="right"/>
      <w:rPr>
        <w:rStyle w:val="PageNumber"/>
        <w:sz w:val="20"/>
        <w:lang w:val="fr-FR"/>
      </w:rPr>
    </w:pPr>
    <w:r w:rsidRPr="00154BFC">
      <w:rPr>
        <w:sz w:val="20"/>
        <w:lang w:val="fr-FR"/>
      </w:rPr>
      <w:t>Page</w:t>
    </w:r>
    <w:r w:rsidR="00420D26" w:rsidRPr="00154BFC">
      <w:rPr>
        <w:sz w:val="20"/>
        <w:lang w:val="fr-FR"/>
      </w:rPr>
      <w:t xml:space="preserve"> </w:t>
    </w:r>
    <w:r w:rsidR="00864416">
      <w:rPr>
        <w:rStyle w:val="PageNumber"/>
        <w:sz w:val="20"/>
      </w:rPr>
      <w:fldChar w:fldCharType="begin"/>
    </w:r>
    <w:r w:rsidR="00420D26" w:rsidRPr="00154BFC">
      <w:rPr>
        <w:rStyle w:val="PageNumber"/>
        <w:sz w:val="20"/>
        <w:lang w:val="fr-FR"/>
      </w:rPr>
      <w:instrText xml:space="preserve"> PAGE </w:instrText>
    </w:r>
    <w:r w:rsidR="00864416">
      <w:rPr>
        <w:rStyle w:val="PageNumber"/>
        <w:sz w:val="20"/>
      </w:rPr>
      <w:fldChar w:fldCharType="separate"/>
    </w:r>
    <w:r w:rsidR="00224956">
      <w:rPr>
        <w:rStyle w:val="PageNumber"/>
        <w:noProof/>
        <w:sz w:val="20"/>
        <w:lang w:val="fr-FR"/>
      </w:rPr>
      <w:t>1</w:t>
    </w:r>
    <w:r w:rsidR="00864416">
      <w:rPr>
        <w:rStyle w:val="PageNumber"/>
        <w:sz w:val="20"/>
      </w:rPr>
      <w:fldChar w:fldCharType="end"/>
    </w:r>
    <w:r w:rsidR="0089779D">
      <w:rPr>
        <w:rStyle w:val="PageNumber"/>
        <w:sz w:val="20"/>
        <w:lang w:val="fr-FR"/>
      </w:rPr>
      <w:t xml:space="preserve"> of</w:t>
    </w:r>
    <w:r w:rsidR="00420D26" w:rsidRPr="00154BFC">
      <w:rPr>
        <w:rStyle w:val="PageNumber"/>
        <w:sz w:val="20"/>
        <w:lang w:val="fr-FR"/>
      </w:rPr>
      <w:t xml:space="preserve"> </w:t>
    </w:r>
    <w:r w:rsidR="00864416">
      <w:rPr>
        <w:rStyle w:val="PageNumber"/>
        <w:sz w:val="20"/>
      </w:rPr>
      <w:fldChar w:fldCharType="begin"/>
    </w:r>
    <w:r w:rsidR="00420D26" w:rsidRPr="00154BFC">
      <w:rPr>
        <w:rStyle w:val="PageNumber"/>
        <w:sz w:val="20"/>
        <w:lang w:val="fr-FR"/>
      </w:rPr>
      <w:instrText xml:space="preserve"> NUMPAGES </w:instrText>
    </w:r>
    <w:r w:rsidR="00864416">
      <w:rPr>
        <w:rStyle w:val="PageNumber"/>
        <w:sz w:val="20"/>
      </w:rPr>
      <w:fldChar w:fldCharType="separate"/>
    </w:r>
    <w:r w:rsidR="00224956">
      <w:rPr>
        <w:rStyle w:val="PageNumber"/>
        <w:noProof/>
        <w:sz w:val="20"/>
        <w:lang w:val="fr-FR"/>
      </w:rPr>
      <w:t>1</w:t>
    </w:r>
    <w:r w:rsidR="00864416">
      <w:rPr>
        <w:rStyle w:val="PageNumber"/>
        <w:sz w:val="20"/>
      </w:rPr>
      <w:fldChar w:fldCharType="end"/>
    </w:r>
  </w:p>
  <w:p w:rsidR="00420D26" w:rsidRPr="00154BFC" w:rsidRDefault="00420D26">
    <w:pPr>
      <w:pStyle w:val="Header"/>
      <w:rPr>
        <w:sz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9D" w:rsidRDefault="00897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50"/>
    <w:rsid w:val="000412D5"/>
    <w:rsid w:val="0004234B"/>
    <w:rsid w:val="00042D79"/>
    <w:rsid w:val="000A10EA"/>
    <w:rsid w:val="000E046D"/>
    <w:rsid w:val="000E7088"/>
    <w:rsid w:val="00116F82"/>
    <w:rsid w:val="00117F7C"/>
    <w:rsid w:val="0012223D"/>
    <w:rsid w:val="00123B76"/>
    <w:rsid w:val="00123EB5"/>
    <w:rsid w:val="001322F2"/>
    <w:rsid w:val="00154BFC"/>
    <w:rsid w:val="001701F2"/>
    <w:rsid w:val="00170EDD"/>
    <w:rsid w:val="00171AB3"/>
    <w:rsid w:val="0018001D"/>
    <w:rsid w:val="0019058C"/>
    <w:rsid w:val="001921B6"/>
    <w:rsid w:val="001C64BA"/>
    <w:rsid w:val="001D58B1"/>
    <w:rsid w:val="001E5B9E"/>
    <w:rsid w:val="00201F3B"/>
    <w:rsid w:val="00224956"/>
    <w:rsid w:val="00235375"/>
    <w:rsid w:val="00297995"/>
    <w:rsid w:val="002F060B"/>
    <w:rsid w:val="003317A6"/>
    <w:rsid w:val="00380A41"/>
    <w:rsid w:val="003C710F"/>
    <w:rsid w:val="003D7B4E"/>
    <w:rsid w:val="00420D26"/>
    <w:rsid w:val="00440273"/>
    <w:rsid w:val="00484A3D"/>
    <w:rsid w:val="004B0FEC"/>
    <w:rsid w:val="004D54AC"/>
    <w:rsid w:val="00535381"/>
    <w:rsid w:val="005448A7"/>
    <w:rsid w:val="00577892"/>
    <w:rsid w:val="0058597C"/>
    <w:rsid w:val="005A55B6"/>
    <w:rsid w:val="005C2881"/>
    <w:rsid w:val="005C4290"/>
    <w:rsid w:val="005D6D64"/>
    <w:rsid w:val="005F7189"/>
    <w:rsid w:val="00674CE2"/>
    <w:rsid w:val="00680A69"/>
    <w:rsid w:val="00690FAB"/>
    <w:rsid w:val="006C2201"/>
    <w:rsid w:val="006D1834"/>
    <w:rsid w:val="00783E10"/>
    <w:rsid w:val="007E1407"/>
    <w:rsid w:val="00816C99"/>
    <w:rsid w:val="00855D5F"/>
    <w:rsid w:val="0086257A"/>
    <w:rsid w:val="00864416"/>
    <w:rsid w:val="00867357"/>
    <w:rsid w:val="0089779D"/>
    <w:rsid w:val="008C6E87"/>
    <w:rsid w:val="00951AFB"/>
    <w:rsid w:val="009C124C"/>
    <w:rsid w:val="009E1350"/>
    <w:rsid w:val="00A377DC"/>
    <w:rsid w:val="00A51B45"/>
    <w:rsid w:val="00A57E82"/>
    <w:rsid w:val="00A637EF"/>
    <w:rsid w:val="00A85C46"/>
    <w:rsid w:val="00A86FD7"/>
    <w:rsid w:val="00A905B0"/>
    <w:rsid w:val="00A921AB"/>
    <w:rsid w:val="00AB18C2"/>
    <w:rsid w:val="00AC5AEA"/>
    <w:rsid w:val="00AE2755"/>
    <w:rsid w:val="00AE519E"/>
    <w:rsid w:val="00B5029D"/>
    <w:rsid w:val="00B54DE7"/>
    <w:rsid w:val="00B608DA"/>
    <w:rsid w:val="00B73B11"/>
    <w:rsid w:val="00B8550C"/>
    <w:rsid w:val="00C07F13"/>
    <w:rsid w:val="00C20A8F"/>
    <w:rsid w:val="00C52896"/>
    <w:rsid w:val="00C6727F"/>
    <w:rsid w:val="00C71F13"/>
    <w:rsid w:val="00C762B7"/>
    <w:rsid w:val="00D12135"/>
    <w:rsid w:val="00D20F71"/>
    <w:rsid w:val="00D566CB"/>
    <w:rsid w:val="00D90882"/>
    <w:rsid w:val="00DA542E"/>
    <w:rsid w:val="00DB0A57"/>
    <w:rsid w:val="00DC2AFE"/>
    <w:rsid w:val="00DD28BF"/>
    <w:rsid w:val="00DE6A75"/>
    <w:rsid w:val="00E0221C"/>
    <w:rsid w:val="00E051AB"/>
    <w:rsid w:val="00E62C89"/>
    <w:rsid w:val="00E65096"/>
    <w:rsid w:val="00E8682B"/>
    <w:rsid w:val="00ED7702"/>
    <w:rsid w:val="00EF1BFE"/>
    <w:rsid w:val="00F25A55"/>
    <w:rsid w:val="00F26F0F"/>
    <w:rsid w:val="00F328C3"/>
    <w:rsid w:val="00F36C78"/>
    <w:rsid w:val="00F63884"/>
    <w:rsid w:val="00F85624"/>
    <w:rsid w:val="00F90850"/>
    <w:rsid w:val="00F930D2"/>
    <w:rsid w:val="00FE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35"/>
    <w:rPr>
      <w:sz w:val="24"/>
      <w:szCs w:val="24"/>
    </w:rPr>
  </w:style>
  <w:style w:type="paragraph" w:styleId="Heading1">
    <w:name w:val="heading 1"/>
    <w:basedOn w:val="Normal"/>
    <w:next w:val="Normal"/>
    <w:qFormat/>
    <w:rsid w:val="005C4290"/>
    <w:pPr>
      <w:keepNext/>
      <w:spacing w:after="120"/>
      <w:outlineLvl w:val="0"/>
    </w:pPr>
    <w:rPr>
      <w:rFonts w:ascii="Palatino Linotype" w:hAnsi="Palatino Linotyp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2135"/>
    <w:pPr>
      <w:tabs>
        <w:tab w:val="center" w:pos="4320"/>
        <w:tab w:val="right" w:pos="8640"/>
      </w:tabs>
    </w:pPr>
  </w:style>
  <w:style w:type="paragraph" w:styleId="Footer">
    <w:name w:val="footer"/>
    <w:basedOn w:val="Normal"/>
    <w:rsid w:val="00D12135"/>
    <w:pPr>
      <w:tabs>
        <w:tab w:val="center" w:pos="4320"/>
        <w:tab w:val="right" w:pos="8640"/>
      </w:tabs>
    </w:pPr>
  </w:style>
  <w:style w:type="character" w:styleId="PageNumber">
    <w:name w:val="page number"/>
    <w:basedOn w:val="DefaultParagraphFont"/>
    <w:rsid w:val="00D12135"/>
  </w:style>
  <w:style w:type="paragraph" w:styleId="BodyTextIndent2">
    <w:name w:val="Body Text Indent 2"/>
    <w:basedOn w:val="Normal"/>
    <w:rsid w:val="00D12135"/>
    <w:pPr>
      <w:tabs>
        <w:tab w:val="left" w:pos="155"/>
      </w:tabs>
      <w:ind w:left="65"/>
    </w:pPr>
    <w:rPr>
      <w:szCs w:val="20"/>
      <w:lang w:val="es-BO"/>
    </w:rPr>
  </w:style>
  <w:style w:type="paragraph" w:styleId="BodyTextIndent3">
    <w:name w:val="Body Text Indent 3"/>
    <w:basedOn w:val="Normal"/>
    <w:rsid w:val="00D12135"/>
    <w:pPr>
      <w:tabs>
        <w:tab w:val="left" w:pos="155"/>
      </w:tabs>
      <w:ind w:left="155"/>
    </w:pPr>
    <w:rPr>
      <w:szCs w:val="20"/>
      <w:lang w:val="es-BO"/>
    </w:rPr>
  </w:style>
  <w:style w:type="paragraph" w:customStyle="1" w:styleId="Chapter">
    <w:name w:val="Chapter"/>
    <w:basedOn w:val="Normal"/>
    <w:next w:val="Normal"/>
    <w:rsid w:val="00123B76"/>
    <w:pPr>
      <w:numPr>
        <w:numId w:val="1"/>
      </w:numPr>
      <w:tabs>
        <w:tab w:val="left" w:pos="1440"/>
      </w:tabs>
      <w:spacing w:after="240"/>
      <w:jc w:val="center"/>
    </w:pPr>
    <w:rPr>
      <w:b/>
      <w:smallCaps/>
      <w:szCs w:val="20"/>
      <w:lang w:val="es-ES_tradnl"/>
    </w:rPr>
  </w:style>
  <w:style w:type="paragraph" w:customStyle="1" w:styleId="Paragraph">
    <w:name w:val="Paragraph"/>
    <w:basedOn w:val="BodyTextIndent"/>
    <w:rsid w:val="00123B76"/>
    <w:pPr>
      <w:numPr>
        <w:ilvl w:val="1"/>
        <w:numId w:val="1"/>
      </w:numPr>
      <w:spacing w:before="120"/>
      <w:jc w:val="both"/>
      <w:outlineLvl w:val="1"/>
    </w:pPr>
    <w:rPr>
      <w:szCs w:val="20"/>
      <w:lang w:val="es-ES_tradnl"/>
    </w:rPr>
  </w:style>
  <w:style w:type="paragraph" w:customStyle="1" w:styleId="subpar">
    <w:name w:val="subpar"/>
    <w:basedOn w:val="BodyTextIndent3"/>
    <w:rsid w:val="00123B76"/>
    <w:pPr>
      <w:numPr>
        <w:ilvl w:val="2"/>
        <w:numId w:val="1"/>
      </w:numPr>
      <w:tabs>
        <w:tab w:val="clear" w:pos="155"/>
      </w:tabs>
      <w:spacing w:before="120" w:after="120"/>
      <w:jc w:val="both"/>
      <w:outlineLvl w:val="2"/>
    </w:pPr>
    <w:rPr>
      <w:lang w:val="es-ES_tradnl"/>
    </w:rPr>
  </w:style>
  <w:style w:type="paragraph" w:customStyle="1" w:styleId="SubSubPar">
    <w:name w:val="SubSubPar"/>
    <w:basedOn w:val="subpar"/>
    <w:rsid w:val="00123B76"/>
    <w:pPr>
      <w:numPr>
        <w:ilvl w:val="3"/>
      </w:numPr>
      <w:tabs>
        <w:tab w:val="left" w:pos="0"/>
      </w:tabs>
    </w:pPr>
  </w:style>
  <w:style w:type="paragraph" w:styleId="BodyTextIndent">
    <w:name w:val="Body Text Indent"/>
    <w:basedOn w:val="Normal"/>
    <w:rsid w:val="00123B76"/>
    <w:pPr>
      <w:spacing w:after="120"/>
      <w:ind w:left="360"/>
    </w:pPr>
  </w:style>
  <w:style w:type="paragraph" w:styleId="DocumentMap">
    <w:name w:val="Document Map"/>
    <w:basedOn w:val="Normal"/>
    <w:semiHidden/>
    <w:rsid w:val="00E62C89"/>
    <w:pPr>
      <w:shd w:val="clear" w:color="auto" w:fill="000080"/>
    </w:pPr>
    <w:rPr>
      <w:rFonts w:ascii="Tahoma" w:hAnsi="Tahoma" w:cs="Tahoma"/>
      <w:sz w:val="20"/>
      <w:szCs w:val="20"/>
    </w:rPr>
  </w:style>
  <w:style w:type="character" w:styleId="Hyperlink">
    <w:name w:val="Hyperlink"/>
    <w:basedOn w:val="DefaultParagraphFont"/>
    <w:unhideWhenUsed/>
    <w:rsid w:val="00D566CB"/>
    <w:rPr>
      <w:color w:val="0000FF"/>
      <w:u w:val="single"/>
    </w:rPr>
  </w:style>
  <w:style w:type="character" w:styleId="FollowedHyperlink">
    <w:name w:val="FollowedHyperlink"/>
    <w:basedOn w:val="DefaultParagraphFont"/>
    <w:rsid w:val="00D566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35"/>
    <w:rPr>
      <w:sz w:val="24"/>
      <w:szCs w:val="24"/>
    </w:rPr>
  </w:style>
  <w:style w:type="paragraph" w:styleId="Heading1">
    <w:name w:val="heading 1"/>
    <w:basedOn w:val="Normal"/>
    <w:next w:val="Normal"/>
    <w:qFormat/>
    <w:rsid w:val="005C4290"/>
    <w:pPr>
      <w:keepNext/>
      <w:spacing w:after="120"/>
      <w:outlineLvl w:val="0"/>
    </w:pPr>
    <w:rPr>
      <w:rFonts w:ascii="Palatino Linotype" w:hAnsi="Palatino Linotyp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2135"/>
    <w:pPr>
      <w:tabs>
        <w:tab w:val="center" w:pos="4320"/>
        <w:tab w:val="right" w:pos="8640"/>
      </w:tabs>
    </w:pPr>
  </w:style>
  <w:style w:type="paragraph" w:styleId="Footer">
    <w:name w:val="footer"/>
    <w:basedOn w:val="Normal"/>
    <w:rsid w:val="00D12135"/>
    <w:pPr>
      <w:tabs>
        <w:tab w:val="center" w:pos="4320"/>
        <w:tab w:val="right" w:pos="8640"/>
      </w:tabs>
    </w:pPr>
  </w:style>
  <w:style w:type="character" w:styleId="PageNumber">
    <w:name w:val="page number"/>
    <w:basedOn w:val="DefaultParagraphFont"/>
    <w:rsid w:val="00D12135"/>
  </w:style>
  <w:style w:type="paragraph" w:styleId="BodyTextIndent2">
    <w:name w:val="Body Text Indent 2"/>
    <w:basedOn w:val="Normal"/>
    <w:rsid w:val="00D12135"/>
    <w:pPr>
      <w:tabs>
        <w:tab w:val="left" w:pos="155"/>
      </w:tabs>
      <w:ind w:left="65"/>
    </w:pPr>
    <w:rPr>
      <w:szCs w:val="20"/>
      <w:lang w:val="es-BO"/>
    </w:rPr>
  </w:style>
  <w:style w:type="paragraph" w:styleId="BodyTextIndent3">
    <w:name w:val="Body Text Indent 3"/>
    <w:basedOn w:val="Normal"/>
    <w:rsid w:val="00D12135"/>
    <w:pPr>
      <w:tabs>
        <w:tab w:val="left" w:pos="155"/>
      </w:tabs>
      <w:ind w:left="155"/>
    </w:pPr>
    <w:rPr>
      <w:szCs w:val="20"/>
      <w:lang w:val="es-BO"/>
    </w:rPr>
  </w:style>
  <w:style w:type="paragraph" w:customStyle="1" w:styleId="Chapter">
    <w:name w:val="Chapter"/>
    <w:basedOn w:val="Normal"/>
    <w:next w:val="Normal"/>
    <w:rsid w:val="00123B76"/>
    <w:pPr>
      <w:numPr>
        <w:numId w:val="1"/>
      </w:numPr>
      <w:tabs>
        <w:tab w:val="left" w:pos="1440"/>
      </w:tabs>
      <w:spacing w:after="240"/>
      <w:jc w:val="center"/>
    </w:pPr>
    <w:rPr>
      <w:b/>
      <w:smallCaps/>
      <w:szCs w:val="20"/>
      <w:lang w:val="es-ES_tradnl"/>
    </w:rPr>
  </w:style>
  <w:style w:type="paragraph" w:customStyle="1" w:styleId="Paragraph">
    <w:name w:val="Paragraph"/>
    <w:basedOn w:val="BodyTextIndent"/>
    <w:rsid w:val="00123B76"/>
    <w:pPr>
      <w:numPr>
        <w:ilvl w:val="1"/>
        <w:numId w:val="1"/>
      </w:numPr>
      <w:spacing w:before="120"/>
      <w:jc w:val="both"/>
      <w:outlineLvl w:val="1"/>
    </w:pPr>
    <w:rPr>
      <w:szCs w:val="20"/>
      <w:lang w:val="es-ES_tradnl"/>
    </w:rPr>
  </w:style>
  <w:style w:type="paragraph" w:customStyle="1" w:styleId="subpar">
    <w:name w:val="subpar"/>
    <w:basedOn w:val="BodyTextIndent3"/>
    <w:rsid w:val="00123B76"/>
    <w:pPr>
      <w:numPr>
        <w:ilvl w:val="2"/>
        <w:numId w:val="1"/>
      </w:numPr>
      <w:tabs>
        <w:tab w:val="clear" w:pos="155"/>
      </w:tabs>
      <w:spacing w:before="120" w:after="120"/>
      <w:jc w:val="both"/>
      <w:outlineLvl w:val="2"/>
    </w:pPr>
    <w:rPr>
      <w:lang w:val="es-ES_tradnl"/>
    </w:rPr>
  </w:style>
  <w:style w:type="paragraph" w:customStyle="1" w:styleId="SubSubPar">
    <w:name w:val="SubSubPar"/>
    <w:basedOn w:val="subpar"/>
    <w:rsid w:val="00123B76"/>
    <w:pPr>
      <w:numPr>
        <w:ilvl w:val="3"/>
      </w:numPr>
      <w:tabs>
        <w:tab w:val="left" w:pos="0"/>
      </w:tabs>
    </w:pPr>
  </w:style>
  <w:style w:type="paragraph" w:styleId="BodyTextIndent">
    <w:name w:val="Body Text Indent"/>
    <w:basedOn w:val="Normal"/>
    <w:rsid w:val="00123B76"/>
    <w:pPr>
      <w:spacing w:after="120"/>
      <w:ind w:left="360"/>
    </w:pPr>
  </w:style>
  <w:style w:type="paragraph" w:styleId="DocumentMap">
    <w:name w:val="Document Map"/>
    <w:basedOn w:val="Normal"/>
    <w:semiHidden/>
    <w:rsid w:val="00E62C89"/>
    <w:pPr>
      <w:shd w:val="clear" w:color="auto" w:fill="000080"/>
    </w:pPr>
    <w:rPr>
      <w:rFonts w:ascii="Tahoma" w:hAnsi="Tahoma" w:cs="Tahoma"/>
      <w:sz w:val="20"/>
      <w:szCs w:val="20"/>
    </w:rPr>
  </w:style>
  <w:style w:type="character" w:styleId="Hyperlink">
    <w:name w:val="Hyperlink"/>
    <w:basedOn w:val="DefaultParagraphFont"/>
    <w:unhideWhenUsed/>
    <w:rsid w:val="00D566CB"/>
    <w:rPr>
      <w:color w:val="0000FF"/>
      <w:u w:val="single"/>
    </w:rPr>
  </w:style>
  <w:style w:type="character" w:styleId="FollowedHyperlink">
    <w:name w:val="FollowedHyperlink"/>
    <w:basedOn w:val="DefaultParagraphFont"/>
    <w:rsid w:val="00D56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95153">
      <w:bodyDiv w:val="1"/>
      <w:marLeft w:val="0"/>
      <w:marRight w:val="0"/>
      <w:marTop w:val="0"/>
      <w:marBottom w:val="0"/>
      <w:divBdr>
        <w:top w:val="none" w:sz="0" w:space="0" w:color="auto"/>
        <w:left w:val="none" w:sz="0" w:space="0" w:color="auto"/>
        <w:bottom w:val="none" w:sz="0" w:space="0" w:color="auto"/>
        <w:right w:val="none" w:sz="0" w:space="0" w:color="auto"/>
      </w:divBdr>
    </w:div>
    <w:div w:id="1826238813">
      <w:bodyDiv w:val="1"/>
      <w:marLeft w:val="0"/>
      <w:marRight w:val="0"/>
      <w:marTop w:val="0"/>
      <w:marBottom w:val="0"/>
      <w:divBdr>
        <w:top w:val="none" w:sz="0" w:space="0" w:color="auto"/>
        <w:left w:val="none" w:sz="0" w:space="0" w:color="auto"/>
        <w:bottom w:val="none" w:sz="0" w:space="0" w:color="auto"/>
        <w:right w:val="none" w:sz="0" w:space="0" w:color="auto"/>
      </w:divBdr>
    </w:div>
    <w:div w:id="19160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e.gov.bz/images/spdownload/belize-education-sector-strategy.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lications.iadb.org/bitstream/handle/11319/5926/Challenges%20and%20Opportunities%20in%20the%20Belize%20Education%20Sector.pdf?sequence=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177</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CHILE</vt:lpstr>
    </vt:vector>
  </TitlesOfParts>
  <Company>Inter-American Development Bank</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dc:title>
  <dc:creator>CLAUDIACOX</dc:creator>
  <cp:lastModifiedBy>Livia</cp:lastModifiedBy>
  <cp:revision>7</cp:revision>
  <cp:lastPrinted>2014-04-29T14:42:00Z</cp:lastPrinted>
  <dcterms:created xsi:type="dcterms:W3CDTF">2014-04-28T15:17:00Z</dcterms:created>
  <dcterms:modified xsi:type="dcterms:W3CDTF">2014-04-30T13:18:00Z</dcterms:modified>
</cp:coreProperties>
</file>