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02121" w14:textId="77777777" w:rsidR="00953778" w:rsidRPr="00046E14" w:rsidRDefault="00953778" w:rsidP="00953778">
      <w:pPr>
        <w:pStyle w:val="SubSubPar"/>
        <w:numPr>
          <w:ilvl w:val="3"/>
          <w:numId w:val="0"/>
        </w:numPr>
        <w:spacing w:after="0"/>
        <w:jc w:val="center"/>
        <w:rPr>
          <w:rFonts w:ascii="Arial" w:hAnsi="Arial" w:cs="Arial"/>
          <w:smallCaps/>
          <w:sz w:val="22"/>
          <w:szCs w:val="22"/>
          <w:lang w:val="es-ES"/>
        </w:rPr>
      </w:pPr>
      <w:r w:rsidRPr="462B9B70">
        <w:rPr>
          <w:rFonts w:ascii="Arial" w:hAnsi="Arial" w:cs="Arial"/>
          <w:smallCaps/>
          <w:sz w:val="22"/>
          <w:szCs w:val="22"/>
          <w:lang w:val="es-ES"/>
        </w:rPr>
        <w:t>Documento del Banco Interamericano de Desarrollo</w:t>
      </w:r>
    </w:p>
    <w:p w14:paraId="039AB79F" w14:textId="77777777" w:rsidR="00953778" w:rsidRPr="00046E14" w:rsidRDefault="00953778" w:rsidP="00953778">
      <w:pPr>
        <w:tabs>
          <w:tab w:val="left" w:pos="1440"/>
          <w:tab w:val="left" w:pos="3060"/>
        </w:tabs>
        <w:jc w:val="center"/>
        <w:rPr>
          <w:rFonts w:ascii="Arial" w:hAnsi="Arial" w:cs="Arial"/>
          <w:smallCaps/>
          <w:lang w:val="es-ES"/>
        </w:rPr>
      </w:pPr>
    </w:p>
    <w:p w14:paraId="6182F4C0" w14:textId="77777777" w:rsidR="00953778" w:rsidRPr="00046E14" w:rsidRDefault="00953778" w:rsidP="00953778">
      <w:pPr>
        <w:tabs>
          <w:tab w:val="left" w:pos="1440"/>
          <w:tab w:val="left" w:pos="3060"/>
        </w:tabs>
        <w:jc w:val="center"/>
        <w:rPr>
          <w:rFonts w:ascii="Arial" w:hAnsi="Arial" w:cs="Arial"/>
          <w:smallCaps/>
          <w:lang w:val="es-ES"/>
        </w:rPr>
      </w:pPr>
    </w:p>
    <w:p w14:paraId="77F4471C" w14:textId="120C9C43" w:rsidR="00953778" w:rsidRPr="00046E14" w:rsidRDefault="00037884" w:rsidP="00953778">
      <w:pPr>
        <w:tabs>
          <w:tab w:val="left" w:pos="1440"/>
          <w:tab w:val="left" w:pos="3060"/>
        </w:tabs>
        <w:jc w:val="center"/>
        <w:rPr>
          <w:rFonts w:ascii="Arial" w:hAnsi="Arial" w:cs="Arial"/>
          <w:b/>
          <w:smallCaps/>
          <w:sz w:val="28"/>
          <w:szCs w:val="28"/>
          <w:lang w:val="es-ES"/>
        </w:rPr>
      </w:pPr>
      <w:r>
        <w:rPr>
          <w:rFonts w:ascii="Arial" w:hAnsi="Arial" w:cs="Arial"/>
          <w:b/>
          <w:smallCaps/>
          <w:sz w:val="28"/>
          <w:szCs w:val="28"/>
          <w:lang w:val="es-ES"/>
        </w:rPr>
        <w:t>BOLIVIA</w:t>
      </w:r>
    </w:p>
    <w:p w14:paraId="501F4E5D" w14:textId="3F88F527" w:rsidR="00953778" w:rsidRDefault="00953778" w:rsidP="00953778">
      <w:pPr>
        <w:tabs>
          <w:tab w:val="left" w:pos="1440"/>
          <w:tab w:val="left" w:pos="3060"/>
        </w:tabs>
        <w:jc w:val="center"/>
        <w:rPr>
          <w:rFonts w:ascii="Arial" w:hAnsi="Arial" w:cs="Arial"/>
          <w:smallCaps/>
          <w:lang w:val="es-ES"/>
        </w:rPr>
      </w:pPr>
    </w:p>
    <w:p w14:paraId="0431BF13" w14:textId="77777777" w:rsidR="002A7369" w:rsidRDefault="002A7369" w:rsidP="00953778">
      <w:pPr>
        <w:tabs>
          <w:tab w:val="left" w:pos="1440"/>
          <w:tab w:val="left" w:pos="3060"/>
        </w:tabs>
        <w:jc w:val="center"/>
        <w:rPr>
          <w:rFonts w:ascii="Arial" w:hAnsi="Arial" w:cs="Arial"/>
          <w:smallCaps/>
          <w:lang w:val="es-ES"/>
        </w:rPr>
      </w:pPr>
    </w:p>
    <w:p w14:paraId="08A28835" w14:textId="5E500FF3" w:rsidR="002A7369" w:rsidRDefault="002A7369" w:rsidP="00953778">
      <w:pPr>
        <w:tabs>
          <w:tab w:val="left" w:pos="1440"/>
          <w:tab w:val="left" w:pos="3060"/>
        </w:tabs>
        <w:jc w:val="center"/>
        <w:rPr>
          <w:rFonts w:ascii="Arial" w:hAnsi="Arial" w:cs="Arial"/>
          <w:smallCaps/>
          <w:lang w:val="es-ES"/>
        </w:rPr>
      </w:pPr>
    </w:p>
    <w:p w14:paraId="4080CE0B" w14:textId="77777777" w:rsidR="002A7369" w:rsidRPr="00046E14" w:rsidRDefault="002A7369" w:rsidP="00953778">
      <w:pPr>
        <w:tabs>
          <w:tab w:val="left" w:pos="1440"/>
          <w:tab w:val="left" w:pos="3060"/>
        </w:tabs>
        <w:jc w:val="center"/>
        <w:rPr>
          <w:rFonts w:ascii="Arial" w:hAnsi="Arial" w:cs="Arial"/>
          <w:smallCaps/>
          <w:lang w:val="es-ES"/>
        </w:rPr>
      </w:pPr>
    </w:p>
    <w:p w14:paraId="5C0E2AB6" w14:textId="77777777" w:rsidR="00953778" w:rsidRPr="00046E14" w:rsidRDefault="00953778" w:rsidP="00953778">
      <w:pPr>
        <w:tabs>
          <w:tab w:val="left" w:pos="1440"/>
          <w:tab w:val="left" w:pos="3060"/>
        </w:tabs>
        <w:jc w:val="center"/>
        <w:rPr>
          <w:rFonts w:ascii="Arial" w:hAnsi="Arial" w:cs="Arial"/>
          <w:smallCaps/>
          <w:lang w:val="es-ES"/>
        </w:rPr>
      </w:pPr>
    </w:p>
    <w:p w14:paraId="0359B952" w14:textId="15E64F9D" w:rsidR="00953778" w:rsidRPr="00953778" w:rsidRDefault="00953778" w:rsidP="00953778">
      <w:pPr>
        <w:pStyle w:val="Newpage"/>
        <w:rPr>
          <w:rFonts w:ascii="Arial" w:hAnsi="Arial"/>
          <w:b w:val="0"/>
          <w:caps/>
          <w:smallCaps w:val="0"/>
          <w:sz w:val="22"/>
          <w:szCs w:val="22"/>
          <w:lang w:val="es-ES_tradnl"/>
        </w:rPr>
      </w:pPr>
      <w:r w:rsidRPr="00953778">
        <w:rPr>
          <w:rFonts w:ascii="Arial" w:hAnsi="Arial"/>
          <w:sz w:val="28"/>
          <w:szCs w:val="28"/>
          <w:lang w:val="es-ES_tradnl"/>
        </w:rPr>
        <w:t>A</w:t>
      </w:r>
      <w:r w:rsidR="002A7369">
        <w:rPr>
          <w:rFonts w:ascii="Arial" w:hAnsi="Arial"/>
          <w:sz w:val="28"/>
          <w:szCs w:val="28"/>
          <w:lang w:val="es-ES_tradnl"/>
        </w:rPr>
        <w:t>poyo a Poblaciones Vulnerables Afectadas por Coronavirus</w:t>
      </w:r>
    </w:p>
    <w:p w14:paraId="242737BD" w14:textId="77777777" w:rsidR="00953778" w:rsidRPr="00953778" w:rsidRDefault="00953778" w:rsidP="00953778">
      <w:pPr>
        <w:pStyle w:val="Newpage"/>
        <w:rPr>
          <w:rFonts w:ascii="Arial" w:hAnsi="Arial"/>
          <w:b w:val="0"/>
          <w:caps/>
          <w:smallCaps w:val="0"/>
          <w:sz w:val="22"/>
          <w:szCs w:val="22"/>
          <w:lang w:val="es-ES_tradnl"/>
        </w:rPr>
      </w:pPr>
    </w:p>
    <w:p w14:paraId="0F9202F0" w14:textId="77216C97" w:rsidR="00953778" w:rsidRPr="00046E14" w:rsidRDefault="00953778" w:rsidP="00953778">
      <w:pPr>
        <w:tabs>
          <w:tab w:val="left" w:pos="1440"/>
          <w:tab w:val="left" w:pos="3060"/>
        </w:tabs>
        <w:jc w:val="center"/>
        <w:rPr>
          <w:rFonts w:ascii="Arial" w:hAnsi="Arial" w:cs="Arial"/>
          <w:b/>
          <w:smallCaps/>
          <w:lang w:val="es-ES"/>
        </w:rPr>
      </w:pPr>
      <w:r w:rsidRPr="00046E14">
        <w:rPr>
          <w:rFonts w:ascii="Arial" w:hAnsi="Arial" w:cs="Arial"/>
          <w:b/>
          <w:smallCaps/>
          <w:lang w:val="es-ES"/>
        </w:rPr>
        <w:t>(</w:t>
      </w:r>
      <w:r w:rsidR="00037884">
        <w:rPr>
          <w:rFonts w:ascii="Arial" w:hAnsi="Arial" w:cs="Arial"/>
          <w:b/>
          <w:smallCaps/>
          <w:lang w:val="es-ES"/>
        </w:rPr>
        <w:t>BO-L1216</w:t>
      </w:r>
      <w:r w:rsidRPr="00046E14">
        <w:rPr>
          <w:rFonts w:ascii="Arial" w:hAnsi="Arial" w:cs="Arial"/>
          <w:b/>
          <w:smallCaps/>
          <w:lang w:val="es-ES"/>
        </w:rPr>
        <w:t>)</w:t>
      </w:r>
    </w:p>
    <w:p w14:paraId="31F36200" w14:textId="77777777" w:rsidR="00953778" w:rsidRPr="00046E14" w:rsidRDefault="00953778" w:rsidP="00953778">
      <w:pPr>
        <w:tabs>
          <w:tab w:val="left" w:pos="1440"/>
          <w:tab w:val="left" w:pos="3060"/>
        </w:tabs>
        <w:jc w:val="center"/>
        <w:rPr>
          <w:rFonts w:ascii="Arial" w:hAnsi="Arial" w:cs="Arial"/>
          <w:smallCaps/>
          <w:lang w:val="es-ES"/>
        </w:rPr>
      </w:pPr>
    </w:p>
    <w:p w14:paraId="6103660D" w14:textId="77777777" w:rsidR="00953778" w:rsidRPr="00953778" w:rsidRDefault="00953778" w:rsidP="00953778">
      <w:pPr>
        <w:tabs>
          <w:tab w:val="left" w:pos="1440"/>
          <w:tab w:val="left" w:pos="3060"/>
        </w:tabs>
        <w:jc w:val="center"/>
        <w:outlineLvl w:val="0"/>
        <w:rPr>
          <w:rFonts w:ascii="Arial" w:hAnsi="Arial" w:cs="Arial"/>
          <w:b/>
          <w:szCs w:val="24"/>
          <w:lang w:val="es-ES_tradnl"/>
        </w:rPr>
      </w:pPr>
      <w:r>
        <w:rPr>
          <w:rFonts w:ascii="Arial" w:hAnsi="Arial" w:cs="Arial"/>
          <w:b/>
          <w:smallCaps/>
          <w:szCs w:val="24"/>
          <w:lang w:val="es-ES"/>
        </w:rPr>
        <w:t>Plan de Monitoreo y Evaluación</w:t>
      </w:r>
    </w:p>
    <w:p w14:paraId="5A6EE892" w14:textId="77777777" w:rsidR="00953778" w:rsidRPr="00046E14" w:rsidRDefault="00953778" w:rsidP="00953778">
      <w:pPr>
        <w:tabs>
          <w:tab w:val="left" w:pos="1440"/>
          <w:tab w:val="left" w:pos="3060"/>
        </w:tabs>
        <w:jc w:val="center"/>
        <w:rPr>
          <w:rFonts w:ascii="Arial" w:hAnsi="Arial" w:cs="Arial"/>
          <w:lang w:val="es-ES"/>
        </w:rPr>
      </w:pPr>
    </w:p>
    <w:p w14:paraId="6BDD1FCC" w14:textId="77777777" w:rsidR="00953778" w:rsidRPr="00046E14" w:rsidRDefault="00953778" w:rsidP="00953778">
      <w:pPr>
        <w:tabs>
          <w:tab w:val="left" w:pos="1440"/>
          <w:tab w:val="left" w:pos="3060"/>
        </w:tabs>
        <w:jc w:val="center"/>
        <w:rPr>
          <w:rFonts w:ascii="Arial" w:hAnsi="Arial" w:cs="Arial"/>
          <w:lang w:val="es-ES"/>
        </w:rPr>
      </w:pPr>
    </w:p>
    <w:p w14:paraId="7F10EBD2" w14:textId="77777777" w:rsidR="00953778" w:rsidRPr="00605DD6" w:rsidRDefault="00953778" w:rsidP="00953778">
      <w:pPr>
        <w:tabs>
          <w:tab w:val="left" w:pos="1440"/>
          <w:tab w:val="left" w:pos="3060"/>
        </w:tabs>
        <w:jc w:val="center"/>
        <w:rPr>
          <w:rFonts w:ascii="Arial" w:hAnsi="Arial" w:cs="Arial"/>
          <w:lang w:val="es-ES_tradnl"/>
        </w:rPr>
      </w:pPr>
    </w:p>
    <w:p w14:paraId="4733D430" w14:textId="77777777" w:rsidR="00953778" w:rsidRPr="00605DD6" w:rsidRDefault="00953778" w:rsidP="00953778">
      <w:pPr>
        <w:tabs>
          <w:tab w:val="left" w:pos="1440"/>
          <w:tab w:val="left" w:pos="3060"/>
        </w:tabs>
        <w:jc w:val="center"/>
        <w:rPr>
          <w:rFonts w:ascii="Arial" w:hAnsi="Arial" w:cs="Arial"/>
          <w:lang w:val="es-ES_tradnl"/>
        </w:rPr>
      </w:pPr>
    </w:p>
    <w:p w14:paraId="2A601DAA" w14:textId="77777777" w:rsidR="00953778" w:rsidRPr="00605DD6" w:rsidRDefault="00953778" w:rsidP="00953778">
      <w:pPr>
        <w:tabs>
          <w:tab w:val="left" w:pos="1440"/>
          <w:tab w:val="left" w:pos="3060"/>
        </w:tabs>
        <w:jc w:val="center"/>
        <w:rPr>
          <w:rFonts w:ascii="Arial" w:hAnsi="Arial" w:cs="Arial"/>
          <w:lang w:val="es-ES_tradnl"/>
        </w:rPr>
      </w:pPr>
    </w:p>
    <w:p w14:paraId="445ECFA2" w14:textId="77777777" w:rsidR="00953778" w:rsidRPr="00605DD6" w:rsidRDefault="00953778" w:rsidP="00953778">
      <w:pPr>
        <w:tabs>
          <w:tab w:val="left" w:pos="1440"/>
          <w:tab w:val="left" w:pos="3060"/>
        </w:tabs>
        <w:jc w:val="center"/>
        <w:rPr>
          <w:rFonts w:ascii="Arial" w:hAnsi="Arial" w:cs="Arial"/>
          <w:lang w:val="es-ES_tradnl"/>
        </w:rPr>
      </w:pPr>
    </w:p>
    <w:p w14:paraId="045061A2" w14:textId="77777777" w:rsidR="00953778" w:rsidRPr="00605DD6" w:rsidRDefault="00953778" w:rsidP="00953778">
      <w:pPr>
        <w:tabs>
          <w:tab w:val="left" w:pos="1440"/>
          <w:tab w:val="left" w:pos="3060"/>
        </w:tabs>
        <w:jc w:val="center"/>
        <w:rPr>
          <w:rFonts w:ascii="Arial" w:hAnsi="Arial" w:cs="Arial"/>
          <w:lang w:val="es-ES_tradnl"/>
        </w:rPr>
      </w:pPr>
    </w:p>
    <w:p w14:paraId="1ABE26EC" w14:textId="77777777" w:rsidR="00953778" w:rsidRPr="00605DD6" w:rsidRDefault="00953778" w:rsidP="00953778">
      <w:pPr>
        <w:tabs>
          <w:tab w:val="left" w:pos="1440"/>
          <w:tab w:val="left" w:pos="3060"/>
        </w:tabs>
        <w:jc w:val="center"/>
        <w:rPr>
          <w:rFonts w:ascii="Arial" w:hAnsi="Arial" w:cs="Arial"/>
          <w:lang w:val="es-ES_tradnl"/>
        </w:rPr>
      </w:pPr>
    </w:p>
    <w:p w14:paraId="0BE7DF83" w14:textId="77777777" w:rsidR="00953778" w:rsidRPr="00605DD6" w:rsidRDefault="00953778" w:rsidP="00953778">
      <w:pPr>
        <w:tabs>
          <w:tab w:val="left" w:pos="1440"/>
          <w:tab w:val="left" w:pos="3060"/>
        </w:tabs>
        <w:jc w:val="center"/>
        <w:rPr>
          <w:rFonts w:ascii="Arial" w:hAnsi="Arial" w:cs="Arial"/>
          <w:lang w:val="es-ES_tradnl"/>
        </w:rPr>
      </w:pPr>
    </w:p>
    <w:p w14:paraId="59766BC5" w14:textId="77777777" w:rsidR="00953778" w:rsidRPr="00605DD6" w:rsidRDefault="00953778" w:rsidP="00953778">
      <w:pPr>
        <w:tabs>
          <w:tab w:val="left" w:pos="1440"/>
          <w:tab w:val="left" w:pos="3060"/>
        </w:tabs>
        <w:jc w:val="center"/>
        <w:rPr>
          <w:rFonts w:ascii="Arial" w:hAnsi="Arial" w:cs="Arial"/>
          <w:lang w:val="es-ES_tradnl"/>
        </w:rPr>
      </w:pPr>
    </w:p>
    <w:p w14:paraId="3BF5ADCD" w14:textId="2F90D256" w:rsidR="009374C4" w:rsidRDefault="00953778" w:rsidP="00953778">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lang w:val="es-ES"/>
        </w:rPr>
      </w:pPr>
      <w:r w:rsidRPr="00046E14">
        <w:rPr>
          <w:rFonts w:ascii="Arial" w:hAnsi="Arial" w:cs="Arial"/>
          <w:sz w:val="20"/>
          <w:lang w:val="es-ES"/>
        </w:rPr>
        <w:t xml:space="preserve">Este documento fue preparado por el equipo de proyecto integrado por: </w:t>
      </w:r>
      <w:r w:rsidR="009374C4" w:rsidRPr="000F4C25">
        <w:rPr>
          <w:rFonts w:ascii="Arial" w:hAnsi="Arial" w:cs="Arial"/>
          <w:sz w:val="20"/>
          <w:lang w:val="es-ES"/>
        </w:rPr>
        <w:t>Manuel Urquidi (LMK/CBO)</w:t>
      </w:r>
      <w:r w:rsidR="009374C4">
        <w:rPr>
          <w:rFonts w:ascii="Arial" w:hAnsi="Arial" w:cs="Arial"/>
          <w:sz w:val="20"/>
          <w:lang w:val="es-ES"/>
        </w:rPr>
        <w:t xml:space="preserve"> y</w:t>
      </w:r>
      <w:r w:rsidR="009374C4" w:rsidRPr="000F4C25">
        <w:rPr>
          <w:rFonts w:ascii="Arial" w:hAnsi="Arial" w:cs="Arial"/>
          <w:sz w:val="20"/>
          <w:lang w:val="es-ES"/>
        </w:rPr>
        <w:t xml:space="preserve"> </w:t>
      </w:r>
      <w:r w:rsidR="009374C4">
        <w:rPr>
          <w:rFonts w:ascii="Arial" w:hAnsi="Arial" w:cs="Arial"/>
          <w:sz w:val="20"/>
          <w:lang w:val="es-ES"/>
        </w:rPr>
        <w:t>Pablo Ibarrarán</w:t>
      </w:r>
      <w:r w:rsidR="009374C4" w:rsidRPr="000F4C25">
        <w:rPr>
          <w:rFonts w:ascii="Arial" w:hAnsi="Arial" w:cs="Arial"/>
          <w:sz w:val="20"/>
          <w:lang w:val="es-ES"/>
        </w:rPr>
        <w:t xml:space="preserve"> (SCL/</w:t>
      </w:r>
      <w:r w:rsidR="009374C4">
        <w:rPr>
          <w:rFonts w:ascii="Arial" w:hAnsi="Arial" w:cs="Arial"/>
          <w:sz w:val="20"/>
          <w:lang w:val="es-ES"/>
        </w:rPr>
        <w:t>SPH</w:t>
      </w:r>
      <w:r w:rsidR="009374C4" w:rsidRPr="000F4C25">
        <w:rPr>
          <w:rFonts w:ascii="Arial" w:hAnsi="Arial" w:cs="Arial"/>
          <w:sz w:val="20"/>
          <w:lang w:val="es-ES"/>
        </w:rPr>
        <w:t>)</w:t>
      </w:r>
      <w:r w:rsidR="009374C4">
        <w:rPr>
          <w:rFonts w:ascii="Arial" w:hAnsi="Arial" w:cs="Arial"/>
          <w:sz w:val="20"/>
          <w:lang w:val="es-ES"/>
        </w:rPr>
        <w:t xml:space="preserve"> co-jefes de equipo</w:t>
      </w:r>
      <w:r w:rsidR="009374C4" w:rsidRPr="00046E14">
        <w:rPr>
          <w:rFonts w:ascii="Arial" w:hAnsi="Arial" w:cs="Arial"/>
          <w:sz w:val="20"/>
          <w:lang w:val="es-ES"/>
        </w:rPr>
        <w:t xml:space="preserve"> </w:t>
      </w:r>
      <w:r w:rsidRPr="00046E14">
        <w:rPr>
          <w:rFonts w:ascii="Arial" w:hAnsi="Arial" w:cs="Arial"/>
          <w:sz w:val="20"/>
          <w:lang w:val="es-ES"/>
        </w:rPr>
        <w:t xml:space="preserve">Jefe de Equipo;  </w:t>
      </w:r>
      <w:r w:rsidR="009374C4">
        <w:rPr>
          <w:rFonts w:ascii="Arial" w:hAnsi="Arial" w:cs="Arial"/>
          <w:sz w:val="20"/>
          <w:lang w:val="es-ES"/>
        </w:rPr>
        <w:t>Yyannu Cruz Aguayo</w:t>
      </w:r>
      <w:r w:rsidR="009374C4" w:rsidRPr="000F4C25">
        <w:rPr>
          <w:rFonts w:ascii="Arial" w:hAnsi="Arial" w:cs="Arial"/>
          <w:sz w:val="20"/>
          <w:lang w:val="es-ES"/>
        </w:rPr>
        <w:t xml:space="preserve"> (</w:t>
      </w:r>
      <w:r w:rsidR="009374C4">
        <w:rPr>
          <w:rFonts w:ascii="Arial" w:hAnsi="Arial" w:cs="Arial"/>
          <w:sz w:val="20"/>
          <w:lang w:val="es-ES"/>
        </w:rPr>
        <w:t>SCL/</w:t>
      </w:r>
      <w:r w:rsidR="009374C4" w:rsidRPr="000F4C25">
        <w:rPr>
          <w:rFonts w:ascii="Arial" w:hAnsi="Arial" w:cs="Arial"/>
          <w:sz w:val="20"/>
          <w:lang w:val="es-ES"/>
        </w:rPr>
        <w:t xml:space="preserve">LMK); </w:t>
      </w:r>
      <w:r w:rsidR="009374C4">
        <w:rPr>
          <w:rFonts w:ascii="Arial" w:hAnsi="Arial" w:cs="Arial"/>
          <w:sz w:val="20"/>
          <w:lang w:val="es-ES"/>
        </w:rPr>
        <w:t>Alexandre Bagolle</w:t>
      </w:r>
      <w:r w:rsidR="009374C4" w:rsidRPr="000F4C25">
        <w:rPr>
          <w:rFonts w:ascii="Arial" w:hAnsi="Arial" w:cs="Arial"/>
          <w:sz w:val="20"/>
          <w:lang w:val="es-ES"/>
        </w:rPr>
        <w:t xml:space="preserve"> (</w:t>
      </w:r>
      <w:r w:rsidR="009374C4">
        <w:rPr>
          <w:rFonts w:ascii="Arial" w:hAnsi="Arial" w:cs="Arial"/>
          <w:sz w:val="20"/>
          <w:lang w:val="es-ES"/>
        </w:rPr>
        <w:t>SCL/SPH</w:t>
      </w:r>
      <w:r w:rsidR="009374C4" w:rsidRPr="000F4C25">
        <w:rPr>
          <w:rFonts w:ascii="Arial" w:hAnsi="Arial" w:cs="Arial"/>
          <w:sz w:val="20"/>
          <w:lang w:val="es-ES"/>
        </w:rPr>
        <w:t xml:space="preserve">); </w:t>
      </w:r>
      <w:r w:rsidR="009374C4">
        <w:rPr>
          <w:rFonts w:ascii="Arial" w:hAnsi="Arial" w:cs="Arial"/>
          <w:sz w:val="20"/>
          <w:lang w:val="es-ES"/>
        </w:rPr>
        <w:t>Sergio Ballón</w:t>
      </w:r>
      <w:r w:rsidR="009374C4" w:rsidRPr="000F4C25">
        <w:rPr>
          <w:rFonts w:ascii="Arial" w:hAnsi="Arial" w:cs="Arial"/>
          <w:sz w:val="20"/>
          <w:lang w:val="es-ES"/>
        </w:rPr>
        <w:t xml:space="preserve"> (</w:t>
      </w:r>
      <w:r w:rsidR="009374C4">
        <w:rPr>
          <w:rFonts w:ascii="Arial" w:hAnsi="Arial" w:cs="Arial"/>
          <w:sz w:val="20"/>
          <w:lang w:val="es-ES"/>
        </w:rPr>
        <w:t>INE/ENE</w:t>
      </w:r>
      <w:r w:rsidR="009374C4" w:rsidRPr="000F4C25">
        <w:rPr>
          <w:rFonts w:ascii="Arial" w:hAnsi="Arial" w:cs="Arial"/>
          <w:sz w:val="20"/>
          <w:lang w:val="es-ES"/>
        </w:rPr>
        <w:t xml:space="preserve">); Guillaume Durand (SCL/LMK); Ethel Muhlstein (SCL/LMK); Andrea García (SCL/LMK); </w:t>
      </w:r>
      <w:r w:rsidR="009374C4">
        <w:rPr>
          <w:rFonts w:ascii="Arial" w:hAnsi="Arial" w:cs="Arial"/>
          <w:sz w:val="20"/>
          <w:lang w:val="es-ES"/>
        </w:rPr>
        <w:t>Javier Jiménez</w:t>
      </w:r>
      <w:r w:rsidR="009374C4" w:rsidRPr="000F4C25">
        <w:rPr>
          <w:rFonts w:ascii="Arial" w:hAnsi="Arial" w:cs="Arial"/>
          <w:sz w:val="20"/>
          <w:lang w:val="es-ES"/>
        </w:rPr>
        <w:t xml:space="preserve"> (LEG/SGO); Patricia Toriz (VPC/FMP); Shirley Foronda (VPC/FMP); Christian Lunstedt (CAN/CBO).  </w:t>
      </w:r>
    </w:p>
    <w:p w14:paraId="4417372E" w14:textId="74A3BB48" w:rsidR="002A7369" w:rsidRDefault="002A7369">
      <w:pPr>
        <w:spacing w:after="0" w:line="240" w:lineRule="auto"/>
        <w:rPr>
          <w:rFonts w:ascii="Arial" w:hAnsi="Arial" w:cs="Arial"/>
          <w:sz w:val="20"/>
          <w:lang w:val="es-ES"/>
        </w:rPr>
      </w:pPr>
      <w:r>
        <w:rPr>
          <w:rFonts w:ascii="Arial" w:hAnsi="Arial" w:cs="Arial"/>
          <w:sz w:val="20"/>
          <w:lang w:val="es-ES"/>
        </w:rPr>
        <w:br w:type="page"/>
      </w:r>
    </w:p>
    <w:p w14:paraId="16F4328E" w14:textId="09295DBB" w:rsidR="00625904" w:rsidRPr="002A7369" w:rsidRDefault="001B5186" w:rsidP="00625904">
      <w:pPr>
        <w:pStyle w:val="ColorfulList-Accent11"/>
        <w:spacing w:after="0" w:line="288" w:lineRule="auto"/>
        <w:ind w:left="1080"/>
        <w:jc w:val="center"/>
        <w:rPr>
          <w:rFonts w:ascii="Arial" w:hAnsi="Arial" w:cs="Arial"/>
          <w:b/>
          <w:bCs/>
          <w:smallCaps/>
          <w:lang w:val="es-ES_tradnl"/>
        </w:rPr>
      </w:pPr>
      <w:r w:rsidRPr="002A7369">
        <w:rPr>
          <w:rFonts w:ascii="Arial" w:hAnsi="Arial" w:cs="Arial"/>
          <w:b/>
          <w:bCs/>
          <w:smallCaps/>
          <w:lang w:val="es-ES_tradnl"/>
        </w:rPr>
        <w:lastRenderedPageBreak/>
        <w:t>Cont</w:t>
      </w:r>
      <w:r w:rsidR="00625904" w:rsidRPr="002A7369">
        <w:rPr>
          <w:rFonts w:ascii="Arial" w:hAnsi="Arial" w:cs="Arial"/>
          <w:b/>
          <w:bCs/>
          <w:smallCaps/>
          <w:lang w:val="es-ES_tradnl"/>
        </w:rPr>
        <w:t>enido</w:t>
      </w:r>
    </w:p>
    <w:p w14:paraId="31443BB1" w14:textId="77777777" w:rsidR="00625904" w:rsidRPr="00625904" w:rsidRDefault="00625904" w:rsidP="00625904">
      <w:pPr>
        <w:pStyle w:val="ColorfulList-Accent11"/>
        <w:spacing w:after="0" w:line="288" w:lineRule="auto"/>
        <w:jc w:val="both"/>
        <w:rPr>
          <w:rFonts w:ascii="Arial" w:hAnsi="Arial" w:cs="Arial"/>
          <w:lang w:val="es-ES_tradnl"/>
        </w:rPr>
      </w:pPr>
    </w:p>
    <w:p w14:paraId="21B2C16E" w14:textId="77777777" w:rsidR="00625904" w:rsidRPr="00625904" w:rsidRDefault="00625904" w:rsidP="00625904">
      <w:pPr>
        <w:pStyle w:val="ColorfulList-Accent11"/>
        <w:spacing w:after="0" w:line="288" w:lineRule="auto"/>
        <w:jc w:val="both"/>
        <w:rPr>
          <w:rFonts w:ascii="Arial" w:hAnsi="Arial" w:cs="Arial"/>
          <w:lang w:val="es-ES_tradnl"/>
        </w:rPr>
      </w:pPr>
    </w:p>
    <w:p w14:paraId="61B3616A" w14:textId="77777777" w:rsidR="00625904" w:rsidRPr="00625904" w:rsidRDefault="00625904" w:rsidP="00625904">
      <w:pPr>
        <w:pStyle w:val="ColorfulList-Accent11"/>
        <w:spacing w:after="0" w:line="288" w:lineRule="auto"/>
        <w:jc w:val="both"/>
        <w:rPr>
          <w:rFonts w:ascii="Arial" w:hAnsi="Arial" w:cs="Arial"/>
          <w:lang w:val="es-ES_tradnl"/>
        </w:rPr>
      </w:pPr>
      <w:r w:rsidRPr="00625904">
        <w:rPr>
          <w:rFonts w:ascii="Arial" w:hAnsi="Arial" w:cs="Arial"/>
          <w:lang w:val="es-ES_tradnl"/>
        </w:rPr>
        <w:t>Resumen del plan de monitoreo y evaluación</w:t>
      </w:r>
    </w:p>
    <w:p w14:paraId="39AD1226" w14:textId="77777777" w:rsidR="00625904" w:rsidRPr="00625904" w:rsidRDefault="00625904" w:rsidP="00625904">
      <w:pPr>
        <w:pStyle w:val="ColorfulList-Accent11"/>
        <w:spacing w:after="0" w:line="288" w:lineRule="auto"/>
        <w:jc w:val="both"/>
        <w:rPr>
          <w:rFonts w:ascii="Arial" w:hAnsi="Arial" w:cs="Arial"/>
          <w:lang w:val="es-ES_tradnl"/>
        </w:rPr>
      </w:pPr>
    </w:p>
    <w:p w14:paraId="3F9E1233" w14:textId="77777777" w:rsidR="00625904" w:rsidRPr="00625904" w:rsidRDefault="00625904" w:rsidP="00625904">
      <w:pPr>
        <w:pStyle w:val="ColorfulList-Accent11"/>
        <w:spacing w:after="0" w:line="288" w:lineRule="auto"/>
        <w:jc w:val="both"/>
        <w:rPr>
          <w:rFonts w:ascii="Arial" w:hAnsi="Arial" w:cs="Arial"/>
          <w:lang w:val="es-ES_tradnl"/>
        </w:rPr>
      </w:pPr>
      <w:r w:rsidRPr="00625904">
        <w:rPr>
          <w:rFonts w:ascii="Arial" w:hAnsi="Arial" w:cs="Arial"/>
          <w:lang w:val="es-ES_tradnl"/>
        </w:rPr>
        <w:t>I. Introducción</w:t>
      </w:r>
    </w:p>
    <w:p w14:paraId="2E2CF290" w14:textId="77777777" w:rsidR="00625904" w:rsidRPr="00625904" w:rsidRDefault="00625904" w:rsidP="00625904">
      <w:pPr>
        <w:pStyle w:val="ColorfulList-Accent11"/>
        <w:spacing w:after="0" w:line="288" w:lineRule="auto"/>
        <w:jc w:val="both"/>
        <w:rPr>
          <w:rFonts w:ascii="Arial" w:hAnsi="Arial" w:cs="Arial"/>
          <w:lang w:val="es-ES_tradnl"/>
        </w:rPr>
      </w:pPr>
    </w:p>
    <w:p w14:paraId="0D625575" w14:textId="34A09AED" w:rsidR="00625904" w:rsidRPr="00625904" w:rsidRDefault="00625904" w:rsidP="00625904">
      <w:pPr>
        <w:pStyle w:val="ColorfulList-Accent11"/>
        <w:spacing w:after="0" w:line="288" w:lineRule="auto"/>
        <w:jc w:val="both"/>
        <w:rPr>
          <w:rFonts w:ascii="Arial" w:hAnsi="Arial" w:cs="Arial"/>
          <w:lang w:val="es-ES_tradnl"/>
        </w:rPr>
      </w:pPr>
      <w:r w:rsidRPr="00625904">
        <w:rPr>
          <w:rFonts w:ascii="Arial" w:hAnsi="Arial" w:cs="Arial"/>
          <w:lang w:val="es-ES_tradnl"/>
        </w:rPr>
        <w:t>II</w:t>
      </w:r>
      <w:r>
        <w:rPr>
          <w:rFonts w:ascii="Arial" w:hAnsi="Arial" w:cs="Arial"/>
          <w:lang w:val="es-ES_tradnl"/>
        </w:rPr>
        <w:t>.</w:t>
      </w:r>
      <w:r w:rsidRPr="00625904">
        <w:rPr>
          <w:rFonts w:ascii="Arial" w:hAnsi="Arial" w:cs="Arial"/>
          <w:lang w:val="es-ES_tradnl"/>
        </w:rPr>
        <w:t xml:space="preserve"> </w:t>
      </w:r>
      <w:r>
        <w:rPr>
          <w:rFonts w:ascii="Arial" w:hAnsi="Arial" w:cs="Arial"/>
          <w:lang w:val="es-ES_tradnl"/>
        </w:rPr>
        <w:t>Monitoreo</w:t>
      </w:r>
    </w:p>
    <w:p w14:paraId="10752680" w14:textId="77777777" w:rsidR="00625904" w:rsidRPr="00625904" w:rsidRDefault="00625904" w:rsidP="00625904">
      <w:pPr>
        <w:pStyle w:val="ColorfulList-Accent11"/>
        <w:spacing w:after="0" w:line="288" w:lineRule="auto"/>
        <w:jc w:val="both"/>
        <w:rPr>
          <w:rFonts w:ascii="Arial" w:hAnsi="Arial" w:cs="Arial"/>
          <w:lang w:val="es-ES_tradnl"/>
        </w:rPr>
      </w:pPr>
      <w:r w:rsidRPr="00625904">
        <w:rPr>
          <w:rFonts w:ascii="Arial" w:hAnsi="Arial" w:cs="Arial"/>
          <w:lang w:val="es-ES_tradnl"/>
        </w:rPr>
        <w:t>a. Indicadores</w:t>
      </w:r>
    </w:p>
    <w:p w14:paraId="7952AA6E" w14:textId="15866209" w:rsidR="00625904" w:rsidRPr="00625904" w:rsidRDefault="00625904" w:rsidP="00625904">
      <w:pPr>
        <w:pStyle w:val="ColorfulList-Accent11"/>
        <w:spacing w:after="0" w:line="288" w:lineRule="auto"/>
        <w:jc w:val="both"/>
        <w:rPr>
          <w:rFonts w:ascii="Arial" w:hAnsi="Arial" w:cs="Arial"/>
          <w:lang w:val="es-ES_tradnl"/>
        </w:rPr>
      </w:pPr>
      <w:r>
        <w:rPr>
          <w:rFonts w:ascii="Arial" w:hAnsi="Arial" w:cs="Arial"/>
          <w:lang w:val="es-ES_tradnl"/>
        </w:rPr>
        <w:t>b</w:t>
      </w:r>
      <w:r w:rsidRPr="00625904">
        <w:rPr>
          <w:rFonts w:ascii="Arial" w:hAnsi="Arial" w:cs="Arial"/>
          <w:lang w:val="es-ES_tradnl"/>
        </w:rPr>
        <w:t>. Recolección de datos e instrumentos</w:t>
      </w:r>
    </w:p>
    <w:p w14:paraId="7361250F" w14:textId="22BBF80F" w:rsidR="00625904" w:rsidRPr="00625904" w:rsidRDefault="00625904" w:rsidP="00625904">
      <w:pPr>
        <w:pStyle w:val="ColorfulList-Accent11"/>
        <w:spacing w:after="0" w:line="288" w:lineRule="auto"/>
        <w:jc w:val="both"/>
        <w:rPr>
          <w:rFonts w:ascii="Arial" w:hAnsi="Arial" w:cs="Arial"/>
          <w:lang w:val="es-ES_tradnl"/>
        </w:rPr>
      </w:pPr>
      <w:r>
        <w:rPr>
          <w:rFonts w:ascii="Arial" w:hAnsi="Arial" w:cs="Arial"/>
          <w:lang w:val="es-ES_tradnl"/>
        </w:rPr>
        <w:t>c</w:t>
      </w:r>
      <w:r w:rsidRPr="00625904">
        <w:rPr>
          <w:rFonts w:ascii="Arial" w:hAnsi="Arial" w:cs="Arial"/>
          <w:lang w:val="es-ES_tradnl"/>
        </w:rPr>
        <w:t xml:space="preserve">. </w:t>
      </w:r>
      <w:r>
        <w:rPr>
          <w:rFonts w:ascii="Arial" w:hAnsi="Arial" w:cs="Arial"/>
          <w:lang w:val="es-ES_tradnl"/>
        </w:rPr>
        <w:t>Reporte</w:t>
      </w:r>
      <w:r w:rsidRPr="00625904">
        <w:rPr>
          <w:rFonts w:ascii="Arial" w:hAnsi="Arial" w:cs="Arial"/>
          <w:lang w:val="es-ES_tradnl"/>
        </w:rPr>
        <w:t xml:space="preserve"> de resultados de monitoreo</w:t>
      </w:r>
    </w:p>
    <w:p w14:paraId="70D7AE40" w14:textId="58AED408" w:rsidR="00625904" w:rsidRPr="00625904" w:rsidRDefault="00625904" w:rsidP="00625904">
      <w:pPr>
        <w:pStyle w:val="ColorfulList-Accent11"/>
        <w:spacing w:after="0" w:line="288" w:lineRule="auto"/>
        <w:jc w:val="both"/>
        <w:rPr>
          <w:rFonts w:ascii="Arial" w:hAnsi="Arial" w:cs="Arial"/>
          <w:lang w:val="es-ES_tradnl"/>
        </w:rPr>
      </w:pPr>
      <w:r>
        <w:rPr>
          <w:rFonts w:ascii="Arial" w:hAnsi="Arial" w:cs="Arial"/>
          <w:lang w:val="es-ES_tradnl"/>
        </w:rPr>
        <w:t>d</w:t>
      </w:r>
      <w:r w:rsidRPr="00625904">
        <w:rPr>
          <w:rFonts w:ascii="Arial" w:hAnsi="Arial" w:cs="Arial"/>
          <w:lang w:val="es-ES_tradnl"/>
        </w:rPr>
        <w:t>. Coordinación de seguimiento, plan de trabajo y presupuesto</w:t>
      </w:r>
    </w:p>
    <w:p w14:paraId="1D44CC8E" w14:textId="77777777" w:rsidR="00625904" w:rsidRPr="00625904" w:rsidRDefault="00625904" w:rsidP="00625904">
      <w:pPr>
        <w:pStyle w:val="ColorfulList-Accent11"/>
        <w:spacing w:after="0" w:line="288" w:lineRule="auto"/>
        <w:jc w:val="both"/>
        <w:rPr>
          <w:rFonts w:ascii="Arial" w:hAnsi="Arial" w:cs="Arial"/>
          <w:lang w:val="es-ES_tradnl"/>
        </w:rPr>
      </w:pPr>
    </w:p>
    <w:p w14:paraId="73682E70" w14:textId="77777777" w:rsidR="00625904" w:rsidRPr="00625904" w:rsidRDefault="00625904" w:rsidP="00625904">
      <w:pPr>
        <w:pStyle w:val="ColorfulList-Accent11"/>
        <w:spacing w:after="0" w:line="288" w:lineRule="auto"/>
        <w:jc w:val="both"/>
        <w:rPr>
          <w:rFonts w:ascii="Arial" w:hAnsi="Arial" w:cs="Arial"/>
          <w:lang w:val="es-ES_tradnl"/>
        </w:rPr>
      </w:pPr>
      <w:r w:rsidRPr="00625904">
        <w:rPr>
          <w:rFonts w:ascii="Arial" w:hAnsi="Arial" w:cs="Arial"/>
          <w:lang w:val="es-ES_tradnl"/>
        </w:rPr>
        <w:t>III. Evaluación</w:t>
      </w:r>
    </w:p>
    <w:p w14:paraId="7ECA6A22" w14:textId="2381DB4A" w:rsidR="00625904" w:rsidRPr="00625904" w:rsidRDefault="00625904" w:rsidP="00625904">
      <w:pPr>
        <w:pStyle w:val="ColorfulList-Accent11"/>
        <w:spacing w:after="0" w:line="288" w:lineRule="auto"/>
        <w:jc w:val="both"/>
        <w:rPr>
          <w:rFonts w:ascii="Arial" w:hAnsi="Arial" w:cs="Arial"/>
          <w:lang w:val="es-ES_tradnl"/>
        </w:rPr>
      </w:pPr>
      <w:r w:rsidRPr="00625904">
        <w:rPr>
          <w:rFonts w:ascii="Arial" w:hAnsi="Arial" w:cs="Arial"/>
          <w:lang w:val="es-ES_tradnl"/>
        </w:rPr>
        <w:t xml:space="preserve">a. Pregunta(s) de evaluación </w:t>
      </w:r>
    </w:p>
    <w:p w14:paraId="36568679" w14:textId="5CB0A20D" w:rsidR="00625904" w:rsidRPr="00625904" w:rsidRDefault="00625904" w:rsidP="00625904">
      <w:pPr>
        <w:pStyle w:val="ColorfulList-Accent11"/>
        <w:spacing w:after="0" w:line="288" w:lineRule="auto"/>
        <w:jc w:val="both"/>
        <w:rPr>
          <w:rFonts w:ascii="Arial" w:hAnsi="Arial" w:cs="Arial"/>
          <w:lang w:val="es-ES_tradnl"/>
        </w:rPr>
      </w:pPr>
      <w:r>
        <w:rPr>
          <w:rFonts w:ascii="Arial" w:hAnsi="Arial" w:cs="Arial"/>
          <w:lang w:val="es-ES_tradnl"/>
        </w:rPr>
        <w:t>b</w:t>
      </w:r>
      <w:r w:rsidRPr="00625904">
        <w:rPr>
          <w:rFonts w:ascii="Arial" w:hAnsi="Arial" w:cs="Arial"/>
          <w:lang w:val="es-ES_tradnl"/>
        </w:rPr>
        <w:t>. Conocimiento existente (evaluaciones previas, análisis económico ex ante)</w:t>
      </w:r>
    </w:p>
    <w:p w14:paraId="3071ADFE" w14:textId="32F05BFD" w:rsidR="00625904" w:rsidRPr="00625904" w:rsidRDefault="00625904" w:rsidP="00625904">
      <w:pPr>
        <w:pStyle w:val="ColorfulList-Accent11"/>
        <w:spacing w:after="0" w:line="288" w:lineRule="auto"/>
        <w:jc w:val="both"/>
        <w:rPr>
          <w:rFonts w:ascii="Arial" w:hAnsi="Arial" w:cs="Arial"/>
          <w:lang w:val="es-ES_tradnl"/>
        </w:rPr>
      </w:pPr>
      <w:r>
        <w:rPr>
          <w:rFonts w:ascii="Arial" w:hAnsi="Arial" w:cs="Arial"/>
          <w:lang w:val="es-ES_tradnl"/>
        </w:rPr>
        <w:t>c</w:t>
      </w:r>
      <w:r w:rsidRPr="00625904">
        <w:rPr>
          <w:rFonts w:ascii="Arial" w:hAnsi="Arial" w:cs="Arial"/>
          <w:lang w:val="es-ES_tradnl"/>
        </w:rPr>
        <w:t>. Indicadores clave de resultados</w:t>
      </w:r>
    </w:p>
    <w:p w14:paraId="142CC18B" w14:textId="4C87EAED" w:rsidR="00625904" w:rsidRPr="00625904" w:rsidRDefault="00625904" w:rsidP="00625904">
      <w:pPr>
        <w:pStyle w:val="ColorfulList-Accent11"/>
        <w:spacing w:after="0" w:line="288" w:lineRule="auto"/>
        <w:jc w:val="both"/>
        <w:rPr>
          <w:rFonts w:ascii="Arial" w:hAnsi="Arial" w:cs="Arial"/>
          <w:lang w:val="es-ES_tradnl"/>
        </w:rPr>
      </w:pPr>
      <w:r>
        <w:rPr>
          <w:rFonts w:ascii="Arial" w:hAnsi="Arial" w:cs="Arial"/>
          <w:lang w:val="es-ES_tradnl"/>
        </w:rPr>
        <w:t>d</w:t>
      </w:r>
      <w:r w:rsidRPr="00625904">
        <w:rPr>
          <w:rFonts w:ascii="Arial" w:hAnsi="Arial" w:cs="Arial"/>
          <w:lang w:val="es-ES_tradnl"/>
        </w:rPr>
        <w:t>. Metodología de evaluación</w:t>
      </w:r>
    </w:p>
    <w:p w14:paraId="1409A3ED" w14:textId="5EF705D4" w:rsidR="00625904" w:rsidRPr="00625904" w:rsidRDefault="00625904" w:rsidP="00625904">
      <w:pPr>
        <w:pStyle w:val="ColorfulList-Accent11"/>
        <w:spacing w:after="0" w:line="288" w:lineRule="auto"/>
        <w:jc w:val="both"/>
        <w:rPr>
          <w:rFonts w:ascii="Arial" w:hAnsi="Arial" w:cs="Arial"/>
          <w:lang w:val="es-ES_tradnl"/>
        </w:rPr>
      </w:pPr>
      <w:r>
        <w:rPr>
          <w:rFonts w:ascii="Arial" w:hAnsi="Arial" w:cs="Arial"/>
          <w:lang w:val="es-ES_tradnl"/>
        </w:rPr>
        <w:t>e</w:t>
      </w:r>
      <w:r w:rsidRPr="00625904">
        <w:rPr>
          <w:rFonts w:ascii="Arial" w:hAnsi="Arial" w:cs="Arial"/>
          <w:lang w:val="es-ES_tradnl"/>
        </w:rPr>
        <w:t>. Aspectos técnicos de la metodología seleccionada</w:t>
      </w:r>
    </w:p>
    <w:p w14:paraId="50E277F0" w14:textId="440AAFC4" w:rsidR="00625904" w:rsidRPr="00625904" w:rsidRDefault="00625904" w:rsidP="00625904">
      <w:pPr>
        <w:pStyle w:val="ColorfulList-Accent11"/>
        <w:spacing w:after="0" w:line="288" w:lineRule="auto"/>
        <w:jc w:val="both"/>
        <w:rPr>
          <w:rFonts w:ascii="Arial" w:hAnsi="Arial" w:cs="Arial"/>
          <w:lang w:val="es-ES_tradnl"/>
        </w:rPr>
      </w:pPr>
      <w:r>
        <w:rPr>
          <w:rFonts w:ascii="Arial" w:hAnsi="Arial" w:cs="Arial"/>
          <w:lang w:val="es-ES_tradnl"/>
        </w:rPr>
        <w:t>f</w:t>
      </w:r>
      <w:r w:rsidRPr="00625904">
        <w:rPr>
          <w:rFonts w:ascii="Arial" w:hAnsi="Arial" w:cs="Arial"/>
          <w:lang w:val="es-ES_tradnl"/>
        </w:rPr>
        <w:t>. Evaluaciones complementarias</w:t>
      </w:r>
    </w:p>
    <w:p w14:paraId="1B201EE9" w14:textId="15566813" w:rsidR="00625904" w:rsidRPr="00625904" w:rsidRDefault="00625904" w:rsidP="00625904">
      <w:pPr>
        <w:pStyle w:val="ColorfulList-Accent11"/>
        <w:spacing w:after="0" w:line="288" w:lineRule="auto"/>
        <w:jc w:val="both"/>
        <w:rPr>
          <w:rFonts w:ascii="Arial" w:hAnsi="Arial" w:cs="Arial"/>
          <w:lang w:val="es-ES_tradnl"/>
        </w:rPr>
      </w:pPr>
      <w:r>
        <w:rPr>
          <w:rFonts w:ascii="Arial" w:hAnsi="Arial" w:cs="Arial"/>
          <w:lang w:val="es-ES_tradnl"/>
        </w:rPr>
        <w:t>g</w:t>
      </w:r>
      <w:r w:rsidRPr="00625904">
        <w:rPr>
          <w:rFonts w:ascii="Arial" w:hAnsi="Arial" w:cs="Arial"/>
          <w:lang w:val="es-ES_tradnl"/>
        </w:rPr>
        <w:t>. Informe de resultados de evaluación</w:t>
      </w:r>
    </w:p>
    <w:p w14:paraId="3A4E99A0" w14:textId="77777777" w:rsidR="00625904" w:rsidRPr="00625904" w:rsidRDefault="00625904" w:rsidP="00625904">
      <w:pPr>
        <w:pStyle w:val="ColorfulList-Accent11"/>
        <w:spacing w:after="0" w:line="288" w:lineRule="auto"/>
        <w:jc w:val="both"/>
        <w:rPr>
          <w:rFonts w:ascii="Arial" w:hAnsi="Arial" w:cs="Arial"/>
          <w:lang w:val="es-ES_tradnl"/>
        </w:rPr>
      </w:pPr>
      <w:r w:rsidRPr="00625904">
        <w:rPr>
          <w:rFonts w:ascii="Arial" w:hAnsi="Arial" w:cs="Arial"/>
          <w:lang w:val="es-ES_tradnl"/>
        </w:rPr>
        <w:t>h. Coordinación de evaluación, plan de trabajo y presupuesto</w:t>
      </w:r>
    </w:p>
    <w:p w14:paraId="746865D0" w14:textId="77777777" w:rsidR="00625904" w:rsidRPr="00625904" w:rsidRDefault="00625904" w:rsidP="00625904">
      <w:pPr>
        <w:pStyle w:val="ColorfulList-Accent11"/>
        <w:spacing w:after="0" w:line="288" w:lineRule="auto"/>
        <w:jc w:val="both"/>
        <w:rPr>
          <w:rFonts w:ascii="Arial" w:hAnsi="Arial" w:cs="Arial"/>
          <w:lang w:val="es-ES_tradnl"/>
        </w:rPr>
      </w:pPr>
    </w:p>
    <w:p w14:paraId="6416E2D5" w14:textId="77777777" w:rsidR="00625904" w:rsidRPr="00625904" w:rsidRDefault="00625904" w:rsidP="00625904">
      <w:pPr>
        <w:pStyle w:val="ColorfulList-Accent11"/>
        <w:spacing w:after="0" w:line="288" w:lineRule="auto"/>
        <w:jc w:val="both"/>
        <w:rPr>
          <w:rFonts w:ascii="Arial" w:hAnsi="Arial" w:cs="Arial"/>
          <w:lang w:val="es-ES_tradnl"/>
        </w:rPr>
      </w:pPr>
    </w:p>
    <w:p w14:paraId="5D08F266" w14:textId="77777777" w:rsidR="00625904" w:rsidRPr="00E75F10" w:rsidRDefault="00625904" w:rsidP="00625904">
      <w:pPr>
        <w:pStyle w:val="ColorfulList-Accent11"/>
        <w:spacing w:after="0" w:line="288" w:lineRule="auto"/>
        <w:jc w:val="both"/>
        <w:rPr>
          <w:rFonts w:ascii="Arial" w:hAnsi="Arial" w:cs="Arial"/>
        </w:rPr>
      </w:pPr>
      <w:r w:rsidRPr="00E75F10">
        <w:rPr>
          <w:rFonts w:ascii="Arial" w:hAnsi="Arial" w:cs="Arial"/>
        </w:rPr>
        <w:t>Anexos</w:t>
      </w:r>
    </w:p>
    <w:p w14:paraId="3B4817E9" w14:textId="77777777" w:rsidR="00625904" w:rsidRPr="00E75F10" w:rsidRDefault="00625904" w:rsidP="00625904">
      <w:pPr>
        <w:pStyle w:val="ColorfulList-Accent11"/>
        <w:spacing w:after="0" w:line="288" w:lineRule="auto"/>
        <w:jc w:val="both"/>
        <w:rPr>
          <w:rFonts w:ascii="Arial" w:hAnsi="Arial" w:cs="Arial"/>
        </w:rPr>
      </w:pPr>
    </w:p>
    <w:p w14:paraId="57CA0BDA" w14:textId="77777777" w:rsidR="00625904" w:rsidRPr="00E75F10" w:rsidRDefault="00625904" w:rsidP="00625904">
      <w:pPr>
        <w:pStyle w:val="ColorfulList-Accent11"/>
        <w:spacing w:after="0" w:line="288" w:lineRule="auto"/>
        <w:jc w:val="both"/>
        <w:rPr>
          <w:rFonts w:ascii="Arial" w:hAnsi="Arial" w:cs="Arial"/>
        </w:rPr>
      </w:pPr>
      <w:r w:rsidRPr="00E75F10">
        <w:rPr>
          <w:rFonts w:ascii="Arial" w:hAnsi="Arial" w:cs="Arial"/>
        </w:rPr>
        <w:t>Glosario de términos</w:t>
      </w:r>
    </w:p>
    <w:p w14:paraId="7D358B99" w14:textId="77777777" w:rsidR="00625904" w:rsidRPr="00E75F10" w:rsidRDefault="00625904" w:rsidP="00625904">
      <w:pPr>
        <w:pStyle w:val="ColorfulList-Accent11"/>
        <w:spacing w:after="0" w:line="288" w:lineRule="auto"/>
        <w:jc w:val="both"/>
        <w:rPr>
          <w:rFonts w:ascii="Arial" w:hAnsi="Arial" w:cs="Arial"/>
        </w:rPr>
      </w:pPr>
    </w:p>
    <w:p w14:paraId="65C0B586" w14:textId="77777777" w:rsidR="00625904" w:rsidRPr="00E75F10" w:rsidRDefault="00625904" w:rsidP="002A7369">
      <w:pPr>
        <w:pStyle w:val="ColorfulList-Accent11"/>
        <w:spacing w:after="0" w:line="288" w:lineRule="auto"/>
        <w:jc w:val="both"/>
        <w:rPr>
          <w:rFonts w:ascii="Arial" w:hAnsi="Arial" w:cs="Arial"/>
        </w:rPr>
      </w:pPr>
      <w:r w:rsidRPr="00E75F10">
        <w:rPr>
          <w:rFonts w:ascii="Arial" w:hAnsi="Arial" w:cs="Arial"/>
        </w:rPr>
        <w:t>Referencias</w:t>
      </w:r>
    </w:p>
    <w:p w14:paraId="11E0EA62" w14:textId="77777777" w:rsidR="00625904" w:rsidRPr="00E75F10" w:rsidRDefault="00625904" w:rsidP="00625904">
      <w:pPr>
        <w:pStyle w:val="ColorfulList-Accent11"/>
        <w:spacing w:after="0" w:line="288" w:lineRule="auto"/>
        <w:ind w:left="0"/>
        <w:jc w:val="both"/>
        <w:rPr>
          <w:rFonts w:ascii="Arial" w:hAnsi="Arial" w:cs="Arial"/>
        </w:rPr>
      </w:pPr>
    </w:p>
    <w:p w14:paraId="1D940E83" w14:textId="77777777" w:rsidR="004964DC" w:rsidRPr="00E75F10" w:rsidRDefault="004964DC">
      <w:pPr>
        <w:spacing w:after="0" w:line="240" w:lineRule="auto"/>
        <w:rPr>
          <w:rFonts w:ascii="Arial" w:eastAsia="Arial Unicode MS" w:hAnsi="Arial" w:cs="Arial"/>
          <w:bCs/>
          <w:smallCaps/>
        </w:rPr>
      </w:pPr>
      <w:r w:rsidRPr="00E75F10">
        <w:rPr>
          <w:rFonts w:ascii="Arial" w:eastAsia="Arial Unicode MS" w:hAnsi="Arial" w:cs="Arial"/>
          <w:bCs/>
          <w:smallCaps/>
        </w:rPr>
        <w:br w:type="page"/>
      </w:r>
    </w:p>
    <w:p w14:paraId="1927FF4C" w14:textId="7A97812A" w:rsidR="001B5186" w:rsidRPr="002A7369" w:rsidRDefault="00953778" w:rsidP="00C57C49">
      <w:pPr>
        <w:pStyle w:val="ColorfulList-Accent11"/>
        <w:numPr>
          <w:ilvl w:val="0"/>
          <w:numId w:val="3"/>
        </w:numPr>
        <w:spacing w:before="120" w:after="240" w:line="240" w:lineRule="auto"/>
        <w:ind w:left="547" w:hanging="547"/>
        <w:contextualSpacing w:val="0"/>
        <w:jc w:val="both"/>
        <w:rPr>
          <w:rFonts w:ascii="Arial" w:hAnsi="Arial" w:cs="Arial"/>
          <w:b/>
        </w:rPr>
      </w:pPr>
      <w:r w:rsidRPr="002A7369">
        <w:rPr>
          <w:rFonts w:ascii="Arial" w:hAnsi="Arial" w:cs="Arial"/>
          <w:b/>
        </w:rPr>
        <w:lastRenderedPageBreak/>
        <w:t>Introducción</w:t>
      </w:r>
    </w:p>
    <w:p w14:paraId="6D31CA85" w14:textId="7ED43BA1" w:rsidR="00093FE5" w:rsidRPr="002A7369" w:rsidRDefault="0062226F" w:rsidP="00C57C49">
      <w:pPr>
        <w:pStyle w:val="ColorfulList-Accent11"/>
        <w:numPr>
          <w:ilvl w:val="1"/>
          <w:numId w:val="3"/>
        </w:numPr>
        <w:spacing w:before="120" w:after="120" w:line="240" w:lineRule="auto"/>
        <w:ind w:left="540" w:hanging="540"/>
        <w:contextualSpacing w:val="0"/>
        <w:jc w:val="both"/>
        <w:rPr>
          <w:rFonts w:ascii="Arial" w:hAnsi="Arial" w:cs="Arial"/>
          <w:b/>
          <w:lang w:val="es-ES_tradnl"/>
        </w:rPr>
      </w:pPr>
      <w:r w:rsidRPr="002A7369">
        <w:rPr>
          <w:rFonts w:ascii="Arial" w:hAnsi="Arial" w:cs="Arial"/>
          <w:b/>
          <w:lang w:val="es-ES_tradnl"/>
        </w:rPr>
        <w:t>Antecedentes, o</w:t>
      </w:r>
      <w:r w:rsidR="00953778" w:rsidRPr="002A7369">
        <w:rPr>
          <w:rFonts w:ascii="Arial" w:hAnsi="Arial" w:cs="Arial"/>
          <w:b/>
          <w:lang w:val="es-ES_tradnl"/>
        </w:rPr>
        <w:t>bjetivos y component</w:t>
      </w:r>
      <w:r w:rsidR="00830672" w:rsidRPr="002A7369">
        <w:rPr>
          <w:rFonts w:ascii="Arial" w:hAnsi="Arial" w:cs="Arial"/>
          <w:b/>
          <w:lang w:val="es-ES_tradnl"/>
        </w:rPr>
        <w:t>e</w:t>
      </w:r>
      <w:r w:rsidR="00953778" w:rsidRPr="002A7369">
        <w:rPr>
          <w:rFonts w:ascii="Arial" w:hAnsi="Arial" w:cs="Arial"/>
          <w:b/>
          <w:lang w:val="es-ES_tradnl"/>
        </w:rPr>
        <w:t>s del proyecto</w:t>
      </w:r>
    </w:p>
    <w:p w14:paraId="405D7A7D" w14:textId="03AE531B" w:rsidR="005F02E9" w:rsidRPr="002A7369" w:rsidRDefault="001F0D5D" w:rsidP="00C57C49">
      <w:pPr>
        <w:spacing w:before="120" w:after="120" w:line="240" w:lineRule="auto"/>
        <w:jc w:val="both"/>
        <w:rPr>
          <w:rFonts w:ascii="Arial" w:hAnsi="Arial" w:cs="Arial"/>
          <w:lang w:val="es-ES_tradnl"/>
        </w:rPr>
      </w:pPr>
      <w:r w:rsidRPr="002A7369">
        <w:rPr>
          <w:rFonts w:ascii="Arial" w:hAnsi="Arial" w:cs="Arial"/>
          <w:lang w:val="es-ES"/>
        </w:rPr>
        <w:t>El 11 de marzo de 2020, la Organización Mundial de la Salud (OMS) caracterizó a la enfermedad COVID-19, causada por el virus que afecta las vías respiratorias, novel-Coronavirus o CoV</w:t>
      </w:r>
      <w:r w:rsidRPr="002A7369">
        <w:rPr>
          <w:rFonts w:ascii="Arial" w:hAnsi="Arial" w:cs="Arial"/>
          <w:lang w:val="es-ES"/>
        </w:rPr>
        <w:noBreakHyphen/>
        <w:t>2019, como una pandemia. Al 18 de abril, según la OMS se registraban 2</w:t>
      </w:r>
      <w:r w:rsidR="008B62EF" w:rsidRPr="008B62EF">
        <w:rPr>
          <w:rFonts w:ascii="Arial" w:eastAsia="Times New Roman" w:hAnsi="Arial" w:cs="Arial"/>
          <w:lang w:val="es-ES"/>
        </w:rPr>
        <w:t>.</w:t>
      </w:r>
      <w:r w:rsidRPr="002A7369">
        <w:rPr>
          <w:rFonts w:ascii="Arial" w:hAnsi="Arial" w:cs="Arial"/>
          <w:lang w:val="es-ES"/>
        </w:rPr>
        <w:t>241</w:t>
      </w:r>
      <w:r w:rsidR="008B62EF" w:rsidRPr="008B62EF">
        <w:rPr>
          <w:rFonts w:ascii="Arial" w:eastAsia="Times New Roman" w:hAnsi="Arial" w:cs="Arial"/>
          <w:lang w:val="es-ES"/>
        </w:rPr>
        <w:t>.</w:t>
      </w:r>
      <w:r w:rsidRPr="002A7369">
        <w:rPr>
          <w:rFonts w:ascii="Arial" w:hAnsi="Arial" w:cs="Arial"/>
          <w:lang w:val="es-ES"/>
        </w:rPr>
        <w:t>359 mil casos confirmados en 213 países o territorios, que han resultado en más de 152</w:t>
      </w:r>
      <w:r w:rsidR="008B62EF" w:rsidRPr="008B62EF">
        <w:rPr>
          <w:rFonts w:ascii="Arial" w:eastAsia="Times New Roman" w:hAnsi="Arial" w:cs="Arial"/>
          <w:lang w:val="es-ES"/>
        </w:rPr>
        <w:t>.</w:t>
      </w:r>
      <w:r w:rsidRPr="002A7369">
        <w:rPr>
          <w:rFonts w:ascii="Arial" w:hAnsi="Arial" w:cs="Arial"/>
          <w:lang w:val="es-ES"/>
        </w:rPr>
        <w:t>551</w:t>
      </w:r>
      <w:r w:rsidRPr="002A7369">
        <w:rPr>
          <w:rFonts w:ascii="Arial" w:hAnsi="Arial" w:cs="Arial"/>
          <w:vertAlign w:val="superscript"/>
          <w:lang w:val="es-ES"/>
        </w:rPr>
        <w:footnoteReference w:id="2"/>
      </w:r>
      <w:r w:rsidRPr="002A7369">
        <w:rPr>
          <w:rFonts w:ascii="Arial" w:hAnsi="Arial" w:cs="Arial"/>
          <w:lang w:val="es-ES"/>
        </w:rPr>
        <w:t xml:space="preserve"> muertes. Los primeros casos en América Latina y el Caribe (ALC) se reportaron a finales de febrero, desde entonces los casos han venido creciendo aceleradamente reportándose cerca de 83</w:t>
      </w:r>
      <w:r w:rsidR="008B62EF" w:rsidRPr="008B62EF">
        <w:rPr>
          <w:rFonts w:ascii="Arial" w:eastAsia="Times New Roman" w:hAnsi="Arial" w:cs="Arial"/>
          <w:lang w:val="es-ES"/>
        </w:rPr>
        <w:t>.</w:t>
      </w:r>
      <w:r w:rsidRPr="002A7369">
        <w:rPr>
          <w:rFonts w:ascii="Arial" w:hAnsi="Arial" w:cs="Arial"/>
          <w:lang w:val="es-ES"/>
        </w:rPr>
        <w:t>331 casos confirmados de COVID-19 y se han reportado 3</w:t>
      </w:r>
      <w:r w:rsidR="008B62EF" w:rsidRPr="008B62EF">
        <w:rPr>
          <w:rFonts w:ascii="Arial" w:eastAsia="Times New Roman" w:hAnsi="Arial" w:cs="Arial"/>
          <w:lang w:val="es-ES"/>
        </w:rPr>
        <w:t>.</w:t>
      </w:r>
      <w:r w:rsidRPr="002A7369">
        <w:rPr>
          <w:rFonts w:ascii="Arial" w:hAnsi="Arial" w:cs="Arial"/>
          <w:lang w:val="es-ES"/>
        </w:rPr>
        <w:t>911 fallecidos</w:t>
      </w:r>
      <w:r w:rsidRPr="002A7369">
        <w:rPr>
          <w:rFonts w:ascii="Arial" w:hAnsi="Arial" w:cs="Arial"/>
          <w:vertAlign w:val="superscript"/>
          <w:lang w:val="es-ES"/>
        </w:rPr>
        <w:footnoteReference w:id="3"/>
      </w:r>
      <w:r w:rsidRPr="002A7369">
        <w:rPr>
          <w:rFonts w:ascii="Arial" w:hAnsi="Arial" w:cs="Arial"/>
          <w:lang w:val="es-ES"/>
        </w:rPr>
        <w:t>. Se espera que el número de casos, muertes y países afectados siga aumentando. La enfermedad del COVID-19 puede propagarse fácilmente de persona a persona por secreciones respiratorias</w:t>
      </w:r>
      <w:r w:rsidRPr="002A7369">
        <w:rPr>
          <w:rFonts w:ascii="Arial" w:hAnsi="Arial" w:cs="Arial"/>
          <w:vertAlign w:val="superscript"/>
          <w:lang w:val="es-BO"/>
        </w:rPr>
        <w:footnoteReference w:id="4"/>
      </w:r>
      <w:r w:rsidRPr="002A7369">
        <w:rPr>
          <w:rFonts w:ascii="Arial" w:hAnsi="Arial" w:cs="Arial"/>
          <w:lang w:val="es-ES"/>
        </w:rPr>
        <w:t xml:space="preserve"> y contacto directo. Por ello, las medidas de distanciamiento social y aislamiento son aspectos esenciales de la respuesta de salud pública, con el fin de reducir el número de personas sanas que un enfermo puede contagiar (este es el número de reproducción), en otras palabras, el </w:t>
      </w:r>
      <w:r w:rsidRPr="002A7369">
        <w:rPr>
          <w:rFonts w:ascii="Arial" w:hAnsi="Arial" w:cs="Arial"/>
          <w:lang w:val="es-BO"/>
        </w:rPr>
        <w:t>número promedio de casos nuevos que genera un caso a lo largo del tiempo, a un valor por debajo de 1</w:t>
      </w:r>
      <w:r w:rsidRPr="002A7369">
        <w:rPr>
          <w:rFonts w:ascii="Arial" w:hAnsi="Arial" w:cs="Arial"/>
          <w:lang w:val="es-ES"/>
        </w:rPr>
        <w:t>. En Bolivia, el primer caso se registró el 10 de marzo y la primera muerte a causa de COVID-19 ocurrió el 29</w:t>
      </w:r>
      <w:r w:rsidR="008B62EF" w:rsidRPr="008B62EF">
        <w:rPr>
          <w:rFonts w:ascii="Arial" w:eastAsia="Times New Roman" w:hAnsi="Arial" w:cs="Arial"/>
          <w:lang w:val="es-ES"/>
        </w:rPr>
        <w:t> </w:t>
      </w:r>
      <w:r w:rsidRPr="002A7369">
        <w:rPr>
          <w:rFonts w:ascii="Arial" w:hAnsi="Arial" w:cs="Arial"/>
          <w:lang w:val="es-ES"/>
        </w:rPr>
        <w:t>del mismo mes; al día 17 de abril, se habían registrado 465 casos y 31</w:t>
      </w:r>
      <w:r w:rsidR="008B62EF" w:rsidRPr="008B62EF">
        <w:rPr>
          <w:rFonts w:ascii="Arial" w:eastAsia="Times New Roman" w:hAnsi="Arial" w:cs="Arial"/>
          <w:lang w:val="es-ES"/>
        </w:rPr>
        <w:t> </w:t>
      </w:r>
      <w:r w:rsidRPr="002A7369">
        <w:rPr>
          <w:rFonts w:ascii="Arial" w:hAnsi="Arial" w:cs="Arial"/>
          <w:lang w:val="es-ES"/>
        </w:rPr>
        <w:t>defunciones.</w:t>
      </w:r>
    </w:p>
    <w:p w14:paraId="278A16D5" w14:textId="59FB519C" w:rsidR="002D3425" w:rsidRPr="002A7369" w:rsidRDefault="002D3425" w:rsidP="00C57C49">
      <w:pPr>
        <w:tabs>
          <w:tab w:val="left" w:pos="630"/>
        </w:tabs>
        <w:spacing w:before="120" w:after="120" w:line="240" w:lineRule="auto"/>
        <w:jc w:val="both"/>
        <w:rPr>
          <w:rFonts w:ascii="Arial" w:eastAsia="Arial" w:hAnsi="Arial" w:cs="Arial"/>
          <w:lang w:val="es-ES_tradnl"/>
        </w:rPr>
      </w:pPr>
      <w:r w:rsidRPr="002A7369">
        <w:rPr>
          <w:rFonts w:ascii="Arial" w:eastAsia="Arial" w:hAnsi="Arial" w:cs="Arial"/>
          <w:lang w:val="es-ES_tradnl"/>
        </w:rPr>
        <w:t>Las repercusiones de la crisis afectarán negativamente los ingresos de la mayoría de las personas, y afectarán particularmente a los grupos más pobres, que dependen de sus actividades laborales, en gran parte informales, para sustentar su consumo. Incluso en choques transitorios al ingreso, la mayoría de las personas no tienen capacidad de sostener su consumo frente a disminuciones drásticas en su ingreso diario. Dentro de los grupos vulnerables frente al COVID-19 en Bolivia se encuentran sobrerrepresentadas las personas mayores de 60 años, pues además de tener una tasa de mortalidad mayor en caso de contagiarse, tienen una tasa de participación laboral superior al 50% en el rango de edad de 60 a 80 años (66% para hombres y 42% para mujeres), por lo que por las medidas antes mencionadas ven mermados sus ingresos laborales. En términos de funcionamiento del mercado laboral, el 82% está ocupado en el sector informal</w:t>
      </w:r>
      <w:r w:rsidR="00E63053" w:rsidRPr="00E63053">
        <w:rPr>
          <w:rFonts w:ascii="Arial" w:eastAsia="Arial" w:hAnsi="Arial" w:cs="Arial"/>
          <w:lang w:val="es-ES_tradnl"/>
        </w:rPr>
        <w:t xml:space="preserve">, y en </w:t>
      </w:r>
      <w:r w:rsidRPr="002A7369">
        <w:rPr>
          <w:rFonts w:ascii="Arial" w:eastAsia="Arial" w:hAnsi="Arial" w:cs="Arial"/>
          <w:lang w:val="es-ES_tradnl"/>
        </w:rPr>
        <w:t xml:space="preserve">el caso de las personas </w:t>
      </w:r>
      <w:r w:rsidR="00E63053" w:rsidRPr="00E63053">
        <w:rPr>
          <w:rFonts w:ascii="Arial" w:eastAsia="Arial" w:hAnsi="Arial" w:cs="Arial"/>
          <w:lang w:val="es-ES_tradnl"/>
        </w:rPr>
        <w:t>mayores de 60 años que trabajan, el 92% lo hace en el sector informal</w:t>
      </w:r>
      <w:r w:rsidRPr="00E63053">
        <w:rPr>
          <w:rFonts w:ascii="Arial" w:eastAsia="Arial" w:hAnsi="Arial" w:cs="Arial"/>
          <w:lang w:val="es-ES_tradnl"/>
        </w:rPr>
        <w:t>.</w:t>
      </w:r>
    </w:p>
    <w:p w14:paraId="3A3540AC" w14:textId="77777777" w:rsidR="00215465" w:rsidRPr="00215465" w:rsidRDefault="00215465" w:rsidP="00215465">
      <w:pPr>
        <w:spacing w:before="120" w:after="120" w:line="240" w:lineRule="auto"/>
        <w:jc w:val="both"/>
        <w:rPr>
          <w:rFonts w:ascii="Arial" w:eastAsia="Arial" w:hAnsi="Arial" w:cs="Arial"/>
          <w:lang w:val="es-ES_tradnl"/>
        </w:rPr>
      </w:pPr>
      <w:r w:rsidRPr="00215465">
        <w:rPr>
          <w:rFonts w:ascii="Arial" w:eastAsia="Arial" w:hAnsi="Arial" w:cs="Arial"/>
          <w:b/>
          <w:bCs/>
          <w:lang w:val="es-ES_tradnl"/>
        </w:rPr>
        <w:t>Bolivia cuenta con una serie de programas de transferencias monetarias para apoyar a la población pobre y vulnerable</w:t>
      </w:r>
      <w:r w:rsidRPr="00215465">
        <w:rPr>
          <w:rFonts w:ascii="Arial" w:eastAsia="Arial" w:hAnsi="Arial" w:cs="Arial"/>
          <w:lang w:val="es-ES_tradnl"/>
        </w:rPr>
        <w:t xml:space="preserve">. Entre los principales programas se destacan: </w:t>
      </w:r>
    </w:p>
    <w:p w14:paraId="27FEC6C6" w14:textId="77777777" w:rsidR="00215465" w:rsidRPr="00215465" w:rsidRDefault="00215465" w:rsidP="00215465">
      <w:pPr>
        <w:numPr>
          <w:ilvl w:val="0"/>
          <w:numId w:val="22"/>
        </w:numPr>
        <w:spacing w:before="120" w:after="120" w:line="240" w:lineRule="auto"/>
        <w:jc w:val="both"/>
        <w:rPr>
          <w:rFonts w:ascii="Arial" w:eastAsia="Arial" w:hAnsi="Arial" w:cs="Arial"/>
          <w:b/>
          <w:lang w:val="es-ES_tradnl"/>
        </w:rPr>
      </w:pPr>
      <w:r w:rsidRPr="00215465">
        <w:rPr>
          <w:rFonts w:ascii="Arial" w:eastAsia="Arial" w:hAnsi="Arial" w:cs="Arial"/>
          <w:b/>
          <w:lang w:val="es-ES_tradnl"/>
        </w:rPr>
        <w:t>Renta Dignidad (RD)</w:t>
      </w:r>
    </w:p>
    <w:p w14:paraId="741C6DEC" w14:textId="77777777" w:rsidR="00215465" w:rsidRPr="00215465" w:rsidRDefault="00215465" w:rsidP="00215465">
      <w:pPr>
        <w:spacing w:before="120" w:after="120" w:line="240" w:lineRule="auto"/>
        <w:jc w:val="both"/>
        <w:rPr>
          <w:rFonts w:ascii="Arial" w:eastAsia="Arial" w:hAnsi="Arial" w:cs="Arial"/>
          <w:lang w:val="es-ES_tradnl"/>
        </w:rPr>
      </w:pPr>
      <w:bookmarkStart w:id="0" w:name="_Ref38382252"/>
      <w:r w:rsidRPr="00215465">
        <w:rPr>
          <w:rFonts w:ascii="Arial" w:eastAsia="Arial" w:hAnsi="Arial" w:cs="Arial"/>
          <w:lang w:val="es-ES_tradnl"/>
        </w:rPr>
        <w:t>Este programa fue creado en 2007 con antecedentes en Bolivia desde 1998 y Bonosol en 2003, y consiste en una transferencia a las personas de 60 años o más, cuyo monto varía dependiendo si la persona recibe o no jubilación (en 2019, 84% de los beneficiarios no recibían jubilación). Para las personas que no reciben jubilación (70% de los cuales viven en pobreza o vulnerabilidad por ingreso</w:t>
      </w:r>
      <w:r w:rsidRPr="00215465">
        <w:rPr>
          <w:rFonts w:ascii="Arial" w:eastAsia="Arial" w:hAnsi="Arial" w:cs="Arial"/>
          <w:vertAlign w:val="superscript"/>
          <w:lang w:val="es-ES_tradnl"/>
        </w:rPr>
        <w:footnoteReference w:id="5"/>
      </w:r>
      <w:r w:rsidRPr="00215465">
        <w:rPr>
          <w:rFonts w:ascii="Arial" w:eastAsia="Arial" w:hAnsi="Arial" w:cs="Arial"/>
          <w:lang w:val="es-ES_tradnl"/>
        </w:rPr>
        <w:t xml:space="preserve">), consiste en un pago mensual de Bolivianos (BOB) 350 (equivalente a alrededor de US$50). Se realizan trece pagos anuales; las personas con </w:t>
      </w:r>
      <w:r w:rsidRPr="00215465">
        <w:rPr>
          <w:rFonts w:ascii="Arial" w:eastAsia="Arial" w:hAnsi="Arial" w:cs="Arial"/>
          <w:lang w:val="es-ES_tradnl"/>
        </w:rPr>
        <w:lastRenderedPageBreak/>
        <w:t>jubilación cobran un 75% de este monto. Hacia fines de 2019 se registraban 1,1 millones de beneficiarios</w:t>
      </w:r>
      <w:r w:rsidRPr="00215465">
        <w:rPr>
          <w:rFonts w:ascii="Arial" w:eastAsia="Arial" w:hAnsi="Arial" w:cs="Arial"/>
          <w:vertAlign w:val="superscript"/>
          <w:lang w:val="es-ES_tradnl"/>
        </w:rPr>
        <w:footnoteReference w:id="6"/>
      </w:r>
      <w:r w:rsidRPr="00215465">
        <w:rPr>
          <w:rFonts w:ascii="Arial" w:eastAsia="Arial" w:hAnsi="Arial" w:cs="Arial"/>
          <w:lang w:val="es-ES_tradnl"/>
        </w:rPr>
        <w:t>. El presupuesto anual de RD es cercano a US$560 millones</w:t>
      </w:r>
      <w:r w:rsidRPr="00215465">
        <w:rPr>
          <w:rFonts w:ascii="Arial" w:eastAsia="Arial" w:hAnsi="Arial" w:cs="Arial"/>
          <w:vertAlign w:val="superscript"/>
          <w:lang w:val="es-ES_tradnl"/>
        </w:rPr>
        <w:footnoteReference w:id="7"/>
      </w:r>
      <w:r w:rsidRPr="00215465">
        <w:rPr>
          <w:rFonts w:ascii="Arial" w:eastAsia="Arial" w:hAnsi="Arial" w:cs="Arial"/>
          <w:lang w:val="es-ES_tradnl"/>
        </w:rPr>
        <w:t>.</w:t>
      </w:r>
      <w:bookmarkEnd w:id="0"/>
    </w:p>
    <w:p w14:paraId="01B1E854" w14:textId="77777777" w:rsidR="00215465" w:rsidRPr="00215465" w:rsidRDefault="00B3161F" w:rsidP="00215465">
      <w:pPr>
        <w:numPr>
          <w:ilvl w:val="0"/>
          <w:numId w:val="22"/>
        </w:numPr>
        <w:spacing w:before="120" w:after="120" w:line="240" w:lineRule="auto"/>
        <w:jc w:val="both"/>
        <w:rPr>
          <w:rFonts w:ascii="Arial" w:eastAsia="Arial" w:hAnsi="Arial" w:cs="Arial"/>
          <w:lang w:val="es-ES_tradnl"/>
        </w:rPr>
      </w:pPr>
      <w:r w:rsidRPr="00215465">
        <w:rPr>
          <w:rFonts w:ascii="Arial" w:eastAsia="Arial" w:hAnsi="Arial" w:cs="Arial"/>
          <w:b/>
          <w:lang w:val="es-ES_tradnl"/>
        </w:rPr>
        <w:t>Bono Juana Azurduy</w:t>
      </w:r>
      <w:r w:rsidR="00215465" w:rsidRPr="00215465">
        <w:rPr>
          <w:rFonts w:ascii="Arial" w:eastAsia="Arial" w:hAnsi="Arial" w:cs="Arial"/>
          <w:lang w:val="es-ES_tradnl"/>
        </w:rPr>
        <w:t xml:space="preserve"> </w:t>
      </w:r>
    </w:p>
    <w:p w14:paraId="212AA015" w14:textId="77777777" w:rsidR="00B3161F" w:rsidRPr="002A7369" w:rsidRDefault="00215465" w:rsidP="00215465">
      <w:pPr>
        <w:spacing w:before="120" w:after="120" w:line="240" w:lineRule="auto"/>
        <w:jc w:val="both"/>
        <w:rPr>
          <w:rFonts w:ascii="Arial" w:eastAsia="Arial" w:hAnsi="Arial" w:cs="Arial"/>
          <w:lang w:val="es-ES_tradnl"/>
        </w:rPr>
      </w:pPr>
      <w:r w:rsidRPr="00215465">
        <w:rPr>
          <w:rFonts w:ascii="Arial" w:eastAsia="Arial" w:hAnsi="Arial" w:cs="Arial"/>
          <w:lang w:val="es-ES_tradnl"/>
        </w:rPr>
        <w:t>Bono Juana Azurduy fue</w:t>
      </w:r>
      <w:r w:rsidR="00B3161F" w:rsidRPr="002A7369">
        <w:rPr>
          <w:rFonts w:ascii="Arial" w:eastAsia="Arial" w:hAnsi="Arial" w:cs="Arial"/>
          <w:lang w:val="es-ES_tradnl"/>
        </w:rPr>
        <w:t xml:space="preserve"> creado en 2009, es un programa que tiene como fin último el acceso a los servicios de salud y desarrollo integral para disminuir la mortalidad materna e infantil. Se trata de un Programa de Transferencias Monetarias Condicionadas (</w:t>
      </w:r>
      <w:r w:rsidRPr="00215465">
        <w:rPr>
          <w:rFonts w:ascii="Arial" w:eastAsia="Arial" w:hAnsi="Arial" w:cs="Arial"/>
          <w:lang w:val="es-ES_tradnl"/>
        </w:rPr>
        <w:t>PTMC</w:t>
      </w:r>
      <w:r w:rsidR="00B3161F" w:rsidRPr="002A7369">
        <w:rPr>
          <w:rFonts w:ascii="Arial" w:eastAsia="Arial" w:hAnsi="Arial" w:cs="Arial"/>
          <w:lang w:val="es-ES_tradnl"/>
        </w:rPr>
        <w:t xml:space="preserve">) dirigido a la mujer gestante, en lactancia y con niños menores, </w:t>
      </w:r>
      <w:r w:rsidRPr="00215465">
        <w:rPr>
          <w:rFonts w:ascii="Arial" w:eastAsia="Arial" w:hAnsi="Arial" w:cs="Arial"/>
          <w:lang w:val="es-ES_tradnl"/>
        </w:rPr>
        <w:t xml:space="preserve">que otorga </w:t>
      </w:r>
      <w:r w:rsidR="00B3161F" w:rsidRPr="002A7369">
        <w:rPr>
          <w:rFonts w:ascii="Arial" w:eastAsia="Arial" w:hAnsi="Arial" w:cs="Arial"/>
          <w:lang w:val="es-ES_tradnl"/>
        </w:rPr>
        <w:t xml:space="preserve">un subsidio condicionado a: </w:t>
      </w:r>
      <w:r w:rsidRPr="00215465">
        <w:rPr>
          <w:rFonts w:ascii="Arial" w:eastAsia="Arial" w:hAnsi="Arial" w:cs="Arial"/>
          <w:lang w:val="es-ES_tradnl"/>
        </w:rPr>
        <w:t>(</w:t>
      </w:r>
      <w:r w:rsidR="00B3161F" w:rsidRPr="002A7369">
        <w:rPr>
          <w:rFonts w:ascii="Arial" w:eastAsia="Arial" w:hAnsi="Arial" w:cs="Arial"/>
          <w:lang w:val="es-ES_tradnl"/>
        </w:rPr>
        <w:t>i)</w:t>
      </w:r>
      <w:r w:rsidRPr="00215465">
        <w:rPr>
          <w:rFonts w:ascii="Arial" w:eastAsia="Arial" w:hAnsi="Arial" w:cs="Arial"/>
          <w:lang w:val="es-ES_tradnl"/>
        </w:rPr>
        <w:t> cuatro controles prenatales</w:t>
      </w:r>
      <w:r w:rsidR="00B3161F" w:rsidRPr="002A7369">
        <w:rPr>
          <w:rFonts w:ascii="Arial" w:eastAsia="Arial" w:hAnsi="Arial" w:cs="Arial"/>
          <w:lang w:val="es-ES_tradnl"/>
        </w:rPr>
        <w:t xml:space="preserve">; </w:t>
      </w:r>
      <w:r w:rsidRPr="00215465">
        <w:rPr>
          <w:rFonts w:ascii="Arial" w:eastAsia="Arial" w:hAnsi="Arial" w:cs="Arial"/>
          <w:lang w:val="es-ES_tradnl"/>
        </w:rPr>
        <w:t>(</w:t>
      </w:r>
      <w:r w:rsidR="00B3161F" w:rsidRPr="002A7369">
        <w:rPr>
          <w:rFonts w:ascii="Arial" w:eastAsia="Arial" w:hAnsi="Arial" w:cs="Arial"/>
          <w:lang w:val="es-ES_tradnl"/>
        </w:rPr>
        <w:t>ii)</w:t>
      </w:r>
      <w:r w:rsidRPr="00215465">
        <w:rPr>
          <w:rFonts w:ascii="Arial" w:eastAsia="Arial" w:hAnsi="Arial" w:cs="Arial"/>
          <w:lang w:val="es-ES_tradnl"/>
        </w:rPr>
        <w:t> control post</w:t>
      </w:r>
      <w:r w:rsidR="00B3161F" w:rsidRPr="002A7369">
        <w:rPr>
          <w:rFonts w:ascii="Arial" w:eastAsia="Arial" w:hAnsi="Arial" w:cs="Arial"/>
          <w:lang w:val="es-ES_tradnl"/>
        </w:rPr>
        <w:t xml:space="preserve"> parto; y </w:t>
      </w:r>
      <w:r w:rsidRPr="00215465">
        <w:rPr>
          <w:rFonts w:ascii="Arial" w:eastAsia="Arial" w:hAnsi="Arial" w:cs="Arial"/>
          <w:lang w:val="es-ES_tradnl"/>
        </w:rPr>
        <w:t>(</w:t>
      </w:r>
      <w:r w:rsidR="00B3161F" w:rsidRPr="002A7369">
        <w:rPr>
          <w:rFonts w:ascii="Arial" w:eastAsia="Arial" w:hAnsi="Arial" w:cs="Arial"/>
          <w:lang w:val="es-ES_tradnl"/>
        </w:rPr>
        <w:t>iii)</w:t>
      </w:r>
      <w:r w:rsidRPr="00215465">
        <w:rPr>
          <w:rFonts w:ascii="Arial" w:eastAsia="Arial" w:hAnsi="Arial" w:cs="Arial"/>
          <w:lang w:val="es-ES_tradnl"/>
        </w:rPr>
        <w:t> monitoreo</w:t>
      </w:r>
      <w:r w:rsidR="00B3161F" w:rsidRPr="002A7369">
        <w:rPr>
          <w:rFonts w:ascii="Arial" w:eastAsia="Arial" w:hAnsi="Arial" w:cs="Arial"/>
          <w:lang w:val="es-ES_tradnl"/>
        </w:rPr>
        <w:t xml:space="preserve"> del crecimiento y desarrollo del niño hasta el segundo año</w:t>
      </w:r>
      <w:r w:rsidRPr="00215465">
        <w:rPr>
          <w:rFonts w:ascii="Arial" w:eastAsia="Arial" w:hAnsi="Arial" w:cs="Arial"/>
          <w:lang w:val="es-ES_tradnl"/>
        </w:rPr>
        <w:t>. En 2018 se registraban 229 mil beneficiarios, incluyendo mujeres, niñas y niños. Los pagos varían dependiendo de la condicionalidad asociada, con un monto máximo de BOB 1.820 (equivalente a alrededor de US$260) por los cuatro controles prenatales, el parto institucional y control post</w:t>
      </w:r>
      <w:r w:rsidRPr="00215465">
        <w:rPr>
          <w:rFonts w:ascii="Arial" w:eastAsia="Arial" w:hAnsi="Arial" w:cs="Arial"/>
          <w:lang w:val="es-ES_tradnl"/>
        </w:rPr>
        <w:noBreakHyphen/>
        <w:t>parto y el control bimestral de atención integral al niño por dos años. Su presupuesto anual es cercano a los US$</w:t>
      </w:r>
      <w:r w:rsidR="00B3161F" w:rsidRPr="002A7369">
        <w:rPr>
          <w:rFonts w:ascii="Arial" w:eastAsia="Arial" w:hAnsi="Arial" w:cs="Arial"/>
          <w:lang w:val="es-ES_tradnl"/>
        </w:rPr>
        <w:t xml:space="preserve">27 millones. </w:t>
      </w:r>
    </w:p>
    <w:p w14:paraId="7B4BF6A2" w14:textId="77777777" w:rsidR="00215465" w:rsidRPr="00215465" w:rsidRDefault="00215465" w:rsidP="00215465">
      <w:pPr>
        <w:numPr>
          <w:ilvl w:val="0"/>
          <w:numId w:val="22"/>
        </w:numPr>
        <w:spacing w:before="120" w:after="120" w:line="240" w:lineRule="auto"/>
        <w:jc w:val="both"/>
        <w:rPr>
          <w:rFonts w:ascii="Arial" w:eastAsia="Arial" w:hAnsi="Arial" w:cs="Arial"/>
          <w:b/>
          <w:lang w:val="es-ES_tradnl"/>
        </w:rPr>
      </w:pPr>
      <w:r w:rsidRPr="00215465">
        <w:rPr>
          <w:rFonts w:ascii="Arial" w:eastAsia="Arial" w:hAnsi="Arial" w:cs="Arial"/>
          <w:b/>
          <w:lang w:val="es-ES_tradnl"/>
        </w:rPr>
        <w:t>Renta Solidaria</w:t>
      </w:r>
    </w:p>
    <w:p w14:paraId="2C418DC1" w14:textId="77777777" w:rsidR="00215465" w:rsidRPr="00215465" w:rsidRDefault="00215465" w:rsidP="00215465">
      <w:pPr>
        <w:spacing w:before="120" w:after="120" w:line="240" w:lineRule="auto"/>
        <w:jc w:val="both"/>
        <w:rPr>
          <w:rFonts w:ascii="Arial" w:eastAsia="Arial" w:hAnsi="Arial" w:cs="Arial"/>
          <w:lang w:val="es-ES_tradnl"/>
        </w:rPr>
      </w:pPr>
      <w:r w:rsidRPr="00215465">
        <w:rPr>
          <w:rFonts w:ascii="Arial" w:eastAsia="Arial" w:hAnsi="Arial" w:cs="Arial"/>
          <w:lang w:val="es-ES_tradnl"/>
        </w:rPr>
        <w:t>Esta</w:t>
      </w:r>
      <w:r w:rsidRPr="00215465" w:rsidDel="00E8244F">
        <w:rPr>
          <w:rFonts w:ascii="Arial" w:eastAsia="Arial" w:hAnsi="Arial" w:cs="Arial"/>
          <w:lang w:val="es-ES_tradnl"/>
        </w:rPr>
        <w:t xml:space="preserve"> es </w:t>
      </w:r>
      <w:r w:rsidRPr="00215465">
        <w:rPr>
          <w:rFonts w:ascii="Arial" w:eastAsia="Arial" w:hAnsi="Arial" w:cs="Arial"/>
          <w:lang w:val="es-ES_tradnl"/>
        </w:rPr>
        <w:t>una pensión para personas con discapacidad grave o muy grave creado en 2013. Al 2018 contaba con 30,5 mil beneficiarios que recibían BOB 1.000 anualmente (equivalente a alrededor de US$145), con un presupuesto anual de US$2,8 millones.</w:t>
      </w:r>
    </w:p>
    <w:p w14:paraId="69E7E3FA" w14:textId="77777777" w:rsidR="00215465" w:rsidRPr="00215465" w:rsidRDefault="00215465" w:rsidP="00215465">
      <w:pPr>
        <w:numPr>
          <w:ilvl w:val="0"/>
          <w:numId w:val="22"/>
        </w:numPr>
        <w:spacing w:before="120" w:after="120" w:line="240" w:lineRule="auto"/>
        <w:jc w:val="both"/>
        <w:rPr>
          <w:rFonts w:ascii="Arial" w:eastAsia="Arial" w:hAnsi="Arial" w:cs="Arial"/>
          <w:lang w:val="es-ES_tradnl"/>
        </w:rPr>
      </w:pPr>
      <w:r w:rsidRPr="00215465">
        <w:rPr>
          <w:rFonts w:ascii="Arial" w:eastAsia="Arial" w:hAnsi="Arial" w:cs="Arial"/>
          <w:b/>
          <w:lang w:val="es-ES_tradnl"/>
        </w:rPr>
        <w:t>Bono Juancito Pinto</w:t>
      </w:r>
      <w:r w:rsidRPr="00215465">
        <w:rPr>
          <w:rFonts w:ascii="Arial" w:eastAsia="Arial" w:hAnsi="Arial" w:cs="Arial"/>
          <w:lang w:val="es-ES_tradnl"/>
        </w:rPr>
        <w:t xml:space="preserve"> </w:t>
      </w:r>
    </w:p>
    <w:p w14:paraId="0021D6E0" w14:textId="77777777" w:rsidR="00215465" w:rsidRPr="00215465" w:rsidRDefault="00215465" w:rsidP="00215465">
      <w:pPr>
        <w:spacing w:before="120" w:after="120" w:line="240" w:lineRule="auto"/>
        <w:jc w:val="both"/>
        <w:rPr>
          <w:rFonts w:ascii="Arial" w:eastAsia="Arial" w:hAnsi="Arial" w:cs="Arial"/>
          <w:lang w:val="es-ES_tradnl"/>
        </w:rPr>
      </w:pPr>
      <w:r w:rsidRPr="00215465">
        <w:rPr>
          <w:rFonts w:ascii="Arial" w:eastAsia="Arial" w:hAnsi="Arial" w:cs="Arial"/>
          <w:lang w:val="es-ES_tradnl"/>
        </w:rPr>
        <w:t xml:space="preserve">Este PTMC fue creado en 2006 como incentivo a la matriculación y permanencia escolar. El programa cubre a todos los niños entre 6 y 14 años que asisten a la escuela pública en todo el territorio nacional y otorga BOB 200 (equivalente a alrededor de US$28) una vez al año por cada niño. Tiene alrededor de 2,2 millones de beneficiarios y se basa en el Registro Único de Estudiantes (RUDE), con un presupuesto anual de alrededor de US$66 millones. </w:t>
      </w:r>
    </w:p>
    <w:p w14:paraId="2D3CF5D1" w14:textId="77777777" w:rsidR="00215465" w:rsidRPr="00215465" w:rsidRDefault="00215465" w:rsidP="00215465">
      <w:pPr>
        <w:numPr>
          <w:ilvl w:val="0"/>
          <w:numId w:val="22"/>
        </w:numPr>
        <w:spacing w:before="120" w:after="120" w:line="240" w:lineRule="auto"/>
        <w:jc w:val="both"/>
        <w:rPr>
          <w:rFonts w:ascii="Arial" w:eastAsia="Arial" w:hAnsi="Arial" w:cs="Arial"/>
          <w:lang w:val="es-ES_tradnl"/>
        </w:rPr>
      </w:pPr>
      <w:r w:rsidRPr="00215465">
        <w:rPr>
          <w:rFonts w:ascii="Arial" w:eastAsia="Arial" w:hAnsi="Arial" w:cs="Arial"/>
          <w:b/>
          <w:lang w:val="es-ES_tradnl"/>
        </w:rPr>
        <w:t>Tarifa Dignidad</w:t>
      </w:r>
      <w:r w:rsidRPr="00215465">
        <w:rPr>
          <w:rFonts w:ascii="Arial" w:eastAsia="Arial" w:hAnsi="Arial" w:cs="Arial"/>
          <w:lang w:val="es-ES_tradnl"/>
        </w:rPr>
        <w:t xml:space="preserve"> </w:t>
      </w:r>
    </w:p>
    <w:p w14:paraId="576177B4" w14:textId="16AF0D60" w:rsidR="00215465" w:rsidRDefault="00215465" w:rsidP="00215465">
      <w:pPr>
        <w:spacing w:before="120" w:after="120" w:line="240" w:lineRule="auto"/>
        <w:jc w:val="both"/>
        <w:rPr>
          <w:rFonts w:ascii="Arial" w:eastAsia="Arial" w:hAnsi="Arial" w:cs="Arial"/>
          <w:lang w:val="es-ES_tradnl"/>
        </w:rPr>
      </w:pPr>
      <w:bookmarkStart w:id="1" w:name="_Ref38555281"/>
      <w:r w:rsidRPr="00215465">
        <w:rPr>
          <w:rFonts w:ascii="Arial" w:eastAsia="Times New Roman" w:hAnsi="Arial" w:cs="Arial"/>
          <w:lang w:val="es-ES"/>
        </w:rPr>
        <w:t xml:space="preserve">Para garantizar el acceso a electricidad de las poblaciones más vulnerables, en 2010 se creó </w:t>
      </w:r>
      <w:r w:rsidRPr="00215465">
        <w:rPr>
          <w:rFonts w:ascii="Arial" w:eastAsia="Arial" w:hAnsi="Arial" w:cs="Arial"/>
          <w:lang w:val="es-ES_tradnl"/>
        </w:rPr>
        <w:t>la "Tarifa Dignidad", a ser aplicada en todo el país, tanto en el área urbana como rural. La tarifa consiste en un descuento del 25% promedio de la tarifa vigente para los consumidores domiciliarios con consumos menores a 70 kWh por mes, beneficiando a aproximadamente 1,2 millones de usuarios en 2019</w:t>
      </w:r>
      <w:r w:rsidRPr="00215465">
        <w:rPr>
          <w:rFonts w:ascii="Arial" w:eastAsia="Arial" w:hAnsi="Arial" w:cs="Arial"/>
          <w:vertAlign w:val="superscript"/>
          <w:lang w:val="es-ES_tradnl"/>
        </w:rPr>
        <w:footnoteReference w:id="8"/>
      </w:r>
      <w:r w:rsidRPr="00215465">
        <w:rPr>
          <w:rFonts w:ascii="Arial" w:eastAsia="Arial" w:hAnsi="Arial" w:cs="Arial"/>
          <w:lang w:val="es-ES_tradnl"/>
        </w:rPr>
        <w:t>. Este esquema opera dentro de una estructura tarifaria consolidada que garantiza la sostenibilidad y cobertura del sector eléctrico</w:t>
      </w:r>
      <w:r w:rsidRPr="00215465">
        <w:rPr>
          <w:rFonts w:ascii="Arial" w:eastAsia="Arial" w:hAnsi="Arial" w:cs="Arial"/>
          <w:vertAlign w:val="superscript"/>
          <w:lang w:val="es-ES_tradnl"/>
        </w:rPr>
        <w:footnoteReference w:id="9"/>
      </w:r>
      <w:r w:rsidRPr="00215465">
        <w:rPr>
          <w:rFonts w:ascii="Arial" w:eastAsia="Arial" w:hAnsi="Arial" w:cs="Arial"/>
          <w:lang w:val="es-ES_tradnl"/>
        </w:rPr>
        <w:t>.</w:t>
      </w:r>
      <w:bookmarkEnd w:id="1"/>
    </w:p>
    <w:p w14:paraId="3C8E301B" w14:textId="77777777" w:rsidR="001E5ED5" w:rsidRDefault="001E5ED5" w:rsidP="00C57C49">
      <w:pPr>
        <w:spacing w:before="120" w:after="120" w:line="240" w:lineRule="auto"/>
        <w:jc w:val="both"/>
        <w:rPr>
          <w:rFonts w:ascii="Arial" w:eastAsia="Arial" w:hAnsi="Arial" w:cs="Arial"/>
          <w:lang w:val="es-ES_tradnl"/>
        </w:rPr>
      </w:pPr>
    </w:p>
    <w:p w14:paraId="4B02F62A" w14:textId="56ECBBFF" w:rsidR="002230F7" w:rsidRPr="002A7369" w:rsidRDefault="002230F7" w:rsidP="00C57C49">
      <w:pPr>
        <w:spacing w:before="120" w:after="120" w:line="240" w:lineRule="auto"/>
        <w:jc w:val="both"/>
        <w:rPr>
          <w:rFonts w:ascii="Arial" w:hAnsi="Arial" w:cs="Arial"/>
          <w:lang w:val="es-ES_tradnl"/>
        </w:rPr>
      </w:pPr>
      <w:r w:rsidRPr="002A7369">
        <w:rPr>
          <w:rFonts w:ascii="Arial" w:hAnsi="Arial" w:cs="Arial"/>
          <w:b/>
          <w:lang w:val="es-ES_tradnl"/>
        </w:rPr>
        <w:t xml:space="preserve">Objetivos. </w:t>
      </w:r>
      <w:r w:rsidRPr="002A7369">
        <w:rPr>
          <w:rFonts w:ascii="Arial" w:hAnsi="Arial" w:cs="Arial"/>
          <w:bCs/>
          <w:lang w:val="es-ES_tradnl"/>
        </w:rPr>
        <w:t>El objetivo de desarrollo general de este proyecto es contribuir a asegurar niveles mínimos de calidad de vida de las personas vulnerables frente a la crisis causada por el COVID-19. El objetivo específico es apoyar niveles mínimos de ingreso de personas afectadas por el coronavirus, en el periodo inmediato y durante la recuperación. La operación está estructurada en un componente y dos subcomponentes:</w:t>
      </w:r>
    </w:p>
    <w:p w14:paraId="4BAA9022" w14:textId="77777777" w:rsidR="002230F7" w:rsidRPr="002A7369" w:rsidRDefault="002230F7" w:rsidP="00C57C49">
      <w:pPr>
        <w:spacing w:before="120" w:after="120" w:line="240" w:lineRule="auto"/>
        <w:jc w:val="both"/>
        <w:rPr>
          <w:rFonts w:ascii="Arial" w:hAnsi="Arial" w:cs="Arial"/>
          <w:lang w:val="es-ES_tradnl"/>
        </w:rPr>
      </w:pPr>
      <w:r w:rsidRPr="002A7369">
        <w:rPr>
          <w:rFonts w:ascii="Arial" w:hAnsi="Arial" w:cs="Arial"/>
          <w:b/>
          <w:bCs/>
          <w:lang w:val="es-ES_tradnl"/>
        </w:rPr>
        <w:t xml:space="preserve">Componente Único: Protección de poblaciones vulnerables mediante el uso de programas de transferencias monetarias existentes </w:t>
      </w:r>
    </w:p>
    <w:p w14:paraId="154D0CE0" w14:textId="19B196D1" w:rsidR="00443C4C" w:rsidRPr="002B5473" w:rsidRDefault="00443C4C" w:rsidP="00443C4C">
      <w:pPr>
        <w:spacing w:before="120" w:after="120" w:line="240" w:lineRule="auto"/>
        <w:jc w:val="both"/>
        <w:rPr>
          <w:rFonts w:ascii="Arial" w:hAnsi="Arial" w:cs="Arial"/>
          <w:lang w:val="es-ES_tradnl"/>
        </w:rPr>
      </w:pPr>
      <w:r w:rsidRPr="00443C4C">
        <w:rPr>
          <w:rFonts w:ascii="Arial" w:hAnsi="Arial" w:cs="Arial"/>
          <w:b/>
          <w:bCs/>
          <w:lang w:val="es-ES_tradnl"/>
        </w:rPr>
        <w:lastRenderedPageBreak/>
        <w:t xml:space="preserve">Subcomponente 1.1. Protección de poblaciones vulnerables mediante el uso del programa Renta Dignidad. </w:t>
      </w:r>
      <w:r w:rsidRPr="00443C4C">
        <w:rPr>
          <w:rFonts w:ascii="Arial" w:hAnsi="Arial" w:cs="Arial"/>
          <w:b/>
          <w:lang w:val="es-ES_tradnl"/>
        </w:rPr>
        <w:t>(US$405,3 millones)</w:t>
      </w:r>
      <w:r w:rsidRPr="00443C4C">
        <w:rPr>
          <w:rFonts w:ascii="Arial" w:hAnsi="Arial" w:cs="Arial"/>
          <w:lang w:val="es-ES_tradnl"/>
        </w:rPr>
        <w:t xml:space="preserve"> Este componente financiará parcialmente las transferencias monetarias a personas que participan del programa Renta Dignidad (en particular los mayores de 60 años que no reciben ingresos por jubilación). Se incluyen aquí parte de los pagos regulares de Renta Dignidad durante los meses asociados con la crisis y recuperación (BOB 350; US$50,9 a cada persona sin jubilación u otro ingreso proveniente del Estado), así como el pago adicional anunciado como parte de las medidas económicas para atender la emergencia sanitaria bajo la Canasta Familiar, que consiste en el pago de BOB 400 a los beneficiarios que reciben Renta Dignidad y no cuentan con jubilación u otra renta. Específicamente, se planea cubrir el 100% del pago extraordinario bajo la Canasta Familiar para aproximadamente 50% de beneficiarios que reciben Renta Dignidad y no cuentan con jubilación y el 100% de 4 pagos mensuales programados también para alrededor del 50% de los beneficiarios que reciben Renta Dignidad y no cuentan con jubilación</w:t>
      </w:r>
      <w:r w:rsidRPr="00F203AB">
        <w:rPr>
          <w:rStyle w:val="FootnoteReference"/>
          <w:rFonts w:ascii="Arial" w:hAnsi="Arial" w:cs="Arial"/>
        </w:rPr>
        <w:footnoteReference w:id="10"/>
      </w:r>
      <w:r w:rsidRPr="00443C4C">
        <w:rPr>
          <w:rFonts w:ascii="Arial" w:hAnsi="Arial" w:cs="Arial"/>
          <w:lang w:val="es-ES_tradnl"/>
        </w:rPr>
        <w:t xml:space="preserve">. Se espera que la mayoría de los beneficiarios de los bonos sean mujeres (en 2019 fueron 54%). </w:t>
      </w:r>
      <w:r w:rsidRPr="002B5473">
        <w:rPr>
          <w:rFonts w:ascii="Arial" w:hAnsi="Arial" w:cs="Arial"/>
          <w:lang w:val="es-ES_tradnl"/>
        </w:rPr>
        <w:t>Como parte de la entrega de los bonos, el Gobierno de Bolivia está fortaleciendo las estrategias de comunicación con los pueblos indígenas sobre temas relacionados con COVID-19, incluyendo los criterios de elegibilidad, requisitos y forma de cobrar la CF y la RD durante la emergencia sanitaria</w:t>
      </w:r>
      <w:r>
        <w:rPr>
          <w:rStyle w:val="FootnoteReference"/>
          <w:rFonts w:ascii="Arial" w:hAnsi="Arial" w:cs="Arial"/>
        </w:rPr>
        <w:footnoteReference w:id="11"/>
      </w:r>
      <w:r w:rsidRPr="002B5473">
        <w:rPr>
          <w:rFonts w:ascii="Arial" w:hAnsi="Arial" w:cs="Arial"/>
          <w:lang w:val="es-ES_tradnl"/>
        </w:rPr>
        <w:t xml:space="preserve">. </w:t>
      </w:r>
    </w:p>
    <w:p w14:paraId="35DC8565" w14:textId="77777777" w:rsidR="002B5473" w:rsidRDefault="00443C4C" w:rsidP="00443C4C">
      <w:pPr>
        <w:spacing w:before="120" w:after="120" w:line="240" w:lineRule="auto"/>
        <w:jc w:val="both"/>
        <w:rPr>
          <w:rFonts w:ascii="Arial" w:hAnsi="Arial" w:cs="Arial"/>
          <w:lang w:val="es-ES_tradnl"/>
        </w:rPr>
      </w:pPr>
      <w:r w:rsidRPr="002B5473">
        <w:rPr>
          <w:rFonts w:ascii="Arial" w:hAnsi="Arial" w:cs="Arial"/>
          <w:b/>
          <w:bCs/>
          <w:lang w:val="es-ES_tradnl"/>
        </w:rPr>
        <w:t>Subcomponente 1.2. Protección para apoyar el consumo básico de electricidad de la población vulnerable. (US$44,5 millones)</w:t>
      </w:r>
      <w:r w:rsidRPr="00F203AB">
        <w:rPr>
          <w:rStyle w:val="FootnoteReference"/>
          <w:rFonts w:ascii="Arial" w:hAnsi="Arial" w:cs="Arial"/>
        </w:rPr>
        <w:footnoteReference w:id="12"/>
      </w:r>
      <w:r w:rsidRPr="002B5473">
        <w:rPr>
          <w:rFonts w:ascii="Arial" w:hAnsi="Arial" w:cs="Arial"/>
          <w:b/>
          <w:bCs/>
          <w:lang w:val="es-ES_tradnl"/>
        </w:rPr>
        <w:t xml:space="preserve">. </w:t>
      </w:r>
      <w:r w:rsidRPr="002B5473">
        <w:rPr>
          <w:rFonts w:ascii="Arial" w:hAnsi="Arial" w:cs="Arial"/>
          <w:lang w:val="es-ES_tradnl"/>
        </w:rPr>
        <w:t>Reconociendo la relevancia de generar capacidad de pago del servicio de electricidad para evitar que se pronuncien aún más las desigualdades socioeconómicas de acceso, en particular para la población vulnerable, se apoyará hasta el 100% del pago de las facturas eléctricas de abril, mayo y junio de 2020 de los hogares con consumo de hasta BOB 120 mensuales (US$17)</w:t>
      </w:r>
      <w:r w:rsidRPr="00F203AB">
        <w:rPr>
          <w:rStyle w:val="FootnoteReference"/>
          <w:rFonts w:ascii="Arial" w:hAnsi="Arial" w:cs="Arial"/>
        </w:rPr>
        <w:footnoteReference w:id="13"/>
      </w:r>
      <w:r w:rsidRPr="002B5473">
        <w:rPr>
          <w:rFonts w:ascii="Arial" w:hAnsi="Arial" w:cs="Arial"/>
          <w:lang w:val="es-ES_tradnl"/>
        </w:rPr>
        <w:t>. Se estima que hay alrededor de dos millones de clientes con un consumo igual o menor de BOB 120 mensuales (US$17)</w:t>
      </w:r>
      <w:r>
        <w:rPr>
          <w:rStyle w:val="FootnoteReference"/>
          <w:rFonts w:ascii="Arial" w:hAnsi="Arial" w:cs="Arial"/>
        </w:rPr>
        <w:footnoteReference w:id="14"/>
      </w:r>
      <w:r w:rsidRPr="002B5473">
        <w:rPr>
          <w:rFonts w:ascii="Arial" w:hAnsi="Arial" w:cs="Arial"/>
          <w:lang w:val="es-ES_tradnl"/>
        </w:rPr>
        <w:t>.</w:t>
      </w:r>
    </w:p>
    <w:p w14:paraId="7E66D65E" w14:textId="02E7D830" w:rsidR="002230F7" w:rsidRPr="002A7369" w:rsidRDefault="002230F7" w:rsidP="00C57C49">
      <w:pPr>
        <w:spacing w:before="120" w:after="120" w:line="240" w:lineRule="auto"/>
        <w:jc w:val="both"/>
        <w:rPr>
          <w:rFonts w:ascii="Arial" w:hAnsi="Arial" w:cs="Arial"/>
          <w:lang w:val="es-ES_tradnl"/>
        </w:rPr>
      </w:pPr>
      <w:r w:rsidRPr="002A7369">
        <w:rPr>
          <w:rFonts w:ascii="Arial" w:eastAsia="Arial" w:hAnsi="Arial" w:cs="Arial"/>
          <w:b/>
          <w:bCs/>
          <w:lang w:val="es-ES_tradnl"/>
        </w:rPr>
        <w:t>Administración del programa (US</w:t>
      </w:r>
      <w:r w:rsidR="00EB4E77">
        <w:rPr>
          <w:rFonts w:ascii="Arial" w:eastAsia="Arial" w:hAnsi="Arial" w:cs="Arial"/>
          <w:b/>
          <w:bCs/>
          <w:lang w:val="es-ES_tradnl"/>
        </w:rPr>
        <w:t>$</w:t>
      </w:r>
      <w:r w:rsidRPr="002A7369">
        <w:rPr>
          <w:rFonts w:ascii="Arial" w:eastAsia="Arial" w:hAnsi="Arial" w:cs="Arial"/>
          <w:b/>
          <w:bCs/>
          <w:lang w:val="es-ES_tradnl"/>
        </w:rPr>
        <w:t>0,</w:t>
      </w:r>
      <w:r w:rsidR="002B5473">
        <w:rPr>
          <w:rFonts w:ascii="Arial" w:eastAsia="Arial" w:hAnsi="Arial" w:cs="Arial"/>
          <w:b/>
          <w:bCs/>
          <w:lang w:val="es-ES_tradnl"/>
        </w:rPr>
        <w:t>2</w:t>
      </w:r>
      <w:r w:rsidRPr="002A7369">
        <w:rPr>
          <w:rFonts w:ascii="Arial" w:eastAsia="Arial" w:hAnsi="Arial" w:cs="Arial"/>
          <w:b/>
          <w:bCs/>
          <w:lang w:val="es-ES_tradnl"/>
        </w:rPr>
        <w:t xml:space="preserve"> millones). Costos de administración,</w:t>
      </w:r>
      <w:r w:rsidRPr="002A7369">
        <w:rPr>
          <w:rFonts w:ascii="Arial" w:hAnsi="Arial" w:cs="Arial"/>
          <w:b/>
          <w:bCs/>
          <w:lang w:val="es-ES_tradnl"/>
        </w:rPr>
        <w:t xml:space="preserve"> evaluación y auditor</w:t>
      </w:r>
      <w:r w:rsidR="0020390C">
        <w:rPr>
          <w:rFonts w:ascii="Arial" w:hAnsi="Arial" w:cs="Arial"/>
          <w:b/>
          <w:bCs/>
          <w:lang w:val="es-ES_tradnl"/>
        </w:rPr>
        <w:t>í</w:t>
      </w:r>
      <w:r w:rsidRPr="002A7369">
        <w:rPr>
          <w:rFonts w:ascii="Arial" w:hAnsi="Arial" w:cs="Arial"/>
          <w:b/>
          <w:bCs/>
          <w:lang w:val="es-ES_tradnl"/>
        </w:rPr>
        <w:t>a.</w:t>
      </w:r>
    </w:p>
    <w:p w14:paraId="05581D0E" w14:textId="44DCBCFF" w:rsidR="00BB28A5" w:rsidRPr="002A7369" w:rsidRDefault="00BB28A5" w:rsidP="002A7369">
      <w:pPr>
        <w:pStyle w:val="ColorfulList-Accent11"/>
        <w:numPr>
          <w:ilvl w:val="1"/>
          <w:numId w:val="3"/>
        </w:numPr>
        <w:spacing w:before="120" w:after="120" w:line="288" w:lineRule="auto"/>
        <w:ind w:left="540" w:hanging="540"/>
        <w:contextualSpacing w:val="0"/>
        <w:jc w:val="both"/>
        <w:rPr>
          <w:rFonts w:ascii="Arial" w:hAnsi="Arial" w:cs="Arial"/>
          <w:b/>
          <w:bCs/>
          <w:lang w:val="es-ES_tradnl"/>
        </w:rPr>
      </w:pPr>
      <w:r w:rsidRPr="002A7369">
        <w:rPr>
          <w:rFonts w:ascii="Arial" w:hAnsi="Arial" w:cs="Arial"/>
          <w:b/>
          <w:bCs/>
          <w:lang w:val="es-ES_tradnl"/>
        </w:rPr>
        <w:t>Arreglos de Ejecución</w:t>
      </w:r>
    </w:p>
    <w:p w14:paraId="393B3008" w14:textId="77777777" w:rsidR="007F0423" w:rsidRPr="003B258C" w:rsidRDefault="007F0423" w:rsidP="003B258C">
      <w:pPr>
        <w:spacing w:before="120" w:after="120" w:line="240" w:lineRule="auto"/>
        <w:jc w:val="both"/>
        <w:rPr>
          <w:rFonts w:ascii="Arial" w:hAnsi="Arial" w:cs="Arial"/>
          <w:lang w:val="es-ES"/>
        </w:rPr>
      </w:pPr>
      <w:r w:rsidRPr="003B258C">
        <w:rPr>
          <w:rFonts w:ascii="Arial" w:hAnsi="Arial" w:cs="Arial"/>
          <w:b/>
          <w:lang w:val="es-ES"/>
        </w:rPr>
        <w:t>Prestatario y organismo ejecutor</w:t>
      </w:r>
      <w:r w:rsidRPr="003B258C">
        <w:rPr>
          <w:rFonts w:ascii="Arial" w:hAnsi="Arial" w:cs="Arial"/>
          <w:bCs/>
          <w:lang w:val="es-ES"/>
        </w:rPr>
        <w:t xml:space="preserve">. </w:t>
      </w:r>
      <w:r w:rsidRPr="003B258C">
        <w:rPr>
          <w:rFonts w:ascii="Arial" w:hAnsi="Arial" w:cs="Arial"/>
          <w:lang w:val="es-ES"/>
        </w:rPr>
        <w:t xml:space="preserve">El prestatario de la operación es </w:t>
      </w:r>
      <w:r w:rsidRPr="003B258C">
        <w:rPr>
          <w:rFonts w:ascii="Arial" w:hAnsi="Arial" w:cs="Arial"/>
          <w:bCs/>
          <w:lang w:val="es-ES"/>
        </w:rPr>
        <w:t>el Estado Plurinacional de Bolivia.</w:t>
      </w:r>
      <w:r w:rsidRPr="003B258C">
        <w:rPr>
          <w:rFonts w:ascii="Arial" w:hAnsi="Arial" w:cs="Arial"/>
          <w:bCs/>
          <w:lang w:val="es-ES_tradnl"/>
        </w:rPr>
        <w:t xml:space="preserve"> El OE será el Ministerio de Economía y Finanzas Públicas (MEFP) que se apoyará en su Dirección General de Asuntos Administrativos (DGAA) para la gestión financiera y de adquisiciones del proyecto y en un coordinador técnico, designado por el Ministro, para los procesos de coordinación interinstitucional. El OE contará con el apoyo técnico de dos </w:t>
      </w:r>
      <w:r w:rsidRPr="003B258C">
        <w:rPr>
          <w:rFonts w:ascii="Arial" w:hAnsi="Arial" w:cs="Arial"/>
          <w:bCs/>
          <w:lang w:val="es-ES_tradnl"/>
        </w:rPr>
        <w:lastRenderedPageBreak/>
        <w:t>subejecutores: la Gestora Pública de la Seguridad Social de Largo Plazo para el Subcomponente 1.1</w:t>
      </w:r>
      <w:r>
        <w:rPr>
          <w:rStyle w:val="FootnoteReference"/>
          <w:rFonts w:ascii="Arial" w:hAnsi="Arial" w:cs="Arial"/>
        </w:rPr>
        <w:footnoteReference w:id="15"/>
      </w:r>
      <w:r w:rsidRPr="003B258C">
        <w:rPr>
          <w:rFonts w:ascii="Arial" w:hAnsi="Arial" w:cs="Arial"/>
          <w:bCs/>
          <w:lang w:val="es-ES_tradnl"/>
        </w:rPr>
        <w:t xml:space="preserve"> y con la AETN para el Subcomponente 1.2</w:t>
      </w:r>
      <w:r>
        <w:rPr>
          <w:rStyle w:val="FootnoteReference"/>
          <w:rFonts w:ascii="Arial" w:hAnsi="Arial" w:cs="Arial"/>
        </w:rPr>
        <w:footnoteReference w:id="16"/>
      </w:r>
      <w:r w:rsidRPr="003B258C">
        <w:rPr>
          <w:rFonts w:ascii="Arial" w:hAnsi="Arial" w:cs="Arial"/>
          <w:bCs/>
          <w:lang w:val="es-ES_tradnl"/>
        </w:rPr>
        <w:t>.</w:t>
      </w:r>
    </w:p>
    <w:p w14:paraId="2EAE7208" w14:textId="77777777" w:rsidR="007F0423" w:rsidRPr="003B258C" w:rsidRDefault="007F0423" w:rsidP="003B258C">
      <w:pPr>
        <w:spacing w:before="120" w:after="120" w:line="240" w:lineRule="auto"/>
        <w:jc w:val="both"/>
        <w:rPr>
          <w:rFonts w:ascii="Arial" w:hAnsi="Arial" w:cs="Arial"/>
          <w:lang w:val="es-ES_tradnl"/>
        </w:rPr>
      </w:pPr>
      <w:r w:rsidRPr="003B258C">
        <w:rPr>
          <w:rFonts w:ascii="Arial" w:hAnsi="Arial" w:cs="Arial"/>
          <w:b/>
          <w:bCs/>
          <w:lang w:val="es-ES"/>
        </w:rPr>
        <w:t xml:space="preserve">Ejecución y administración. </w:t>
      </w:r>
      <w:r w:rsidRPr="003B258C">
        <w:rPr>
          <w:rFonts w:ascii="Arial" w:hAnsi="Arial" w:cs="Arial"/>
          <w:lang w:val="es-ES_tradnl"/>
        </w:rPr>
        <w:t>El MEFP actuará a través de la DGAA y de un coordinador técnico nombrado para la ejecución del proyecto. El coordinador técnico será el principal contacto entre el Banco y el OE. El MEFP durante la ejecución tendrá la responsabilidad sobre la administración general del proyecto que incluye la planificación, gestión legal, de adquisiciones y contrataciones, gestión de desembolsos, administrativa, financiera y contable, seguimiento y evaluación, así como la gestión técnica que deberá realizarse en estrecha coordinación con los subejecutores. La Gestora será responsable por la elaboración, administración y actualización de la Base de Datos de los Beneficiarios de la Renta Dignidad (BDRD), de la gestión del pago de la Renta Dignidad, de la administración de los recursos del Fondo de la Renta Universal de Vejez, de la seguridad de la información electrónica y documental, de la atención de reclamos, del pago a domicilio del beneficio (en los casos en que corresponda), del procesamiento de las planillas, de la realización de conciliaciones diarias derivadas del proceso de pago, de la gestión de documentos y archivos y de la elaboración de informes. La Gestora cuenta también con una empresa contratada como apoyo en la gestión de los pagos. Por otro lado, la AETN será responsable del diseño e implementación del procedimiento para el reembolso de gastos por “pago y reducción temporal de tarifas eléctricas” a las Empresas Distribuidoras de electricidad, de acuerdo con lo establecido en el Decreto Supremo No.4206, que establece que los apoyos eximirán a los usuarios del pago de sus facturas, que quedarán canceladas. En efecto, a partir de datos de las empresas distribuidoras de electricidad del sistema eléctrico boliviano, que se vienen utilizando para la facturación mensual del servicio eléctrico, se identificarán aquellos consumidores y/o usuarios de la categoría domiciliaria y/o residencial del país, cuyos consumos mensuales de energía representen importes totales de hasta BOB 120 (US$17), determinados por la aplicación de cargos tarifarios con impuestos. En función de la información remitida por las Empresas de Distribución de Electricidad, la AETN, mediante resoluciones mensuales correspondientes a las facturaciones de los meses de abril, mayo y junio de 2020 determinará los montos en bolivianos por distribuidora que fueron descontados, las cuales serán de conocimiento del MEFP. Toda la información generada por las empresas distribuidoras y relacionada a este proyecto, será revisada, conciliada y validada por la AETN.</w:t>
      </w:r>
    </w:p>
    <w:p w14:paraId="7A83CB44" w14:textId="77777777" w:rsidR="003B258C" w:rsidRDefault="007F0423" w:rsidP="007F0423">
      <w:pPr>
        <w:spacing w:before="120" w:after="120" w:line="240" w:lineRule="auto"/>
        <w:jc w:val="both"/>
        <w:rPr>
          <w:rFonts w:ascii="Arial" w:hAnsi="Arial" w:cs="Arial"/>
          <w:bCs/>
          <w:lang w:val="es-ES"/>
        </w:rPr>
      </w:pPr>
      <w:r w:rsidRPr="003B258C">
        <w:rPr>
          <w:rFonts w:ascii="Arial" w:hAnsi="Arial" w:cs="Arial"/>
          <w:b/>
          <w:bCs/>
          <w:lang w:val="es-ES_tradnl"/>
        </w:rPr>
        <w:t>Coordinación</w:t>
      </w:r>
      <w:r w:rsidRPr="00F203AB">
        <w:rPr>
          <w:rFonts w:ascii="Arial" w:hAnsi="Arial" w:cs="Arial"/>
          <w:b/>
          <w:bCs/>
          <w:lang w:val="es-ES"/>
        </w:rPr>
        <w:t xml:space="preserve"> interinstitucional</w:t>
      </w:r>
      <w:r w:rsidRPr="00F203AB">
        <w:rPr>
          <w:rFonts w:ascii="Arial" w:hAnsi="Arial" w:cs="Arial"/>
          <w:bCs/>
          <w:lang w:val="es-ES"/>
        </w:rPr>
        <w:t xml:space="preserve"> </w:t>
      </w:r>
      <w:r w:rsidRPr="00EA54D1">
        <w:rPr>
          <w:rFonts w:ascii="Arial" w:hAnsi="Arial" w:cs="Arial"/>
          <w:bCs/>
          <w:lang w:val="es-ES"/>
        </w:rPr>
        <w:t xml:space="preserve">Para lograr una eficiente implementación de la operación, se conformará un Comité Técnico de Coordinación (CTC) que tendrá como objetivo el establecimiento de lineamientos técnicos para la ejecución del </w:t>
      </w:r>
      <w:r>
        <w:rPr>
          <w:rFonts w:ascii="Arial" w:hAnsi="Arial" w:cs="Arial"/>
          <w:bCs/>
          <w:lang w:val="es-ES"/>
        </w:rPr>
        <w:t>proyecto</w:t>
      </w:r>
      <w:r w:rsidRPr="00EA54D1">
        <w:rPr>
          <w:rFonts w:ascii="Arial" w:hAnsi="Arial" w:cs="Arial"/>
          <w:bCs/>
          <w:lang w:val="es-ES"/>
        </w:rPr>
        <w:t>, hacer el seguimiento al avance físico financiero de la implementación de las transferencias y constituirse en la instancia de coordinación operativa. El C</w:t>
      </w:r>
      <w:r>
        <w:rPr>
          <w:rFonts w:ascii="Arial" w:hAnsi="Arial" w:cs="Arial"/>
          <w:bCs/>
          <w:lang w:val="es-ES"/>
        </w:rPr>
        <w:t>T</w:t>
      </w:r>
      <w:r w:rsidRPr="00EA54D1">
        <w:rPr>
          <w:rFonts w:ascii="Arial" w:hAnsi="Arial" w:cs="Arial"/>
          <w:bCs/>
          <w:lang w:val="es-ES"/>
        </w:rPr>
        <w:t xml:space="preserve">C deberá estar integrado por representantes del MEFP, la </w:t>
      </w:r>
      <w:r w:rsidRPr="009D5E62">
        <w:rPr>
          <w:rFonts w:ascii="Arial" w:hAnsi="Arial" w:cs="Arial"/>
          <w:bCs/>
          <w:lang w:val="es-ES"/>
        </w:rPr>
        <w:t>G</w:t>
      </w:r>
      <w:r w:rsidRPr="00E370C8">
        <w:rPr>
          <w:rFonts w:ascii="Arial" w:hAnsi="Arial" w:cs="Arial"/>
          <w:bCs/>
          <w:lang w:val="es-ES"/>
        </w:rPr>
        <w:t>e</w:t>
      </w:r>
      <w:r>
        <w:rPr>
          <w:rFonts w:ascii="Arial" w:hAnsi="Arial" w:cs="Arial"/>
          <w:bCs/>
          <w:lang w:val="es-ES"/>
        </w:rPr>
        <w:t>stora</w:t>
      </w:r>
      <w:r w:rsidRPr="00EA54D1">
        <w:rPr>
          <w:rFonts w:ascii="Arial" w:hAnsi="Arial" w:cs="Arial"/>
          <w:bCs/>
          <w:lang w:val="es-ES"/>
        </w:rPr>
        <w:t xml:space="preserve"> y la AETN.</w:t>
      </w:r>
    </w:p>
    <w:p w14:paraId="1CC05D83" w14:textId="7173DFA8" w:rsidR="008B0F0A" w:rsidRPr="002A7369" w:rsidRDefault="006F2EFC" w:rsidP="00E63053">
      <w:pPr>
        <w:pStyle w:val="ColorfulList-Accent11"/>
        <w:numPr>
          <w:ilvl w:val="1"/>
          <w:numId w:val="3"/>
        </w:numPr>
        <w:spacing w:before="120" w:after="120" w:line="240" w:lineRule="auto"/>
        <w:ind w:left="540" w:hanging="540"/>
        <w:contextualSpacing w:val="0"/>
        <w:jc w:val="both"/>
        <w:rPr>
          <w:rFonts w:ascii="Arial" w:hAnsi="Arial" w:cs="Arial"/>
          <w:b/>
          <w:bCs/>
          <w:lang w:val="es-ES_tradnl"/>
        </w:rPr>
      </w:pPr>
      <w:bookmarkStart w:id="2" w:name="_GoBack"/>
      <w:bookmarkEnd w:id="2"/>
      <w:r w:rsidRPr="002A7369">
        <w:rPr>
          <w:rFonts w:ascii="Arial" w:eastAsia="Times New Roman" w:hAnsi="Arial" w:cs="Arial"/>
          <w:b/>
          <w:bCs/>
          <w:color w:val="000000"/>
          <w:lang w:val="es-ES_tradnl"/>
        </w:rPr>
        <w:t>Resumen de monitoreo y evaluación</w:t>
      </w:r>
    </w:p>
    <w:p w14:paraId="24B40797" w14:textId="6647629A" w:rsidR="00957711" w:rsidRPr="002A7369" w:rsidRDefault="006F2EFC" w:rsidP="00E63053">
      <w:pPr>
        <w:spacing w:before="120" w:after="120" w:line="240" w:lineRule="auto"/>
        <w:jc w:val="both"/>
        <w:textAlignment w:val="top"/>
        <w:rPr>
          <w:rFonts w:ascii="Arial" w:hAnsi="Arial" w:cs="Arial"/>
          <w:lang w:val="es-ES"/>
        </w:rPr>
      </w:pPr>
      <w:r w:rsidRPr="002A7369">
        <w:rPr>
          <w:rFonts w:ascii="Arial" w:hAnsi="Arial" w:cs="Arial"/>
          <w:lang w:val="es-ES"/>
        </w:rPr>
        <w:t xml:space="preserve">Este documento describe los elementos principales de los arreglos de monitoreo y evaluación para la operación, incluyendo herramientas clave de monitoreo, estrategias de evaluación y </w:t>
      </w:r>
      <w:r w:rsidRPr="002A7369">
        <w:rPr>
          <w:rFonts w:ascii="Arial" w:hAnsi="Arial" w:cs="Arial"/>
          <w:lang w:val="es-ES"/>
        </w:rPr>
        <w:lastRenderedPageBreak/>
        <w:t xml:space="preserve">responsabilidades. La operación utilizará los mecanismos de monitoreo existentes para las operaciones </w:t>
      </w:r>
      <w:r w:rsidR="00F13A35" w:rsidRPr="002A7369">
        <w:rPr>
          <w:rFonts w:ascii="Arial" w:hAnsi="Arial" w:cs="Arial"/>
          <w:lang w:val="es-ES"/>
        </w:rPr>
        <w:t>con garantía soberana del Banco (SG)</w:t>
      </w:r>
      <w:r w:rsidRPr="002A7369">
        <w:rPr>
          <w:rFonts w:ascii="Arial" w:hAnsi="Arial" w:cs="Arial"/>
          <w:lang w:val="es-ES"/>
        </w:rPr>
        <w:t xml:space="preserve">. Dado que una de las actividades clave de </w:t>
      </w:r>
      <w:r w:rsidR="00B24BC9" w:rsidRPr="002A7369">
        <w:rPr>
          <w:rFonts w:ascii="Arial" w:hAnsi="Arial" w:cs="Arial"/>
          <w:lang w:val="es-ES"/>
        </w:rPr>
        <w:t xml:space="preserve">realizar transferencias </w:t>
      </w:r>
      <w:r w:rsidR="00946212" w:rsidRPr="002A7369">
        <w:rPr>
          <w:rFonts w:ascii="Arial" w:hAnsi="Arial" w:cs="Arial"/>
          <w:lang w:val="es-ES"/>
        </w:rPr>
        <w:t>monetarias a las familias vulnerables frente al COVID-19</w:t>
      </w:r>
      <w:r w:rsidRPr="002A7369">
        <w:rPr>
          <w:rFonts w:ascii="Arial" w:hAnsi="Arial" w:cs="Arial"/>
          <w:lang w:val="es-ES"/>
        </w:rPr>
        <w:t xml:space="preserve">, será necesario utilizar </w:t>
      </w:r>
      <w:r w:rsidR="002B27F5" w:rsidRPr="002A7369">
        <w:rPr>
          <w:rFonts w:ascii="Arial" w:hAnsi="Arial" w:cs="Arial"/>
          <w:lang w:val="es-ES"/>
        </w:rPr>
        <w:t xml:space="preserve">los </w:t>
      </w:r>
      <w:r w:rsidRPr="002A7369">
        <w:rPr>
          <w:rFonts w:ascii="Arial" w:hAnsi="Arial" w:cs="Arial"/>
          <w:lang w:val="es-ES"/>
        </w:rPr>
        <w:t>sistemas nacionales de información</w:t>
      </w:r>
      <w:r w:rsidR="002B27F5" w:rsidRPr="002A7369">
        <w:rPr>
          <w:rFonts w:ascii="Arial" w:hAnsi="Arial" w:cs="Arial"/>
          <w:lang w:val="es-ES"/>
        </w:rPr>
        <w:t xml:space="preserve"> y gestión de los programas de transferencias</w:t>
      </w:r>
      <w:r w:rsidR="008946AA" w:rsidRPr="002A7369">
        <w:rPr>
          <w:rFonts w:ascii="Arial" w:hAnsi="Arial" w:cs="Arial"/>
          <w:lang w:val="es-ES"/>
        </w:rPr>
        <w:t xml:space="preserve">, que </w:t>
      </w:r>
      <w:r w:rsidR="009B0F6A" w:rsidRPr="002A7369">
        <w:rPr>
          <w:rFonts w:ascii="Arial" w:hAnsi="Arial" w:cs="Arial"/>
          <w:lang w:val="es-ES"/>
        </w:rPr>
        <w:t>tienen con alta capacidad operativa</w:t>
      </w:r>
      <w:r w:rsidR="003B3ECE" w:rsidRPr="002A7369">
        <w:rPr>
          <w:rFonts w:ascii="Arial" w:hAnsi="Arial" w:cs="Arial"/>
          <w:lang w:val="es-ES"/>
        </w:rPr>
        <w:t>.</w:t>
      </w:r>
      <w:r w:rsidR="00EC36EF" w:rsidRPr="002A7369">
        <w:rPr>
          <w:rFonts w:ascii="Arial" w:hAnsi="Arial" w:cs="Arial"/>
          <w:lang w:val="es-ES"/>
        </w:rPr>
        <w:t xml:space="preserve"> En este caso se utilizará el sistema regular de</w:t>
      </w:r>
      <w:r w:rsidR="008F5CF8" w:rsidRPr="002A7369">
        <w:rPr>
          <w:rFonts w:ascii="Arial" w:hAnsi="Arial" w:cs="Arial"/>
          <w:lang w:val="es-ES"/>
        </w:rPr>
        <w:t xml:space="preserve"> transferencias de</w:t>
      </w:r>
      <w:r w:rsidR="00EC36EF" w:rsidRPr="002A7369">
        <w:rPr>
          <w:rFonts w:ascii="Arial" w:hAnsi="Arial" w:cs="Arial"/>
          <w:lang w:val="es-ES"/>
        </w:rPr>
        <w:t xml:space="preserve"> Renta Dignidad</w:t>
      </w:r>
      <w:r w:rsidR="00436110" w:rsidRPr="002A7369">
        <w:rPr>
          <w:rFonts w:ascii="Arial" w:hAnsi="Arial" w:cs="Arial"/>
          <w:lang w:val="es-ES"/>
        </w:rPr>
        <w:t>, así como</w:t>
      </w:r>
      <w:r w:rsidR="009E1C7E" w:rsidRPr="002A7369">
        <w:rPr>
          <w:rFonts w:ascii="Arial" w:hAnsi="Arial" w:cs="Arial"/>
          <w:lang w:val="es-ES"/>
        </w:rPr>
        <w:t xml:space="preserve"> registros y sistemas administrativos de la AETN</w:t>
      </w:r>
      <w:r w:rsidR="00EC36EF" w:rsidRPr="002A7369">
        <w:rPr>
          <w:rFonts w:ascii="Arial" w:hAnsi="Arial" w:cs="Arial"/>
          <w:lang w:val="es-ES"/>
        </w:rPr>
        <w:t>.</w:t>
      </w:r>
      <w:r w:rsidR="008F5CF8" w:rsidRPr="002A7369">
        <w:rPr>
          <w:rFonts w:ascii="Arial" w:hAnsi="Arial" w:cs="Arial"/>
          <w:lang w:val="es-ES"/>
        </w:rPr>
        <w:t xml:space="preserve"> </w:t>
      </w:r>
      <w:r w:rsidRPr="002A7369">
        <w:rPr>
          <w:rFonts w:ascii="Arial" w:hAnsi="Arial" w:cs="Arial"/>
          <w:lang w:val="es-ES"/>
        </w:rPr>
        <w:t xml:space="preserve">La evaluación evaluará la contribución del programa </w:t>
      </w:r>
      <w:r w:rsidR="00AC6C7A" w:rsidRPr="002A7369">
        <w:rPr>
          <w:rFonts w:ascii="Arial" w:hAnsi="Arial" w:cs="Arial"/>
          <w:lang w:val="es-ES"/>
        </w:rPr>
        <w:t>a los objetivos específicos</w:t>
      </w:r>
      <w:r w:rsidR="00FC49BE" w:rsidRPr="002A7369">
        <w:rPr>
          <w:rFonts w:ascii="Arial" w:hAnsi="Arial" w:cs="Arial"/>
          <w:lang w:val="es-ES"/>
        </w:rPr>
        <w:t xml:space="preserve"> de </w:t>
      </w:r>
      <w:r w:rsidR="00E47B78" w:rsidRPr="002A7369">
        <w:rPr>
          <w:rFonts w:ascii="Arial" w:hAnsi="Arial" w:cs="Arial"/>
          <w:lang w:val="es-ES"/>
        </w:rPr>
        <w:t>apoyar niveles mínimos de ingreso de personas afectadas por el coronavirus, en el periodo inmediato y durante la recuperación</w:t>
      </w:r>
      <w:r w:rsidRPr="002A7369">
        <w:rPr>
          <w:rFonts w:ascii="Arial" w:hAnsi="Arial" w:cs="Arial"/>
          <w:lang w:val="es-ES"/>
        </w:rPr>
        <w:t xml:space="preserve">. </w:t>
      </w:r>
      <w:r w:rsidR="008F5CF8" w:rsidRPr="002A7369">
        <w:rPr>
          <w:rFonts w:ascii="Arial" w:hAnsi="Arial" w:cs="Arial"/>
          <w:lang w:val="es-ES"/>
        </w:rPr>
        <w:t xml:space="preserve">Se prevé también evaluar </w:t>
      </w:r>
      <w:r w:rsidRPr="002A7369">
        <w:rPr>
          <w:rFonts w:ascii="Arial" w:hAnsi="Arial" w:cs="Arial"/>
          <w:lang w:val="es-ES"/>
        </w:rPr>
        <w:t xml:space="preserve">las contribuciones a los objetivos finales de </w:t>
      </w:r>
      <w:r w:rsidR="00795B11" w:rsidRPr="002A7369">
        <w:rPr>
          <w:rFonts w:ascii="Arial" w:hAnsi="Arial" w:cs="Arial"/>
          <w:lang w:val="es-ES"/>
        </w:rPr>
        <w:t>contribuir a asegurar niveles mínimos de calidad de vida de las personas vulnerables frente a la crisis causada por el COVID-19</w:t>
      </w:r>
      <w:r w:rsidR="00970C86" w:rsidRPr="002A7369">
        <w:rPr>
          <w:rFonts w:ascii="Arial" w:hAnsi="Arial" w:cs="Arial"/>
          <w:lang w:val="es-ES"/>
        </w:rPr>
        <w:t xml:space="preserve"> y mitigar sus </w:t>
      </w:r>
      <w:r w:rsidRPr="002A7369">
        <w:rPr>
          <w:rFonts w:ascii="Arial" w:hAnsi="Arial" w:cs="Arial"/>
          <w:lang w:val="es-ES"/>
        </w:rPr>
        <w:t xml:space="preserve">consecuencias sociales y económicas. Para estos fines, se realizará un análisis antes y después utilizando la información de series de tiempo disponibles sobre los indicadores de resultados. </w:t>
      </w:r>
      <w:r w:rsidR="0051125D" w:rsidRPr="002A7369">
        <w:rPr>
          <w:rFonts w:ascii="Arial" w:hAnsi="Arial" w:cs="Arial"/>
          <w:lang w:val="es-ES"/>
        </w:rPr>
        <w:t>La metodología principal para evaluar el efecto de la intervención sobre los indicadores de interés será un análisis antes y después (pre / post). En esencia, los estudios antes y después miden el rendimiento de los resultados antes y después de la introducción de la intervención en la misma área o unidades afectadas por la intervención. Se supone que los cambios en el rendimiento se deben a la intervención. En el contexto de COVID-19, dado que la situación sin proyecto no es debidamente aproximada por el “pre” debido al rápido y marcado deterioro en los indicadores</w:t>
      </w:r>
      <w:r w:rsidR="00E8013D" w:rsidRPr="002A7369">
        <w:rPr>
          <w:rFonts w:ascii="Arial" w:hAnsi="Arial" w:cs="Arial"/>
          <w:lang w:val="es-ES"/>
        </w:rPr>
        <w:t xml:space="preserve"> como</w:t>
      </w:r>
      <w:r w:rsidR="0051125D" w:rsidRPr="002A7369">
        <w:rPr>
          <w:rFonts w:ascii="Arial" w:hAnsi="Arial" w:cs="Arial"/>
          <w:lang w:val="es-ES"/>
        </w:rPr>
        <w:t xml:space="preserve"> resultado de la pandemia, la evaluación comparará los valores “post” con lo que se podría esperar en ausencia de las medida</w:t>
      </w:r>
      <w:r w:rsidR="00957711" w:rsidRPr="002A7369">
        <w:rPr>
          <w:rFonts w:ascii="Arial" w:hAnsi="Arial" w:cs="Arial"/>
          <w:lang w:val="es-ES"/>
        </w:rPr>
        <w:t>s</w:t>
      </w:r>
      <w:r w:rsidR="0051125D" w:rsidRPr="002A7369">
        <w:rPr>
          <w:rFonts w:ascii="Arial" w:hAnsi="Arial" w:cs="Arial"/>
          <w:lang w:val="es-ES"/>
        </w:rPr>
        <w:t>, a partir de tendencias y modelos teóricos o evidencia disponible de otros países donde no se hayan implementado medidas.</w:t>
      </w:r>
    </w:p>
    <w:p w14:paraId="0F2D112A" w14:textId="2993E28E" w:rsidR="006F2EFC" w:rsidRPr="002A7369" w:rsidRDefault="006F2EFC" w:rsidP="00E63053">
      <w:pPr>
        <w:spacing w:before="120" w:after="120" w:line="240" w:lineRule="auto"/>
        <w:jc w:val="both"/>
        <w:textAlignment w:val="top"/>
        <w:rPr>
          <w:rFonts w:ascii="Arial" w:hAnsi="Arial" w:cs="Arial"/>
          <w:lang w:val="es-ES"/>
        </w:rPr>
      </w:pPr>
      <w:r w:rsidRPr="002A7369">
        <w:rPr>
          <w:rFonts w:ascii="Arial" w:hAnsi="Arial" w:cs="Arial"/>
          <w:lang w:val="es-ES"/>
        </w:rPr>
        <w:t>Para establecer la atribución de los resultados observados a la intervención del programa, el análisis cuantitativo se complementará con evidencia cualitativa y una revisión de la teoría del cambio respaldada con evidencia relevante de la efectividad de intervenciones similares en contextos comparables.</w:t>
      </w:r>
    </w:p>
    <w:p w14:paraId="707FD438" w14:textId="3172DA98" w:rsidR="001B5186" w:rsidRPr="002A7369" w:rsidRDefault="00AE6519" w:rsidP="0074232B">
      <w:pPr>
        <w:pStyle w:val="ColorfulList-Accent11"/>
        <w:numPr>
          <w:ilvl w:val="0"/>
          <w:numId w:val="3"/>
        </w:numPr>
        <w:spacing w:before="120" w:after="120" w:line="240" w:lineRule="auto"/>
        <w:ind w:left="540" w:hanging="540"/>
        <w:contextualSpacing w:val="0"/>
        <w:jc w:val="both"/>
        <w:rPr>
          <w:rFonts w:ascii="Arial" w:hAnsi="Arial" w:cs="Arial"/>
          <w:b/>
        </w:rPr>
      </w:pPr>
      <w:r w:rsidRPr="002A7369">
        <w:rPr>
          <w:rFonts w:ascii="Arial" w:hAnsi="Arial" w:cs="Arial"/>
          <w:b/>
        </w:rPr>
        <w:t>Monitoreo</w:t>
      </w:r>
    </w:p>
    <w:p w14:paraId="73D5373B" w14:textId="6078F09F" w:rsidR="001B5186" w:rsidRPr="002A7369" w:rsidRDefault="00247C54" w:rsidP="0074232B">
      <w:pPr>
        <w:spacing w:before="120" w:after="120" w:line="240" w:lineRule="auto"/>
        <w:jc w:val="both"/>
        <w:rPr>
          <w:rFonts w:ascii="Arial" w:eastAsia="Times New Roman" w:hAnsi="Arial" w:cs="Arial"/>
          <w:color w:val="000000"/>
          <w:lang w:val="es-ES_tradnl"/>
        </w:rPr>
      </w:pPr>
      <w:r w:rsidRPr="002A7369">
        <w:rPr>
          <w:rFonts w:ascii="Arial" w:eastAsia="Times New Roman" w:hAnsi="Arial" w:cs="Arial"/>
          <w:color w:val="000000"/>
          <w:lang w:val="es-ES_tradnl"/>
        </w:rPr>
        <w:t>Esta sección describe el proceso de monitoreo, incluida la descripción de indicadores clave de monitoreo, identificación de fuentes de datos, informes y monitoreo del plan de trabajo y presupuesto.</w:t>
      </w:r>
    </w:p>
    <w:p w14:paraId="55B4C2C0" w14:textId="68E60F62" w:rsidR="001B5186" w:rsidRPr="002A7369" w:rsidRDefault="001B5186" w:rsidP="0074232B">
      <w:pPr>
        <w:pStyle w:val="ColorfulList-Accent11"/>
        <w:numPr>
          <w:ilvl w:val="1"/>
          <w:numId w:val="3"/>
        </w:numPr>
        <w:spacing w:before="120" w:after="120" w:line="240" w:lineRule="auto"/>
        <w:ind w:left="540" w:hanging="540"/>
        <w:contextualSpacing w:val="0"/>
        <w:jc w:val="both"/>
        <w:rPr>
          <w:rFonts w:ascii="Arial" w:hAnsi="Arial" w:cs="Arial"/>
          <w:b/>
        </w:rPr>
      </w:pPr>
      <w:r w:rsidRPr="002A7369">
        <w:rPr>
          <w:rFonts w:ascii="Arial" w:hAnsi="Arial" w:cs="Arial"/>
          <w:b/>
        </w:rPr>
        <w:t>In</w:t>
      </w:r>
      <w:r w:rsidR="00F51C49" w:rsidRPr="002A7369">
        <w:rPr>
          <w:rFonts w:ascii="Arial" w:hAnsi="Arial" w:cs="Arial"/>
          <w:b/>
        </w:rPr>
        <w:t>dicadores</w:t>
      </w:r>
    </w:p>
    <w:p w14:paraId="3DD6B457" w14:textId="77777777" w:rsidR="00E2331C" w:rsidRPr="002A7369" w:rsidRDefault="007D4A59" w:rsidP="0074232B">
      <w:pPr>
        <w:spacing w:before="120" w:after="120" w:line="240" w:lineRule="auto"/>
        <w:jc w:val="both"/>
        <w:textAlignment w:val="top"/>
        <w:rPr>
          <w:rFonts w:ascii="Arial" w:eastAsia="Times New Roman" w:hAnsi="Arial" w:cs="Arial"/>
          <w:color w:val="000000"/>
          <w:lang w:val="es-ES_tradnl"/>
        </w:rPr>
      </w:pPr>
      <w:r w:rsidRPr="002A7369">
        <w:rPr>
          <w:rFonts w:ascii="Arial" w:eastAsia="Times New Roman" w:hAnsi="Arial" w:cs="Arial"/>
          <w:color w:val="000000"/>
          <w:lang w:val="es-ES_tradnl"/>
        </w:rPr>
        <w:t xml:space="preserve">Las tablas 1 y 2 presentan indicadores clave que serán monitoreados y registrados en el Informe de Monitoreo de Progreso (PMR). La Tabla 1 presenta indicadores clave de impacto y resultados, mientras que la Tabla 2 presenta indicadores de </w:t>
      </w:r>
      <w:r w:rsidR="0089432D" w:rsidRPr="002A7369">
        <w:rPr>
          <w:rFonts w:ascii="Arial" w:eastAsia="Times New Roman" w:hAnsi="Arial" w:cs="Arial"/>
          <w:color w:val="000000"/>
          <w:lang w:val="es-ES_tradnl"/>
        </w:rPr>
        <w:t>producto</w:t>
      </w:r>
      <w:r w:rsidRPr="002A7369">
        <w:rPr>
          <w:rFonts w:ascii="Arial" w:eastAsia="Times New Roman" w:hAnsi="Arial" w:cs="Arial"/>
          <w:color w:val="000000"/>
          <w:lang w:val="es-ES_tradnl"/>
        </w:rPr>
        <w:t xml:space="preserve"> que se utilizarán para monitorear regularmente la ejecución de la operación y son efecto directo de las actividades del proyecto (</w:t>
      </w:r>
      <w:r w:rsidR="001710B5" w:rsidRPr="002A7369">
        <w:rPr>
          <w:rFonts w:ascii="Arial" w:eastAsia="Times New Roman" w:hAnsi="Arial" w:cs="Arial"/>
          <w:color w:val="000000"/>
          <w:lang w:val="es-ES_tradnl"/>
        </w:rPr>
        <w:t>transferencias y subsidios</w:t>
      </w:r>
      <w:r w:rsidRPr="002A7369">
        <w:rPr>
          <w:rFonts w:ascii="Arial" w:eastAsia="Times New Roman" w:hAnsi="Arial" w:cs="Arial"/>
          <w:color w:val="000000"/>
          <w:lang w:val="es-ES_tradnl"/>
        </w:rPr>
        <w:t>)</w:t>
      </w:r>
      <w:r w:rsidR="001E2CB9" w:rsidRPr="002A7369">
        <w:rPr>
          <w:rFonts w:ascii="Arial" w:eastAsia="Times New Roman" w:hAnsi="Arial" w:cs="Arial"/>
          <w:color w:val="000000"/>
          <w:lang w:val="es-ES_tradnl"/>
        </w:rPr>
        <w:t>.</w:t>
      </w:r>
    </w:p>
    <w:p w14:paraId="322847A5" w14:textId="77777777" w:rsidR="001E2CB9" w:rsidRPr="002A7369" w:rsidRDefault="001E2CB9" w:rsidP="002A7369">
      <w:pPr>
        <w:spacing w:before="120" w:after="120" w:line="288" w:lineRule="auto"/>
        <w:jc w:val="both"/>
        <w:textAlignment w:val="top"/>
        <w:rPr>
          <w:rFonts w:ascii="Arial" w:eastAsia="Times New Roman" w:hAnsi="Arial" w:cs="Arial"/>
          <w:color w:val="000000"/>
          <w:lang w:val="es-ES_tradnl"/>
        </w:rPr>
      </w:pPr>
    </w:p>
    <w:p w14:paraId="3390E069" w14:textId="77777777" w:rsidR="00190876" w:rsidRDefault="00190876">
      <w:pPr>
        <w:spacing w:after="0" w:line="240" w:lineRule="auto"/>
        <w:rPr>
          <w:rFonts w:ascii="Arial" w:hAnsi="Arial" w:cs="Arial"/>
          <w:sz w:val="20"/>
          <w:szCs w:val="20"/>
          <w:lang w:val="es-ES_tradnl"/>
        </w:rPr>
      </w:pPr>
      <w:r>
        <w:rPr>
          <w:rFonts w:ascii="Arial" w:hAnsi="Arial" w:cs="Arial"/>
          <w:sz w:val="20"/>
          <w:szCs w:val="20"/>
          <w:lang w:val="es-ES_tradnl"/>
        </w:rPr>
        <w:br w:type="page"/>
      </w:r>
    </w:p>
    <w:p w14:paraId="038DA46E" w14:textId="77777777" w:rsidR="00190876" w:rsidRDefault="00190876" w:rsidP="00765D47">
      <w:pPr>
        <w:autoSpaceDE w:val="0"/>
        <w:autoSpaceDN w:val="0"/>
        <w:adjustRightInd w:val="0"/>
        <w:spacing w:after="120" w:line="240" w:lineRule="auto"/>
        <w:jc w:val="center"/>
        <w:rPr>
          <w:rFonts w:ascii="Arial" w:hAnsi="Arial" w:cs="Arial"/>
          <w:sz w:val="20"/>
          <w:szCs w:val="20"/>
          <w:lang w:val="es-ES_tradnl"/>
        </w:rPr>
        <w:sectPr w:rsidR="00190876" w:rsidSect="007D024C">
          <w:headerReference w:type="default" r:id="rId14"/>
          <w:footerReference w:type="default" r:id="rId15"/>
          <w:pgSz w:w="12240" w:h="15840"/>
          <w:pgMar w:top="1440" w:right="1627" w:bottom="1440" w:left="1440" w:header="720" w:footer="720" w:gutter="0"/>
          <w:cols w:space="720"/>
          <w:titlePg/>
          <w:docGrid w:linePitch="360"/>
        </w:sectPr>
      </w:pPr>
    </w:p>
    <w:p w14:paraId="3A76808C" w14:textId="56688A47" w:rsidR="00765D47" w:rsidRDefault="00073CC4" w:rsidP="00765D47">
      <w:pPr>
        <w:autoSpaceDE w:val="0"/>
        <w:autoSpaceDN w:val="0"/>
        <w:adjustRightInd w:val="0"/>
        <w:spacing w:after="120" w:line="240" w:lineRule="auto"/>
        <w:jc w:val="center"/>
        <w:rPr>
          <w:rFonts w:ascii="Arial" w:hAnsi="Arial" w:cs="Arial"/>
          <w:b/>
          <w:smallCaps/>
          <w:sz w:val="20"/>
          <w:szCs w:val="20"/>
          <w:lang w:val="es-419"/>
        </w:rPr>
      </w:pPr>
      <w:r w:rsidRPr="00071C8C">
        <w:rPr>
          <w:rFonts w:ascii="Arial" w:hAnsi="Arial" w:cs="Arial"/>
          <w:sz w:val="20"/>
          <w:szCs w:val="20"/>
          <w:lang w:val="es-ES_tradnl"/>
        </w:rPr>
        <w:lastRenderedPageBreak/>
        <w:t>Tabla 1</w:t>
      </w:r>
      <w:r w:rsidR="00765D47" w:rsidRPr="00765D47">
        <w:rPr>
          <w:rFonts w:ascii="Arial" w:hAnsi="Arial" w:cs="Arial"/>
          <w:b/>
          <w:smallCaps/>
          <w:sz w:val="20"/>
          <w:szCs w:val="20"/>
          <w:lang w:val="es-419"/>
        </w:rPr>
        <w:t xml:space="preserve"> </w:t>
      </w:r>
      <w:r w:rsidR="00765D47">
        <w:rPr>
          <w:rFonts w:ascii="Arial" w:hAnsi="Arial" w:cs="Arial"/>
          <w:b/>
          <w:smallCaps/>
          <w:sz w:val="20"/>
          <w:szCs w:val="20"/>
          <w:lang w:val="es-419"/>
        </w:rPr>
        <w:t>Indicadores de impacto y resultado</w:t>
      </w:r>
    </w:p>
    <w:p w14:paraId="5DD258D8" w14:textId="24588F35" w:rsidR="008049A5" w:rsidRPr="00367823" w:rsidRDefault="001E2CB9" w:rsidP="008049A5">
      <w:pPr>
        <w:autoSpaceDE w:val="0"/>
        <w:autoSpaceDN w:val="0"/>
        <w:adjustRightInd w:val="0"/>
        <w:spacing w:after="120" w:line="240" w:lineRule="auto"/>
        <w:jc w:val="center"/>
        <w:rPr>
          <w:rFonts w:ascii="Arial" w:hAnsi="Arial" w:cs="Arial"/>
          <w:b/>
          <w:smallCaps/>
          <w:lang w:val="es-419"/>
        </w:rPr>
      </w:pPr>
      <w:r w:rsidRPr="00720DBF">
        <w:rPr>
          <w:rFonts w:ascii="Arial" w:hAnsi="Arial" w:cs="Arial"/>
          <w:b/>
          <w:smallCaps/>
          <w:sz w:val="20"/>
          <w:szCs w:val="20"/>
          <w:lang w:val="es-419"/>
        </w:rPr>
        <w:t>Impacto Esperado</w:t>
      </w:r>
      <w:r w:rsidR="008049A5" w:rsidRPr="008049A5">
        <w:rPr>
          <w:rFonts w:ascii="Arial" w:hAnsi="Arial" w:cs="Arial"/>
          <w:b/>
          <w:smallCaps/>
          <w:lang w:val="es-419"/>
        </w:rPr>
        <w:t xml:space="preserve"> </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260"/>
        <w:gridCol w:w="990"/>
        <w:gridCol w:w="1440"/>
        <w:gridCol w:w="990"/>
        <w:gridCol w:w="2700"/>
        <w:gridCol w:w="2610"/>
      </w:tblGrid>
      <w:tr w:rsidR="008049A5" w:rsidRPr="00720DBF" w14:paraId="7C9F00B8" w14:textId="77777777" w:rsidTr="00D66032">
        <w:trPr>
          <w:trHeight w:val="703"/>
          <w:tblHeader/>
        </w:trPr>
        <w:tc>
          <w:tcPr>
            <w:tcW w:w="33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9A736C0" w14:textId="77777777" w:rsidR="008049A5" w:rsidRPr="00720DBF" w:rsidRDefault="008049A5" w:rsidP="00E20C38">
            <w:pPr>
              <w:spacing w:after="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Indicadores</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EEC4D40" w14:textId="77777777" w:rsidR="008049A5" w:rsidRPr="00720DBF" w:rsidRDefault="008049A5" w:rsidP="00E20C38">
            <w:pPr>
              <w:spacing w:after="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Unidad de Medida</w:t>
            </w: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A5C607F" w14:textId="77777777" w:rsidR="008049A5" w:rsidRPr="00720DBF" w:rsidRDefault="008049A5" w:rsidP="00E20C38">
            <w:pPr>
              <w:spacing w:after="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Línea de Base</w:t>
            </w:r>
          </w:p>
        </w:tc>
        <w:tc>
          <w:tcPr>
            <w:tcW w:w="14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4EED695" w14:textId="77777777" w:rsidR="008049A5" w:rsidRPr="00720DBF" w:rsidRDefault="008049A5" w:rsidP="00E20C38">
            <w:pPr>
              <w:spacing w:after="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Año</w:t>
            </w:r>
          </w:p>
          <w:p w14:paraId="79AAE1ED" w14:textId="77777777" w:rsidR="008049A5" w:rsidRPr="00720DBF" w:rsidRDefault="008049A5" w:rsidP="00E20C38">
            <w:pPr>
              <w:spacing w:after="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Línea de Base</w:t>
            </w: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BAA2C19" w14:textId="77777777" w:rsidR="008049A5" w:rsidRPr="00720DBF" w:rsidRDefault="008049A5" w:rsidP="00E20C38">
            <w:pPr>
              <w:spacing w:after="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Meta Final</w:t>
            </w:r>
          </w:p>
        </w:tc>
        <w:tc>
          <w:tcPr>
            <w:tcW w:w="27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A6A7D3F" w14:textId="77777777" w:rsidR="008049A5" w:rsidRPr="00720DBF" w:rsidRDefault="008049A5" w:rsidP="00E20C38">
            <w:pPr>
              <w:spacing w:after="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Medios de Verificación</w:t>
            </w:r>
          </w:p>
        </w:tc>
        <w:tc>
          <w:tcPr>
            <w:tcW w:w="26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539C46" w14:textId="77777777" w:rsidR="008049A5" w:rsidRPr="00720DBF" w:rsidRDefault="008049A5" w:rsidP="00E20C38">
            <w:pPr>
              <w:spacing w:after="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Comentarios</w:t>
            </w:r>
          </w:p>
        </w:tc>
      </w:tr>
      <w:tr w:rsidR="008049A5" w:rsidRPr="00D66032" w14:paraId="3838FEC5" w14:textId="77777777" w:rsidTr="00E20C38">
        <w:trPr>
          <w:trHeight w:val="503"/>
        </w:trPr>
        <w:tc>
          <w:tcPr>
            <w:tcW w:w="13315" w:type="dxa"/>
            <w:gridSpan w:val="7"/>
            <w:tcBorders>
              <w:top w:val="single" w:sz="4" w:space="0" w:color="auto"/>
              <w:left w:val="single" w:sz="4" w:space="0" w:color="auto"/>
              <w:bottom w:val="single" w:sz="4" w:space="0" w:color="auto"/>
              <w:right w:val="single" w:sz="4" w:space="0" w:color="auto"/>
            </w:tcBorders>
            <w:vAlign w:val="center"/>
          </w:tcPr>
          <w:p w14:paraId="7AEB8422" w14:textId="77777777" w:rsidR="008049A5" w:rsidRPr="00720DBF" w:rsidRDefault="008049A5" w:rsidP="00D66032">
            <w:pPr>
              <w:spacing w:before="40" w:after="40" w:line="240" w:lineRule="auto"/>
              <w:rPr>
                <w:rFonts w:ascii="Arial" w:hAnsi="Arial" w:cs="Arial"/>
                <w:sz w:val="20"/>
                <w:szCs w:val="20"/>
                <w:lang w:val="es-419" w:eastAsia="zh-CN"/>
              </w:rPr>
            </w:pPr>
            <w:r w:rsidRPr="00720DBF">
              <w:rPr>
                <w:rFonts w:ascii="Arial" w:hAnsi="Arial" w:cs="Arial"/>
                <w:b/>
                <w:sz w:val="20"/>
                <w:szCs w:val="20"/>
                <w:lang w:val="es-419" w:eastAsia="zh-CN"/>
              </w:rPr>
              <w:t>Objetivo de desarrollo general</w:t>
            </w:r>
            <w:r w:rsidRPr="00720DBF">
              <w:rPr>
                <w:rFonts w:ascii="Arial" w:hAnsi="Arial" w:cs="Arial"/>
                <w:sz w:val="20"/>
                <w:szCs w:val="20"/>
                <w:lang w:val="es-419" w:eastAsia="zh-CN"/>
              </w:rPr>
              <w:t xml:space="preserve">: </w:t>
            </w:r>
            <w:r w:rsidRPr="00774445">
              <w:rPr>
                <w:rFonts w:ascii="Arial" w:hAnsi="Arial" w:cs="Arial"/>
                <w:sz w:val="20"/>
                <w:lang w:val="es-419"/>
              </w:rPr>
              <w:t>contribuir a asegurar niveles mínimos de calidad de vida de las personas vulnerables frente a la crisis causada por el COVID-19</w:t>
            </w:r>
            <w:r>
              <w:rPr>
                <w:rFonts w:ascii="Arial" w:hAnsi="Arial" w:cs="Arial"/>
                <w:sz w:val="20"/>
                <w:lang w:val="es-419"/>
              </w:rPr>
              <w:t>.</w:t>
            </w:r>
          </w:p>
        </w:tc>
      </w:tr>
      <w:tr w:rsidR="008049A5" w:rsidRPr="00EA022C" w14:paraId="5B995908" w14:textId="77777777" w:rsidTr="00D66032">
        <w:trPr>
          <w:trHeight w:val="1457"/>
        </w:trPr>
        <w:tc>
          <w:tcPr>
            <w:tcW w:w="3325" w:type="dxa"/>
            <w:tcBorders>
              <w:top w:val="single" w:sz="4" w:space="0" w:color="auto"/>
              <w:left w:val="single" w:sz="4" w:space="0" w:color="auto"/>
              <w:bottom w:val="single" w:sz="4" w:space="0" w:color="auto"/>
              <w:right w:val="single" w:sz="4" w:space="0" w:color="auto"/>
            </w:tcBorders>
            <w:vAlign w:val="center"/>
          </w:tcPr>
          <w:p w14:paraId="7D928D20" w14:textId="77777777" w:rsidR="008049A5" w:rsidRPr="00720DBF" w:rsidRDefault="008049A5" w:rsidP="00D66032">
            <w:pPr>
              <w:pStyle w:val="ListParagraph"/>
              <w:spacing w:before="40" w:after="40" w:line="240" w:lineRule="auto"/>
              <w:ind w:left="0"/>
              <w:rPr>
                <w:rFonts w:ascii="Arial" w:hAnsi="Arial" w:cs="Arial"/>
                <w:sz w:val="20"/>
                <w:szCs w:val="20"/>
                <w:lang w:val="es-419"/>
              </w:rPr>
            </w:pPr>
            <w:r>
              <w:rPr>
                <w:rFonts w:ascii="Arial" w:hAnsi="Arial" w:cs="Arial"/>
                <w:lang w:val="es-419"/>
              </w:rPr>
              <w:t>Casos COVID-19 confirmados</w:t>
            </w:r>
          </w:p>
        </w:tc>
        <w:tc>
          <w:tcPr>
            <w:tcW w:w="1260" w:type="dxa"/>
            <w:tcBorders>
              <w:top w:val="single" w:sz="4" w:space="0" w:color="auto"/>
              <w:left w:val="single" w:sz="4" w:space="0" w:color="auto"/>
              <w:bottom w:val="single" w:sz="4" w:space="0" w:color="auto"/>
              <w:right w:val="single" w:sz="4" w:space="0" w:color="auto"/>
            </w:tcBorders>
            <w:vAlign w:val="center"/>
          </w:tcPr>
          <w:p w14:paraId="7A3D025A" w14:textId="77777777" w:rsidR="008049A5" w:rsidRPr="00720DBF" w:rsidRDefault="008049A5"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MX"/>
              </w:rPr>
              <w:t>Número</w:t>
            </w:r>
          </w:p>
        </w:tc>
        <w:tc>
          <w:tcPr>
            <w:tcW w:w="990" w:type="dxa"/>
            <w:tcBorders>
              <w:top w:val="single" w:sz="4" w:space="0" w:color="auto"/>
              <w:left w:val="single" w:sz="4" w:space="0" w:color="auto"/>
              <w:bottom w:val="single" w:sz="4" w:space="0" w:color="auto"/>
              <w:right w:val="single" w:sz="4" w:space="0" w:color="auto"/>
            </w:tcBorders>
            <w:vAlign w:val="center"/>
          </w:tcPr>
          <w:p w14:paraId="11902F1C" w14:textId="77777777" w:rsidR="008049A5" w:rsidRPr="00720DBF" w:rsidRDefault="008049A5"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rPr>
              <w:t>116.334</w:t>
            </w:r>
          </w:p>
        </w:tc>
        <w:tc>
          <w:tcPr>
            <w:tcW w:w="1440" w:type="dxa"/>
            <w:tcBorders>
              <w:top w:val="single" w:sz="4" w:space="0" w:color="auto"/>
              <w:left w:val="single" w:sz="4" w:space="0" w:color="auto"/>
              <w:bottom w:val="single" w:sz="4" w:space="0" w:color="auto"/>
              <w:right w:val="single" w:sz="4" w:space="0" w:color="auto"/>
            </w:tcBorders>
            <w:vAlign w:val="center"/>
          </w:tcPr>
          <w:p w14:paraId="636BF4C0" w14:textId="77777777" w:rsidR="008049A5" w:rsidRPr="00720DBF" w:rsidRDefault="008049A5"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ES_tradnl"/>
              </w:rPr>
              <w:t>2020</w:t>
            </w:r>
          </w:p>
        </w:tc>
        <w:tc>
          <w:tcPr>
            <w:tcW w:w="990" w:type="dxa"/>
            <w:tcBorders>
              <w:top w:val="single" w:sz="4" w:space="0" w:color="auto"/>
              <w:left w:val="single" w:sz="4" w:space="0" w:color="auto"/>
              <w:bottom w:val="single" w:sz="4" w:space="0" w:color="auto"/>
              <w:right w:val="single" w:sz="4" w:space="0" w:color="auto"/>
            </w:tcBorders>
            <w:vAlign w:val="center"/>
          </w:tcPr>
          <w:p w14:paraId="3F9950B4" w14:textId="77777777" w:rsidR="008049A5" w:rsidRPr="00720DBF" w:rsidRDefault="008049A5"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CR"/>
              </w:rPr>
              <w:t>34.900</w:t>
            </w:r>
          </w:p>
        </w:tc>
        <w:tc>
          <w:tcPr>
            <w:tcW w:w="2700" w:type="dxa"/>
            <w:tcBorders>
              <w:top w:val="single" w:sz="4" w:space="0" w:color="auto"/>
              <w:left w:val="single" w:sz="4" w:space="0" w:color="auto"/>
              <w:bottom w:val="single" w:sz="4" w:space="0" w:color="auto"/>
              <w:right w:val="single" w:sz="4" w:space="0" w:color="auto"/>
            </w:tcBorders>
            <w:vAlign w:val="center"/>
          </w:tcPr>
          <w:p w14:paraId="77B9D2E4" w14:textId="77777777" w:rsidR="008049A5" w:rsidRPr="00720DBF" w:rsidRDefault="008049A5" w:rsidP="00D66032">
            <w:pPr>
              <w:spacing w:before="40" w:after="40" w:line="240" w:lineRule="auto"/>
              <w:rPr>
                <w:rFonts w:ascii="Arial" w:hAnsi="Arial" w:cs="Arial"/>
                <w:sz w:val="20"/>
                <w:szCs w:val="20"/>
                <w:lang w:val="es-419" w:eastAsia="zh-CN"/>
              </w:rPr>
            </w:pPr>
            <w:r>
              <w:rPr>
                <w:rFonts w:ascii="Arial" w:hAnsi="Arial" w:cs="Arial"/>
                <w:sz w:val="20"/>
                <w:szCs w:val="20"/>
                <w:lang w:val="es-419" w:eastAsia="zh-CN"/>
              </w:rPr>
              <w:t>LB son las proyecciones en escenario negativo, la meta son proyecciones según escenario intermedio (según proyección de Univ. Mayor San Simón)</w:t>
            </w:r>
          </w:p>
        </w:tc>
        <w:tc>
          <w:tcPr>
            <w:tcW w:w="2610" w:type="dxa"/>
            <w:tcBorders>
              <w:top w:val="single" w:sz="4" w:space="0" w:color="auto"/>
              <w:left w:val="single" w:sz="4" w:space="0" w:color="auto"/>
              <w:bottom w:val="single" w:sz="4" w:space="0" w:color="auto"/>
              <w:right w:val="single" w:sz="4" w:space="0" w:color="auto"/>
            </w:tcBorders>
            <w:vAlign w:val="center"/>
          </w:tcPr>
          <w:p w14:paraId="2EDC7C4D" w14:textId="77777777" w:rsidR="008049A5" w:rsidRPr="00720DBF" w:rsidRDefault="008049A5" w:rsidP="00D66032">
            <w:pPr>
              <w:spacing w:before="40" w:after="40" w:line="240" w:lineRule="auto"/>
              <w:rPr>
                <w:rFonts w:ascii="Arial" w:hAnsi="Arial" w:cs="Arial"/>
                <w:sz w:val="20"/>
                <w:szCs w:val="20"/>
                <w:lang w:val="es-419" w:eastAsia="zh-CN"/>
              </w:rPr>
            </w:pPr>
            <w:r>
              <w:rPr>
                <w:rFonts w:ascii="Arial" w:hAnsi="Arial" w:cs="Arial"/>
                <w:sz w:val="20"/>
                <w:szCs w:val="20"/>
                <w:lang w:val="es-419"/>
              </w:rPr>
              <w:t xml:space="preserve">Medido por Ministerio de Salud. </w:t>
            </w:r>
          </w:p>
        </w:tc>
      </w:tr>
      <w:tr w:rsidR="008049A5" w:rsidRPr="00D66032" w14:paraId="242D03FA" w14:textId="77777777" w:rsidTr="00D66032">
        <w:trPr>
          <w:trHeight w:val="64"/>
        </w:trPr>
        <w:tc>
          <w:tcPr>
            <w:tcW w:w="3325" w:type="dxa"/>
            <w:tcBorders>
              <w:top w:val="single" w:sz="4" w:space="0" w:color="auto"/>
              <w:left w:val="single" w:sz="4" w:space="0" w:color="auto"/>
              <w:bottom w:val="single" w:sz="4" w:space="0" w:color="auto"/>
              <w:right w:val="single" w:sz="4" w:space="0" w:color="auto"/>
            </w:tcBorders>
            <w:vAlign w:val="center"/>
          </w:tcPr>
          <w:p w14:paraId="24F9778D" w14:textId="77777777" w:rsidR="008049A5" w:rsidRPr="00720DBF" w:rsidRDefault="008049A5" w:rsidP="00D66032">
            <w:pPr>
              <w:pStyle w:val="ListParagraph"/>
              <w:spacing w:before="40" w:after="40" w:line="240" w:lineRule="auto"/>
              <w:ind w:left="0"/>
              <w:rPr>
                <w:rFonts w:ascii="Arial" w:hAnsi="Arial" w:cs="Arial"/>
                <w:sz w:val="20"/>
                <w:szCs w:val="20"/>
                <w:lang w:val="es-419"/>
              </w:rPr>
            </w:pPr>
            <w:r w:rsidRPr="00720DBF">
              <w:rPr>
                <w:rFonts w:ascii="Arial" w:hAnsi="Arial" w:cs="Arial"/>
                <w:sz w:val="20"/>
                <w:szCs w:val="20"/>
                <w:lang w:val="es-419"/>
              </w:rPr>
              <w:t xml:space="preserve">Nivel de </w:t>
            </w:r>
            <w:r>
              <w:rPr>
                <w:rFonts w:ascii="Arial" w:hAnsi="Arial" w:cs="Arial"/>
                <w:sz w:val="20"/>
                <w:szCs w:val="20"/>
                <w:lang w:val="es-419"/>
              </w:rPr>
              <w:t>ingreso</w:t>
            </w:r>
            <w:r w:rsidRPr="00720DBF">
              <w:rPr>
                <w:rFonts w:ascii="Arial" w:hAnsi="Arial" w:cs="Arial"/>
                <w:sz w:val="20"/>
                <w:szCs w:val="20"/>
                <w:lang w:val="es-419"/>
              </w:rPr>
              <w:t xml:space="preserve"> </w:t>
            </w:r>
            <w:r>
              <w:rPr>
                <w:rFonts w:ascii="Arial" w:hAnsi="Arial" w:cs="Arial"/>
                <w:sz w:val="20"/>
                <w:szCs w:val="20"/>
                <w:lang w:val="es-419"/>
              </w:rPr>
              <w:t>de familias vulnerables (tres quintiles más bajos) respecto a nivel</w:t>
            </w:r>
            <w:r w:rsidRPr="00720DBF">
              <w:rPr>
                <w:rFonts w:ascii="Arial" w:hAnsi="Arial" w:cs="Arial"/>
                <w:sz w:val="20"/>
                <w:szCs w:val="20"/>
                <w:lang w:val="es-419"/>
              </w:rPr>
              <w:t xml:space="preserve"> de </w:t>
            </w:r>
            <w:r>
              <w:rPr>
                <w:rFonts w:ascii="Arial" w:hAnsi="Arial" w:cs="Arial"/>
                <w:sz w:val="20"/>
                <w:szCs w:val="20"/>
                <w:lang w:val="es-419"/>
              </w:rPr>
              <w:t>ingreso de familias no vulnerables (dos quintiles más altos) 12 meses después de inicio de la crisis.</w:t>
            </w:r>
          </w:p>
        </w:tc>
        <w:tc>
          <w:tcPr>
            <w:tcW w:w="1260" w:type="dxa"/>
            <w:tcBorders>
              <w:top w:val="single" w:sz="4" w:space="0" w:color="auto"/>
              <w:left w:val="single" w:sz="4" w:space="0" w:color="auto"/>
              <w:bottom w:val="single" w:sz="4" w:space="0" w:color="auto"/>
              <w:right w:val="single" w:sz="4" w:space="0" w:color="auto"/>
            </w:tcBorders>
            <w:vAlign w:val="center"/>
          </w:tcPr>
          <w:p w14:paraId="116C286E" w14:textId="77777777" w:rsidR="008049A5" w:rsidRPr="00240F10" w:rsidRDefault="008049A5" w:rsidP="00D66032">
            <w:pPr>
              <w:spacing w:before="40" w:after="40" w:line="240" w:lineRule="auto"/>
              <w:jc w:val="center"/>
              <w:rPr>
                <w:rFonts w:ascii="Arial" w:hAnsi="Arial" w:cs="Arial"/>
                <w:sz w:val="20"/>
                <w:szCs w:val="20"/>
                <w:lang w:val="es-ES_tradnl" w:eastAsia="zh-CN"/>
              </w:rPr>
            </w:pPr>
            <w:r>
              <w:rPr>
                <w:rFonts w:ascii="Arial" w:hAnsi="Arial" w:cs="Arial"/>
                <w:sz w:val="20"/>
                <w:szCs w:val="20"/>
                <w:lang w:val="es-419" w:eastAsia="zh-CN"/>
              </w:rPr>
              <w:t>Porcentaje</w:t>
            </w:r>
          </w:p>
        </w:tc>
        <w:tc>
          <w:tcPr>
            <w:tcW w:w="990" w:type="dxa"/>
            <w:tcBorders>
              <w:top w:val="single" w:sz="4" w:space="0" w:color="auto"/>
              <w:left w:val="single" w:sz="4" w:space="0" w:color="auto"/>
              <w:bottom w:val="single" w:sz="4" w:space="0" w:color="auto"/>
              <w:right w:val="single" w:sz="4" w:space="0" w:color="auto"/>
            </w:tcBorders>
            <w:vAlign w:val="center"/>
          </w:tcPr>
          <w:p w14:paraId="7D57AD05" w14:textId="77777777" w:rsidR="008049A5" w:rsidRPr="00720DBF" w:rsidRDefault="008049A5"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8,85</w:t>
            </w:r>
          </w:p>
        </w:tc>
        <w:tc>
          <w:tcPr>
            <w:tcW w:w="1440" w:type="dxa"/>
            <w:tcBorders>
              <w:top w:val="single" w:sz="4" w:space="0" w:color="auto"/>
              <w:left w:val="single" w:sz="4" w:space="0" w:color="auto"/>
              <w:bottom w:val="single" w:sz="4" w:space="0" w:color="auto"/>
              <w:right w:val="single" w:sz="4" w:space="0" w:color="auto"/>
            </w:tcBorders>
            <w:vAlign w:val="center"/>
          </w:tcPr>
          <w:p w14:paraId="27958756" w14:textId="77777777" w:rsidR="008049A5" w:rsidRPr="00720DBF" w:rsidRDefault="008049A5"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2018</w:t>
            </w:r>
          </w:p>
        </w:tc>
        <w:tc>
          <w:tcPr>
            <w:tcW w:w="990" w:type="dxa"/>
            <w:tcBorders>
              <w:top w:val="single" w:sz="4" w:space="0" w:color="auto"/>
              <w:left w:val="single" w:sz="4" w:space="0" w:color="auto"/>
              <w:bottom w:val="single" w:sz="4" w:space="0" w:color="auto"/>
              <w:right w:val="single" w:sz="4" w:space="0" w:color="auto"/>
            </w:tcBorders>
            <w:vAlign w:val="center"/>
          </w:tcPr>
          <w:p w14:paraId="2E75C516" w14:textId="77777777" w:rsidR="008049A5" w:rsidRPr="00720DBF" w:rsidRDefault="008049A5"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8,85</w:t>
            </w:r>
          </w:p>
        </w:tc>
        <w:tc>
          <w:tcPr>
            <w:tcW w:w="2700" w:type="dxa"/>
            <w:tcBorders>
              <w:top w:val="single" w:sz="4" w:space="0" w:color="auto"/>
              <w:left w:val="single" w:sz="4" w:space="0" w:color="auto"/>
              <w:bottom w:val="single" w:sz="4" w:space="0" w:color="auto"/>
              <w:right w:val="single" w:sz="4" w:space="0" w:color="auto"/>
            </w:tcBorders>
            <w:vAlign w:val="center"/>
          </w:tcPr>
          <w:p w14:paraId="7716A479" w14:textId="77777777" w:rsidR="008049A5" w:rsidRPr="00720DBF" w:rsidRDefault="008049A5" w:rsidP="00D66032">
            <w:pPr>
              <w:spacing w:before="40" w:after="40" w:line="240" w:lineRule="auto"/>
              <w:rPr>
                <w:rFonts w:ascii="Arial" w:hAnsi="Arial" w:cs="Arial"/>
                <w:sz w:val="20"/>
                <w:szCs w:val="20"/>
                <w:lang w:val="es-419" w:eastAsia="zh-CN"/>
              </w:rPr>
            </w:pPr>
            <w:r>
              <w:rPr>
                <w:rFonts w:ascii="Arial" w:hAnsi="Arial" w:cs="Arial"/>
                <w:sz w:val="20"/>
                <w:szCs w:val="20"/>
                <w:lang w:val="es-419" w:eastAsia="zh-CN"/>
              </w:rPr>
              <w:t xml:space="preserve">Encuesta de Hogares, ingreso total per cápita del hogar. </w:t>
            </w:r>
          </w:p>
        </w:tc>
        <w:tc>
          <w:tcPr>
            <w:tcW w:w="2610" w:type="dxa"/>
            <w:tcBorders>
              <w:top w:val="single" w:sz="4" w:space="0" w:color="auto"/>
              <w:left w:val="single" w:sz="4" w:space="0" w:color="auto"/>
              <w:bottom w:val="single" w:sz="4" w:space="0" w:color="auto"/>
              <w:right w:val="single" w:sz="4" w:space="0" w:color="auto"/>
            </w:tcBorders>
            <w:vAlign w:val="center"/>
          </w:tcPr>
          <w:p w14:paraId="3AB09ABC" w14:textId="77777777" w:rsidR="008049A5" w:rsidRPr="00720DBF" w:rsidRDefault="008049A5" w:rsidP="00D66032">
            <w:pPr>
              <w:spacing w:before="40" w:after="40" w:line="240" w:lineRule="auto"/>
              <w:rPr>
                <w:rFonts w:ascii="Arial" w:hAnsi="Arial" w:cs="Arial"/>
                <w:sz w:val="20"/>
                <w:szCs w:val="20"/>
                <w:lang w:val="es-419" w:eastAsia="zh-CN"/>
              </w:rPr>
            </w:pPr>
            <w:r>
              <w:rPr>
                <w:rFonts w:ascii="Arial" w:hAnsi="Arial" w:cs="Arial"/>
                <w:sz w:val="20"/>
                <w:szCs w:val="20"/>
                <w:lang w:val="es-419" w:eastAsia="zh-CN"/>
              </w:rPr>
              <w:t>Población vulnerable son los tres quintiles más bajos de ingreso, no vulnerable los dos más altos.</w:t>
            </w:r>
          </w:p>
        </w:tc>
      </w:tr>
      <w:tr w:rsidR="008049A5" w:rsidRPr="009D69D4" w14:paraId="72977166" w14:textId="77777777" w:rsidTr="00D66032">
        <w:trPr>
          <w:trHeight w:val="64"/>
        </w:trPr>
        <w:tc>
          <w:tcPr>
            <w:tcW w:w="3325" w:type="dxa"/>
            <w:tcBorders>
              <w:top w:val="single" w:sz="4" w:space="0" w:color="auto"/>
              <w:left w:val="single" w:sz="4" w:space="0" w:color="auto"/>
              <w:bottom w:val="single" w:sz="4" w:space="0" w:color="auto"/>
              <w:right w:val="single" w:sz="4" w:space="0" w:color="auto"/>
            </w:tcBorders>
            <w:vAlign w:val="center"/>
          </w:tcPr>
          <w:p w14:paraId="6DFE53F3" w14:textId="77777777" w:rsidR="008049A5" w:rsidRPr="00720DBF" w:rsidRDefault="008049A5" w:rsidP="00D66032">
            <w:pPr>
              <w:pStyle w:val="ListParagraph"/>
              <w:spacing w:before="40" w:after="40" w:line="240" w:lineRule="auto"/>
              <w:ind w:left="0"/>
              <w:rPr>
                <w:rFonts w:ascii="Arial" w:hAnsi="Arial" w:cs="Arial"/>
                <w:sz w:val="20"/>
                <w:szCs w:val="20"/>
                <w:lang w:val="es-419"/>
              </w:rPr>
            </w:pPr>
            <w:r>
              <w:rPr>
                <w:rFonts w:ascii="Arial" w:hAnsi="Arial" w:cs="Arial"/>
                <w:sz w:val="20"/>
                <w:szCs w:val="20"/>
                <w:lang w:val="es-419" w:eastAsia="zh-CN"/>
              </w:rPr>
              <w:t>Cobertura de Renta Dignidad entre las personas indígenas mayores de 60 años que no reciben pensión contributiva.</w:t>
            </w:r>
          </w:p>
        </w:tc>
        <w:tc>
          <w:tcPr>
            <w:tcW w:w="1260" w:type="dxa"/>
            <w:tcBorders>
              <w:top w:val="single" w:sz="4" w:space="0" w:color="auto"/>
              <w:left w:val="single" w:sz="4" w:space="0" w:color="auto"/>
              <w:bottom w:val="single" w:sz="4" w:space="0" w:color="auto"/>
              <w:right w:val="single" w:sz="4" w:space="0" w:color="auto"/>
            </w:tcBorders>
            <w:vAlign w:val="center"/>
          </w:tcPr>
          <w:p w14:paraId="50E79214" w14:textId="77777777" w:rsidR="008049A5" w:rsidRDefault="008049A5"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Porcentaje</w:t>
            </w:r>
          </w:p>
        </w:tc>
        <w:tc>
          <w:tcPr>
            <w:tcW w:w="990" w:type="dxa"/>
            <w:tcBorders>
              <w:top w:val="single" w:sz="4" w:space="0" w:color="auto"/>
              <w:left w:val="single" w:sz="4" w:space="0" w:color="auto"/>
              <w:bottom w:val="single" w:sz="4" w:space="0" w:color="auto"/>
              <w:right w:val="single" w:sz="4" w:space="0" w:color="auto"/>
            </w:tcBorders>
            <w:vAlign w:val="center"/>
          </w:tcPr>
          <w:p w14:paraId="5EDBEC65" w14:textId="77777777" w:rsidR="008049A5" w:rsidRDefault="008049A5"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89,9</w:t>
            </w:r>
          </w:p>
        </w:tc>
        <w:tc>
          <w:tcPr>
            <w:tcW w:w="1440" w:type="dxa"/>
            <w:tcBorders>
              <w:top w:val="single" w:sz="4" w:space="0" w:color="auto"/>
              <w:left w:val="single" w:sz="4" w:space="0" w:color="auto"/>
              <w:bottom w:val="single" w:sz="4" w:space="0" w:color="auto"/>
              <w:right w:val="single" w:sz="4" w:space="0" w:color="auto"/>
            </w:tcBorders>
            <w:vAlign w:val="center"/>
          </w:tcPr>
          <w:p w14:paraId="3608C472" w14:textId="77777777" w:rsidR="008049A5" w:rsidRDefault="008049A5"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Encuesta de Hogares 2018</w:t>
            </w:r>
          </w:p>
        </w:tc>
        <w:tc>
          <w:tcPr>
            <w:tcW w:w="990" w:type="dxa"/>
            <w:tcBorders>
              <w:top w:val="single" w:sz="4" w:space="0" w:color="auto"/>
              <w:left w:val="single" w:sz="4" w:space="0" w:color="auto"/>
              <w:bottom w:val="single" w:sz="4" w:space="0" w:color="auto"/>
              <w:right w:val="single" w:sz="4" w:space="0" w:color="auto"/>
            </w:tcBorders>
            <w:vAlign w:val="center"/>
          </w:tcPr>
          <w:p w14:paraId="09651685" w14:textId="77777777" w:rsidR="008049A5" w:rsidRDefault="008049A5"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89,9</w:t>
            </w:r>
          </w:p>
        </w:tc>
        <w:tc>
          <w:tcPr>
            <w:tcW w:w="2700" w:type="dxa"/>
            <w:tcBorders>
              <w:top w:val="single" w:sz="4" w:space="0" w:color="auto"/>
              <w:left w:val="single" w:sz="4" w:space="0" w:color="auto"/>
              <w:bottom w:val="single" w:sz="4" w:space="0" w:color="auto"/>
              <w:right w:val="single" w:sz="4" w:space="0" w:color="auto"/>
            </w:tcBorders>
            <w:vAlign w:val="center"/>
          </w:tcPr>
          <w:p w14:paraId="061D9C46" w14:textId="77777777" w:rsidR="008049A5" w:rsidRDefault="008049A5" w:rsidP="00D66032">
            <w:pPr>
              <w:spacing w:before="40" w:after="40" w:line="240" w:lineRule="auto"/>
              <w:rPr>
                <w:rFonts w:ascii="Arial" w:hAnsi="Arial" w:cs="Arial"/>
                <w:sz w:val="20"/>
                <w:szCs w:val="20"/>
                <w:lang w:val="es-419" w:eastAsia="zh-CN"/>
              </w:rPr>
            </w:pPr>
            <w:r>
              <w:rPr>
                <w:rFonts w:ascii="Arial" w:hAnsi="Arial" w:cs="Arial"/>
                <w:sz w:val="20"/>
                <w:szCs w:val="20"/>
                <w:lang w:val="es-419" w:eastAsia="zh-CN"/>
              </w:rPr>
              <w:t>Encuesta de Hogares</w:t>
            </w:r>
          </w:p>
        </w:tc>
        <w:tc>
          <w:tcPr>
            <w:tcW w:w="2610" w:type="dxa"/>
            <w:tcBorders>
              <w:top w:val="single" w:sz="4" w:space="0" w:color="auto"/>
              <w:left w:val="single" w:sz="4" w:space="0" w:color="auto"/>
              <w:bottom w:val="single" w:sz="4" w:space="0" w:color="auto"/>
              <w:right w:val="single" w:sz="4" w:space="0" w:color="auto"/>
            </w:tcBorders>
            <w:vAlign w:val="center"/>
          </w:tcPr>
          <w:p w14:paraId="3900E67F" w14:textId="77777777" w:rsidR="008049A5" w:rsidRDefault="008049A5" w:rsidP="00D66032">
            <w:pPr>
              <w:spacing w:before="40" w:after="40" w:line="240" w:lineRule="auto"/>
              <w:rPr>
                <w:rFonts w:ascii="Arial" w:hAnsi="Arial" w:cs="Arial"/>
                <w:sz w:val="20"/>
                <w:szCs w:val="20"/>
                <w:lang w:val="es-419" w:eastAsia="zh-CN"/>
              </w:rPr>
            </w:pPr>
          </w:p>
        </w:tc>
      </w:tr>
    </w:tbl>
    <w:p w14:paraId="36E63909" w14:textId="77777777" w:rsidR="001E2CB9" w:rsidRPr="00720DBF" w:rsidRDefault="001E2CB9" w:rsidP="00D66032">
      <w:pPr>
        <w:autoSpaceDE w:val="0"/>
        <w:autoSpaceDN w:val="0"/>
        <w:adjustRightInd w:val="0"/>
        <w:spacing w:before="40" w:after="40" w:line="240" w:lineRule="auto"/>
        <w:jc w:val="center"/>
        <w:rPr>
          <w:rFonts w:ascii="Arial" w:hAnsi="Arial" w:cs="Arial"/>
          <w:b/>
          <w:smallCaps/>
          <w:color w:val="000000"/>
          <w:sz w:val="20"/>
          <w:szCs w:val="20"/>
          <w:lang w:val="es-419"/>
        </w:rPr>
      </w:pPr>
    </w:p>
    <w:p w14:paraId="4D7C8E65" w14:textId="585BA78A" w:rsidR="002A7369" w:rsidRDefault="002A7369" w:rsidP="00D66032">
      <w:pPr>
        <w:spacing w:before="40" w:after="40" w:line="240" w:lineRule="auto"/>
        <w:rPr>
          <w:rFonts w:ascii="Arial" w:eastAsia="Times New Roman" w:hAnsi="Arial" w:cs="Arial"/>
          <w:b/>
          <w:smallCaps/>
          <w:color w:val="000000"/>
          <w:sz w:val="20"/>
          <w:szCs w:val="20"/>
          <w:lang w:val="es-419"/>
        </w:rPr>
      </w:pPr>
      <w:r>
        <w:rPr>
          <w:rFonts w:ascii="Arial" w:eastAsia="Times New Roman" w:hAnsi="Arial" w:cs="Arial"/>
          <w:b/>
          <w:smallCaps/>
          <w:color w:val="000000"/>
          <w:sz w:val="20"/>
          <w:szCs w:val="20"/>
          <w:lang w:val="es-419"/>
        </w:rPr>
        <w:br w:type="page"/>
      </w:r>
    </w:p>
    <w:p w14:paraId="53F21C50" w14:textId="33281293" w:rsidR="001E2CB9" w:rsidRDefault="001E2CB9" w:rsidP="00D66032">
      <w:pPr>
        <w:spacing w:before="40" w:after="40" w:line="240" w:lineRule="auto"/>
        <w:jc w:val="center"/>
        <w:rPr>
          <w:rFonts w:ascii="Arial" w:eastAsia="Times New Roman" w:hAnsi="Arial" w:cs="Arial"/>
          <w:b/>
          <w:smallCaps/>
          <w:color w:val="000000"/>
          <w:sz w:val="20"/>
          <w:szCs w:val="20"/>
          <w:lang w:val="es-419"/>
        </w:rPr>
      </w:pPr>
      <w:r w:rsidRPr="00720DBF">
        <w:rPr>
          <w:rFonts w:ascii="Arial" w:eastAsia="Times New Roman" w:hAnsi="Arial" w:cs="Arial"/>
          <w:b/>
          <w:smallCaps/>
          <w:color w:val="000000"/>
          <w:sz w:val="20"/>
          <w:szCs w:val="20"/>
          <w:lang w:val="es-419"/>
        </w:rPr>
        <w:lastRenderedPageBreak/>
        <w:t>Resultados Esperados</w:t>
      </w:r>
    </w:p>
    <w:tbl>
      <w:tblPr>
        <w:tblW w:w="13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5"/>
        <w:gridCol w:w="1260"/>
        <w:gridCol w:w="900"/>
        <w:gridCol w:w="1170"/>
        <w:gridCol w:w="900"/>
        <w:gridCol w:w="810"/>
        <w:gridCol w:w="1980"/>
        <w:gridCol w:w="2700"/>
      </w:tblGrid>
      <w:tr w:rsidR="001A5CA1" w:rsidRPr="00720DBF" w14:paraId="2909701F" w14:textId="77777777" w:rsidTr="6F3BB0A7">
        <w:trPr>
          <w:trHeight w:val="791"/>
          <w:tblHeader/>
        </w:trPr>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52CB10FA" w14:textId="77777777" w:rsidR="001A5CA1" w:rsidRPr="00720DBF" w:rsidRDefault="001A5CA1" w:rsidP="00D66032">
            <w:pPr>
              <w:spacing w:before="40" w:after="4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Indicadores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535733EA" w14:textId="77777777" w:rsidR="001A5CA1" w:rsidRPr="00720DBF" w:rsidRDefault="001A5CA1" w:rsidP="00D66032">
            <w:pPr>
              <w:spacing w:before="40" w:after="4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Unidad de Medida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536F83D4" w14:textId="77777777" w:rsidR="001A5CA1" w:rsidRPr="00720DBF" w:rsidRDefault="001A5CA1" w:rsidP="00D66032">
            <w:pPr>
              <w:spacing w:before="40" w:after="4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 xml:space="preserve">Línea de Base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78214476" w14:textId="77777777" w:rsidR="001A5CA1" w:rsidRPr="00720DBF" w:rsidRDefault="001A5CA1" w:rsidP="00D66032">
            <w:pPr>
              <w:spacing w:before="40" w:after="4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 xml:space="preserve">Año </w:t>
            </w:r>
          </w:p>
          <w:p w14:paraId="2F4C6B03" w14:textId="77777777" w:rsidR="001A5CA1" w:rsidRPr="00720DBF" w:rsidRDefault="001A5CA1" w:rsidP="00D66032">
            <w:pPr>
              <w:spacing w:before="40" w:after="4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Línea de Base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21B22D94" w14:textId="77777777" w:rsidR="001A5CA1" w:rsidRPr="00720DBF" w:rsidRDefault="001A5CA1" w:rsidP="00D66032">
            <w:pPr>
              <w:spacing w:before="40" w:after="40" w:line="240" w:lineRule="auto"/>
              <w:jc w:val="center"/>
              <w:rPr>
                <w:rFonts w:ascii="Arial" w:hAnsi="Arial" w:cs="Arial"/>
                <w:b/>
                <w:sz w:val="20"/>
                <w:szCs w:val="20"/>
                <w:lang w:val="es-419" w:eastAsia="zh-CN"/>
              </w:rPr>
            </w:pPr>
            <w:r>
              <w:rPr>
                <w:rFonts w:ascii="Arial" w:hAnsi="Arial" w:cs="Arial"/>
                <w:b/>
                <w:sz w:val="20"/>
                <w:szCs w:val="20"/>
                <w:lang w:val="es-419" w:eastAsia="zh-CN"/>
              </w:rPr>
              <w:t>Meta final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4B8B584A" w14:textId="77777777" w:rsidR="001A5CA1" w:rsidRPr="00720DBF" w:rsidRDefault="001A5CA1" w:rsidP="00D66032">
            <w:pPr>
              <w:spacing w:before="40" w:after="40" w:line="240" w:lineRule="auto"/>
              <w:rPr>
                <w:rFonts w:ascii="Arial" w:hAnsi="Arial" w:cs="Arial"/>
                <w:b/>
                <w:sz w:val="20"/>
                <w:szCs w:val="20"/>
                <w:lang w:val="es-419" w:eastAsia="zh-CN"/>
              </w:rPr>
            </w:pPr>
            <w:r>
              <w:rPr>
                <w:rFonts w:ascii="Arial" w:hAnsi="Arial" w:cs="Arial"/>
                <w:b/>
                <w:sz w:val="20"/>
                <w:szCs w:val="20"/>
                <w:lang w:val="es-419" w:eastAsia="zh-CN"/>
              </w:rPr>
              <w:t>Año meta final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3BC6DA56" w14:textId="77777777" w:rsidR="001A5CA1" w:rsidRPr="00720DBF" w:rsidRDefault="001A5CA1" w:rsidP="00D66032">
            <w:pPr>
              <w:spacing w:before="40" w:after="4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Medios de Verificación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56B2EBB5" w14:textId="77777777" w:rsidR="001A5CA1" w:rsidRPr="00720DBF" w:rsidRDefault="001A5CA1" w:rsidP="00D66032">
            <w:pPr>
              <w:spacing w:before="40" w:after="4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Comentarios</w:t>
            </w:r>
          </w:p>
        </w:tc>
      </w:tr>
      <w:tr w:rsidR="001A5CA1" w:rsidRPr="00D66032" w14:paraId="485935E3" w14:textId="77777777" w:rsidTr="00D66032">
        <w:trPr>
          <w:trHeight w:val="521"/>
        </w:trPr>
        <w:tc>
          <w:tcPr>
            <w:tcW w:w="1349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F2848" w14:textId="77777777" w:rsidR="001A5CA1" w:rsidRPr="00720DBF" w:rsidRDefault="001A5CA1" w:rsidP="00D66032">
            <w:pPr>
              <w:spacing w:before="40" w:after="40" w:line="240" w:lineRule="auto"/>
              <w:jc w:val="both"/>
              <w:rPr>
                <w:rFonts w:ascii="Arial" w:hAnsi="Arial" w:cs="Arial"/>
                <w:sz w:val="20"/>
                <w:szCs w:val="20"/>
                <w:lang w:val="es-419" w:eastAsia="zh-CN"/>
              </w:rPr>
            </w:pPr>
            <w:r w:rsidRPr="00774445">
              <w:rPr>
                <w:rFonts w:ascii="Arial" w:hAnsi="Arial" w:cs="Arial"/>
                <w:sz w:val="20"/>
                <w:lang w:val="es-419"/>
              </w:rPr>
              <w:t xml:space="preserve">El </w:t>
            </w:r>
            <w:r w:rsidRPr="002E471B">
              <w:rPr>
                <w:rFonts w:ascii="Arial" w:hAnsi="Arial" w:cs="Arial"/>
                <w:b/>
                <w:bCs/>
                <w:sz w:val="20"/>
                <w:lang w:val="es-419"/>
              </w:rPr>
              <w:t>objetivo específico</w:t>
            </w:r>
            <w:r w:rsidRPr="00774445">
              <w:rPr>
                <w:rFonts w:ascii="Arial" w:hAnsi="Arial" w:cs="Arial"/>
                <w:sz w:val="20"/>
                <w:lang w:val="es-419"/>
              </w:rPr>
              <w:t xml:space="preserve"> es apoyar niveles mínimos de ingreso de personas afectadas por el coronavirus, en el periodo inmediato y durante la recuperación.</w:t>
            </w:r>
          </w:p>
        </w:tc>
      </w:tr>
      <w:tr w:rsidR="001A5CA1" w:rsidRPr="009D69D4" w14:paraId="1B52A6F2" w14:textId="77777777" w:rsidTr="6F3BB0A7">
        <w:trPr>
          <w:trHeight w:val="64"/>
        </w:trPr>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75163D" w14:textId="77777777" w:rsidR="001A5CA1" w:rsidRPr="008D3CEE" w:rsidRDefault="001A5CA1" w:rsidP="00D66032">
            <w:pPr>
              <w:pStyle w:val="ListParagraph"/>
              <w:spacing w:before="40" w:after="40" w:line="240" w:lineRule="auto"/>
              <w:ind w:left="0"/>
              <w:rPr>
                <w:rFonts w:ascii="Arial" w:hAnsi="Arial" w:cs="Arial"/>
                <w:sz w:val="20"/>
                <w:szCs w:val="20"/>
                <w:lang w:val="es-ES_tradnl" w:eastAsia="zh-CN"/>
              </w:rPr>
            </w:pPr>
            <w:r w:rsidRPr="008D3CEE">
              <w:rPr>
                <w:rFonts w:ascii="Arial" w:hAnsi="Arial" w:cs="Arial"/>
                <w:sz w:val="20"/>
                <w:szCs w:val="20"/>
                <w:lang w:val="es-ES_tradnl" w:eastAsia="zh-CN"/>
              </w:rPr>
              <w:t xml:space="preserve">Beneficiarios de Renta Dignidad </w:t>
            </w:r>
            <w:r>
              <w:rPr>
                <w:rFonts w:ascii="Arial" w:hAnsi="Arial" w:cs="Arial"/>
                <w:sz w:val="20"/>
                <w:szCs w:val="20"/>
                <w:lang w:val="es-ES_tradnl" w:eastAsia="zh-CN"/>
              </w:rPr>
              <w:t xml:space="preserve">(RD) </w:t>
            </w:r>
            <w:r w:rsidRPr="008D3CEE">
              <w:rPr>
                <w:rFonts w:ascii="Arial" w:hAnsi="Arial" w:cs="Arial"/>
                <w:sz w:val="20"/>
                <w:szCs w:val="20"/>
                <w:lang w:val="es-ES_tradnl" w:eastAsia="zh-CN"/>
              </w:rPr>
              <w:t>que reciben transferencias extraordinarias (Canasta Familiar) como parte de la estrategia para enfrentar los impactos de COVID-19</w:t>
            </w:r>
            <w:r>
              <w:rPr>
                <w:rFonts w:ascii="Arial" w:hAnsi="Arial" w:cs="Arial"/>
                <w:sz w:val="20"/>
                <w:szCs w:val="20"/>
                <w:lang w:val="es-ES_tradnl" w:eastAsia="zh-CN"/>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2F4A9" w14:textId="77777777" w:rsidR="001A5CA1" w:rsidRPr="00720DBF" w:rsidRDefault="001A5CA1" w:rsidP="00D66032">
            <w:pPr>
              <w:spacing w:before="40" w:after="40" w:line="240" w:lineRule="auto"/>
              <w:jc w:val="center"/>
              <w:rPr>
                <w:rFonts w:ascii="Arial" w:hAnsi="Arial" w:cs="Arial"/>
                <w:sz w:val="20"/>
                <w:szCs w:val="20"/>
                <w:lang w:val="es-419" w:eastAsia="zh-CN"/>
              </w:rPr>
            </w:pPr>
            <w:r w:rsidRPr="00720DBF">
              <w:rPr>
                <w:rFonts w:ascii="Arial" w:hAnsi="Arial" w:cs="Arial"/>
                <w:sz w:val="20"/>
                <w:szCs w:val="20"/>
                <w:lang w:val="es-419" w:eastAsia="zh-CN"/>
              </w:rPr>
              <w:t>Porcentaje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D0AA58" w14:textId="77777777" w:rsidR="001A5CA1" w:rsidRPr="00720DBF" w:rsidRDefault="001A5CA1" w:rsidP="00D66032">
            <w:pPr>
              <w:spacing w:before="40" w:after="40" w:line="240" w:lineRule="auto"/>
              <w:jc w:val="center"/>
              <w:rPr>
                <w:rFonts w:ascii="Arial" w:hAnsi="Arial" w:cs="Arial"/>
                <w:sz w:val="20"/>
                <w:szCs w:val="20"/>
                <w:lang w:val="es-419" w:eastAsia="zh-CN"/>
              </w:rPr>
            </w:pPr>
            <w:r w:rsidRPr="00720DBF">
              <w:rPr>
                <w:rFonts w:ascii="Arial" w:hAnsi="Arial" w:cs="Arial"/>
                <w:sz w:val="20"/>
                <w:szCs w:val="20"/>
                <w:lang w:val="es-419" w:eastAsia="zh-CN"/>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3DF96" w14:textId="77777777" w:rsidR="001A5CA1" w:rsidRPr="00720DBF" w:rsidRDefault="001A5CA1"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2019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4573BA" w14:textId="77777777" w:rsidR="001A5CA1" w:rsidRPr="00720DBF" w:rsidRDefault="001A5CA1"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90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5988A" w14:textId="77777777" w:rsidR="001A5CA1" w:rsidRPr="00720DBF" w:rsidRDefault="001A5CA1"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2020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9A42C" w14:textId="77777777" w:rsidR="001A5CA1" w:rsidRPr="00720DBF" w:rsidRDefault="001A5CA1" w:rsidP="00D66032">
            <w:pPr>
              <w:spacing w:before="40" w:after="40" w:line="240" w:lineRule="auto"/>
              <w:rPr>
                <w:rFonts w:ascii="Arial" w:hAnsi="Arial" w:cs="Arial"/>
                <w:sz w:val="20"/>
                <w:szCs w:val="20"/>
                <w:lang w:val="es-419" w:eastAsia="zh-CN"/>
              </w:rPr>
            </w:pPr>
            <w:r w:rsidRPr="00720DBF">
              <w:rPr>
                <w:rFonts w:ascii="Arial" w:hAnsi="Arial" w:cs="Arial"/>
                <w:sz w:val="20"/>
                <w:szCs w:val="20"/>
                <w:lang w:val="es-419" w:eastAsia="zh-CN"/>
              </w:rPr>
              <w:t xml:space="preserve">Registro de transferencias extraordinarias pagadas a la población objetivo y registros del padrón de </w:t>
            </w:r>
            <w:r>
              <w:rPr>
                <w:rFonts w:ascii="Arial" w:hAnsi="Arial" w:cs="Arial"/>
                <w:sz w:val="20"/>
                <w:szCs w:val="20"/>
                <w:lang w:val="es-419" w:eastAsia="zh-CN"/>
              </w:rPr>
              <w:t>RD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C151B" w14:textId="77777777" w:rsidR="001A5CA1" w:rsidRPr="00720DBF" w:rsidRDefault="001A5CA1" w:rsidP="00D66032">
            <w:pPr>
              <w:spacing w:before="40" w:after="40" w:line="240" w:lineRule="auto"/>
              <w:rPr>
                <w:rFonts w:ascii="Arial" w:hAnsi="Arial" w:cs="Arial"/>
                <w:sz w:val="20"/>
                <w:szCs w:val="20"/>
                <w:lang w:val="es-419" w:eastAsia="zh-CN"/>
              </w:rPr>
            </w:pPr>
            <w:r w:rsidRPr="00720DBF">
              <w:rPr>
                <w:rFonts w:ascii="Arial" w:hAnsi="Arial" w:cs="Arial"/>
                <w:sz w:val="20"/>
                <w:szCs w:val="20"/>
                <w:lang w:val="es-419" w:eastAsia="zh-CN"/>
              </w:rPr>
              <w:t xml:space="preserve">Denominador son las </w:t>
            </w:r>
            <w:r>
              <w:rPr>
                <w:rFonts w:ascii="Arial" w:hAnsi="Arial" w:cs="Arial"/>
                <w:sz w:val="20"/>
                <w:szCs w:val="20"/>
                <w:lang w:val="es-419" w:eastAsia="zh-CN"/>
              </w:rPr>
              <w:t>personas</w:t>
            </w:r>
            <w:r w:rsidRPr="00720DBF">
              <w:rPr>
                <w:rFonts w:ascii="Arial" w:hAnsi="Arial" w:cs="Arial"/>
                <w:sz w:val="20"/>
                <w:szCs w:val="20"/>
                <w:lang w:val="es-419" w:eastAsia="zh-CN"/>
              </w:rPr>
              <w:t xml:space="preserve"> que recibieron las transferencias el último period</w:t>
            </w:r>
            <w:r>
              <w:rPr>
                <w:rFonts w:ascii="Arial" w:hAnsi="Arial" w:cs="Arial"/>
                <w:sz w:val="20"/>
                <w:szCs w:val="20"/>
                <w:lang w:val="es-419" w:eastAsia="zh-CN"/>
              </w:rPr>
              <w:t>o</w:t>
            </w:r>
            <w:r w:rsidRPr="00720DBF">
              <w:rPr>
                <w:rFonts w:ascii="Arial" w:hAnsi="Arial" w:cs="Arial"/>
                <w:sz w:val="20"/>
                <w:szCs w:val="20"/>
                <w:lang w:val="es-419" w:eastAsia="zh-CN"/>
              </w:rPr>
              <w:t xml:space="preserve"> pre-COVID-19</w:t>
            </w:r>
            <w:r>
              <w:rPr>
                <w:rFonts w:ascii="Arial" w:hAnsi="Arial" w:cs="Arial"/>
                <w:sz w:val="20"/>
                <w:szCs w:val="20"/>
                <w:lang w:val="es-419" w:eastAsia="zh-CN"/>
              </w:rPr>
              <w:t xml:space="preserve"> (febrero 2020)</w:t>
            </w:r>
            <w:r w:rsidRPr="00720DBF">
              <w:rPr>
                <w:rFonts w:ascii="Arial" w:hAnsi="Arial" w:cs="Arial"/>
                <w:sz w:val="20"/>
                <w:szCs w:val="20"/>
                <w:lang w:val="es-419" w:eastAsia="zh-CN"/>
              </w:rPr>
              <w:t xml:space="preserve">; numerador transferencias </w:t>
            </w:r>
            <w:r>
              <w:rPr>
                <w:rFonts w:ascii="Arial" w:hAnsi="Arial" w:cs="Arial"/>
                <w:sz w:val="20"/>
                <w:szCs w:val="20"/>
                <w:lang w:val="es-419" w:eastAsia="zh-CN"/>
              </w:rPr>
              <w:t xml:space="preserve">Canasta Familiar </w:t>
            </w:r>
            <w:r w:rsidRPr="00720DBF">
              <w:rPr>
                <w:rFonts w:ascii="Arial" w:hAnsi="Arial" w:cs="Arial"/>
                <w:sz w:val="20"/>
                <w:szCs w:val="20"/>
                <w:lang w:val="es-419" w:eastAsia="zh-CN"/>
              </w:rPr>
              <w:t xml:space="preserve">pagadas </w:t>
            </w:r>
            <w:r>
              <w:rPr>
                <w:rFonts w:ascii="Arial" w:hAnsi="Arial" w:cs="Arial"/>
                <w:sz w:val="20"/>
                <w:szCs w:val="20"/>
                <w:lang w:val="es-419" w:eastAsia="zh-CN"/>
              </w:rPr>
              <w:t>durante la</w:t>
            </w:r>
            <w:r w:rsidRPr="00720DBF">
              <w:rPr>
                <w:rFonts w:ascii="Arial" w:hAnsi="Arial" w:cs="Arial"/>
                <w:sz w:val="20"/>
                <w:szCs w:val="20"/>
                <w:lang w:val="es-419" w:eastAsia="zh-CN"/>
              </w:rPr>
              <w:t xml:space="preserve"> respuesta a COVID-19</w:t>
            </w:r>
            <w:r>
              <w:rPr>
                <w:rFonts w:ascii="Arial" w:hAnsi="Arial" w:cs="Arial"/>
                <w:sz w:val="20"/>
                <w:szCs w:val="20"/>
                <w:lang w:val="es-419" w:eastAsia="zh-CN"/>
              </w:rPr>
              <w:t xml:space="preserve"> a esos beneficiarios. Se hará desagregación por sexo.</w:t>
            </w:r>
          </w:p>
        </w:tc>
      </w:tr>
      <w:tr w:rsidR="001A5CA1" w:rsidRPr="009D69D4" w14:paraId="200BE4A2" w14:textId="77777777" w:rsidTr="6F3BB0A7">
        <w:trPr>
          <w:trHeight w:val="64"/>
        </w:trPr>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DB483D" w14:textId="77777777" w:rsidR="001A5CA1" w:rsidRPr="008D3CEE" w:rsidRDefault="001A5CA1" w:rsidP="00D66032">
            <w:pPr>
              <w:pStyle w:val="ListParagraph"/>
              <w:spacing w:before="40" w:after="40" w:line="240" w:lineRule="auto"/>
              <w:ind w:left="0"/>
              <w:rPr>
                <w:rFonts w:ascii="Arial" w:hAnsi="Arial" w:cs="Arial"/>
                <w:sz w:val="20"/>
                <w:szCs w:val="20"/>
                <w:lang w:val="es-ES_tradnl" w:eastAsia="zh-CN"/>
              </w:rPr>
            </w:pPr>
            <w:r w:rsidRPr="008D3CEE">
              <w:rPr>
                <w:rFonts w:ascii="Arial" w:hAnsi="Arial" w:cs="Arial"/>
                <w:sz w:val="20"/>
                <w:szCs w:val="20"/>
                <w:lang w:val="es-ES_tradnl" w:eastAsia="zh-CN"/>
              </w:rPr>
              <w:t xml:space="preserve">Beneficiarios de Renta Dignidad que reciben transferencias </w:t>
            </w:r>
            <w:r>
              <w:rPr>
                <w:rFonts w:ascii="Arial" w:hAnsi="Arial" w:cs="Arial"/>
                <w:sz w:val="20"/>
                <w:szCs w:val="20"/>
                <w:lang w:val="es-ES_tradnl" w:eastAsia="zh-CN"/>
              </w:rPr>
              <w:t>regulares durante el periodo inmediato y durante la recuperación de la crisis causada por el coronavirus.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6F1A17" w14:textId="77777777" w:rsidR="001A5CA1" w:rsidRPr="00720DBF" w:rsidRDefault="001A5CA1" w:rsidP="00D66032">
            <w:pPr>
              <w:spacing w:before="40" w:after="40" w:line="240" w:lineRule="auto"/>
              <w:jc w:val="center"/>
              <w:rPr>
                <w:rFonts w:ascii="Arial" w:hAnsi="Arial" w:cs="Arial"/>
                <w:sz w:val="20"/>
                <w:szCs w:val="20"/>
                <w:lang w:val="es-419" w:eastAsia="zh-CN"/>
              </w:rPr>
            </w:pPr>
            <w:r w:rsidRPr="00720DBF">
              <w:rPr>
                <w:rFonts w:ascii="Arial" w:hAnsi="Arial" w:cs="Arial"/>
                <w:sz w:val="20"/>
                <w:szCs w:val="20"/>
                <w:lang w:val="es-419" w:eastAsia="zh-CN"/>
              </w:rPr>
              <w:t>Porcentaje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48943D" w14:textId="77777777" w:rsidR="001A5CA1" w:rsidRPr="00720DBF" w:rsidRDefault="001A5CA1"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10</w:t>
            </w:r>
            <w:r w:rsidRPr="00720DBF">
              <w:rPr>
                <w:rFonts w:ascii="Arial" w:hAnsi="Arial" w:cs="Arial"/>
                <w:sz w:val="20"/>
                <w:szCs w:val="20"/>
                <w:lang w:val="es-419" w:eastAsia="zh-CN"/>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B9E43" w14:textId="77777777" w:rsidR="001A5CA1" w:rsidRDefault="001A5CA1"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Febrero 2020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A3295C" w14:textId="77777777" w:rsidR="001A5CA1" w:rsidRDefault="001A5CA1"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95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69107" w14:textId="3792DB2F" w:rsidR="001A5CA1" w:rsidRDefault="001A5CA1" w:rsidP="00D66032">
            <w:pPr>
              <w:spacing w:before="40" w:after="40" w:line="240" w:lineRule="auto"/>
              <w:jc w:val="center"/>
              <w:rPr>
                <w:rFonts w:ascii="Arial" w:hAnsi="Arial" w:cs="Arial"/>
                <w:sz w:val="20"/>
                <w:szCs w:val="20"/>
                <w:lang w:val="es-419" w:eastAsia="zh-CN"/>
              </w:rPr>
            </w:pPr>
            <w:r w:rsidRPr="6F3BB0A7">
              <w:rPr>
                <w:rFonts w:ascii="Arial" w:hAnsi="Arial" w:cs="Arial"/>
                <w:sz w:val="20"/>
                <w:szCs w:val="20"/>
                <w:lang w:val="es-419" w:eastAsia="zh-CN"/>
              </w:rPr>
              <w:t>202</w:t>
            </w:r>
            <w:r w:rsidR="27CC9A11" w:rsidRPr="6F3BB0A7">
              <w:rPr>
                <w:rFonts w:ascii="Arial" w:hAnsi="Arial" w:cs="Arial"/>
                <w:sz w:val="20"/>
                <w:szCs w:val="20"/>
                <w:lang w:val="es-419" w:eastAsia="zh-CN"/>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694E1" w14:textId="77777777" w:rsidR="001A5CA1" w:rsidRPr="00720DBF" w:rsidRDefault="001A5CA1" w:rsidP="00D66032">
            <w:pPr>
              <w:spacing w:before="40" w:after="40" w:line="240" w:lineRule="auto"/>
              <w:rPr>
                <w:rFonts w:ascii="Arial" w:hAnsi="Arial" w:cs="Arial"/>
                <w:sz w:val="20"/>
                <w:szCs w:val="20"/>
                <w:lang w:val="es-419" w:eastAsia="zh-CN"/>
              </w:rPr>
            </w:pPr>
            <w:r w:rsidRPr="00720DBF">
              <w:rPr>
                <w:rFonts w:ascii="Arial" w:hAnsi="Arial" w:cs="Arial"/>
                <w:sz w:val="20"/>
                <w:szCs w:val="20"/>
                <w:lang w:val="es-419" w:eastAsia="zh-CN"/>
              </w:rPr>
              <w:t xml:space="preserve">Registro de transferencias pagadas a la población objetivo y registros del padrón de </w:t>
            </w:r>
            <w:r>
              <w:rPr>
                <w:rFonts w:ascii="Arial" w:hAnsi="Arial" w:cs="Arial"/>
                <w:sz w:val="20"/>
                <w:szCs w:val="20"/>
                <w:lang w:val="es-419" w:eastAsia="zh-CN"/>
              </w:rPr>
              <w:t>RD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A65B0" w14:textId="77777777" w:rsidR="001A5CA1" w:rsidRPr="00720DBF" w:rsidRDefault="001A5CA1" w:rsidP="00D66032">
            <w:pPr>
              <w:spacing w:before="40" w:after="40" w:line="240" w:lineRule="auto"/>
              <w:rPr>
                <w:rFonts w:ascii="Arial" w:hAnsi="Arial" w:cs="Arial"/>
                <w:sz w:val="20"/>
                <w:szCs w:val="20"/>
                <w:lang w:val="es-419" w:eastAsia="zh-CN"/>
              </w:rPr>
            </w:pPr>
            <w:r w:rsidRPr="00720DBF">
              <w:rPr>
                <w:rFonts w:ascii="Arial" w:hAnsi="Arial" w:cs="Arial"/>
                <w:sz w:val="20"/>
                <w:szCs w:val="20"/>
                <w:lang w:val="es-419" w:eastAsia="zh-CN"/>
              </w:rPr>
              <w:t xml:space="preserve">Denominador son las </w:t>
            </w:r>
            <w:r>
              <w:rPr>
                <w:rFonts w:ascii="Arial" w:hAnsi="Arial" w:cs="Arial"/>
                <w:sz w:val="20"/>
                <w:szCs w:val="20"/>
                <w:lang w:val="es-419" w:eastAsia="zh-CN"/>
              </w:rPr>
              <w:t>personas</w:t>
            </w:r>
            <w:r w:rsidRPr="00720DBF">
              <w:rPr>
                <w:rFonts w:ascii="Arial" w:hAnsi="Arial" w:cs="Arial"/>
                <w:sz w:val="20"/>
                <w:szCs w:val="20"/>
                <w:lang w:val="es-419" w:eastAsia="zh-CN"/>
              </w:rPr>
              <w:t xml:space="preserve"> que recibieron las transferencias el último period</w:t>
            </w:r>
            <w:r>
              <w:rPr>
                <w:rFonts w:ascii="Arial" w:hAnsi="Arial" w:cs="Arial"/>
                <w:sz w:val="20"/>
                <w:szCs w:val="20"/>
                <w:lang w:val="es-419" w:eastAsia="zh-CN"/>
              </w:rPr>
              <w:t>o</w:t>
            </w:r>
            <w:r w:rsidRPr="00720DBF">
              <w:rPr>
                <w:rFonts w:ascii="Arial" w:hAnsi="Arial" w:cs="Arial"/>
                <w:sz w:val="20"/>
                <w:szCs w:val="20"/>
                <w:lang w:val="es-419" w:eastAsia="zh-CN"/>
              </w:rPr>
              <w:t xml:space="preserve"> pre-COVID-19</w:t>
            </w:r>
            <w:r>
              <w:rPr>
                <w:rFonts w:ascii="Arial" w:hAnsi="Arial" w:cs="Arial"/>
                <w:sz w:val="20"/>
                <w:szCs w:val="20"/>
                <w:lang w:val="es-419" w:eastAsia="zh-CN"/>
              </w:rPr>
              <w:t xml:space="preserve"> (febrero 2020)</w:t>
            </w:r>
            <w:r w:rsidRPr="00720DBF">
              <w:rPr>
                <w:rFonts w:ascii="Arial" w:hAnsi="Arial" w:cs="Arial"/>
                <w:sz w:val="20"/>
                <w:szCs w:val="20"/>
                <w:lang w:val="es-419" w:eastAsia="zh-CN"/>
              </w:rPr>
              <w:t xml:space="preserve">; numerador transferencias </w:t>
            </w:r>
            <w:r>
              <w:rPr>
                <w:rFonts w:ascii="Arial" w:hAnsi="Arial" w:cs="Arial"/>
                <w:sz w:val="20"/>
                <w:szCs w:val="20"/>
                <w:lang w:val="es-419" w:eastAsia="zh-CN"/>
              </w:rPr>
              <w:t xml:space="preserve">RD </w:t>
            </w:r>
            <w:r w:rsidRPr="00720DBF">
              <w:rPr>
                <w:rFonts w:ascii="Arial" w:hAnsi="Arial" w:cs="Arial"/>
                <w:sz w:val="20"/>
                <w:szCs w:val="20"/>
                <w:lang w:val="es-419" w:eastAsia="zh-CN"/>
              </w:rPr>
              <w:t xml:space="preserve">pagadas </w:t>
            </w:r>
            <w:r>
              <w:rPr>
                <w:rFonts w:ascii="Arial" w:hAnsi="Arial" w:cs="Arial"/>
                <w:sz w:val="20"/>
                <w:szCs w:val="20"/>
                <w:lang w:val="es-419" w:eastAsia="zh-CN"/>
              </w:rPr>
              <w:t>durante la</w:t>
            </w:r>
            <w:r w:rsidRPr="00720DBF">
              <w:rPr>
                <w:rFonts w:ascii="Arial" w:hAnsi="Arial" w:cs="Arial"/>
                <w:sz w:val="20"/>
                <w:szCs w:val="20"/>
                <w:lang w:val="es-419" w:eastAsia="zh-CN"/>
              </w:rPr>
              <w:t xml:space="preserve"> respuesta </w:t>
            </w:r>
            <w:r>
              <w:rPr>
                <w:rFonts w:ascii="Arial" w:hAnsi="Arial" w:cs="Arial"/>
                <w:sz w:val="20"/>
                <w:szCs w:val="20"/>
                <w:lang w:val="es-419" w:eastAsia="zh-CN"/>
              </w:rPr>
              <w:t xml:space="preserve">y recuperación </w:t>
            </w:r>
            <w:r w:rsidRPr="00720DBF">
              <w:rPr>
                <w:rFonts w:ascii="Arial" w:hAnsi="Arial" w:cs="Arial"/>
                <w:sz w:val="20"/>
                <w:szCs w:val="20"/>
                <w:lang w:val="es-419" w:eastAsia="zh-CN"/>
              </w:rPr>
              <w:t>a COVID-19</w:t>
            </w:r>
            <w:r>
              <w:rPr>
                <w:rFonts w:ascii="Arial" w:hAnsi="Arial" w:cs="Arial"/>
                <w:sz w:val="20"/>
                <w:szCs w:val="20"/>
                <w:lang w:val="es-419" w:eastAsia="zh-CN"/>
              </w:rPr>
              <w:t xml:space="preserve"> a esos beneficiarios. Se especificarán los cuatro meses que serán analizados </w:t>
            </w:r>
            <w:r w:rsidRPr="002E471B">
              <w:rPr>
                <w:rFonts w:ascii="Arial" w:hAnsi="Arial" w:cs="Arial"/>
                <w:sz w:val="20"/>
                <w:szCs w:val="20"/>
                <w:lang w:val="es-419" w:eastAsia="zh-CN"/>
              </w:rPr>
              <w:t xml:space="preserve">al inicio de la ejecución. </w:t>
            </w:r>
            <w:r w:rsidRPr="002E471B">
              <w:rPr>
                <w:rFonts w:ascii="Arial" w:hAnsi="Arial" w:cs="Arial"/>
                <w:color w:val="000000"/>
                <w:sz w:val="20"/>
                <w:szCs w:val="20"/>
                <w:lang w:val="es-ES_tradnl"/>
              </w:rPr>
              <w:t>La meta no es 100% debido a posibles complicaciones en ir a cobrar los pagos.</w:t>
            </w:r>
            <w:r>
              <w:rPr>
                <w:rFonts w:ascii="Arial" w:hAnsi="Arial" w:cs="Arial"/>
                <w:color w:val="000000"/>
                <w:sz w:val="20"/>
                <w:szCs w:val="20"/>
                <w:lang w:val="es-ES_tradnl"/>
              </w:rPr>
              <w:t xml:space="preserve"> Se hará desagregación por sexo</w:t>
            </w:r>
          </w:p>
        </w:tc>
      </w:tr>
      <w:tr w:rsidR="001A5CA1" w:rsidRPr="00D66032" w14:paraId="2E7F0798" w14:textId="77777777" w:rsidTr="6F3BB0A7">
        <w:trPr>
          <w:trHeight w:val="64"/>
        </w:trPr>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EF093" w14:textId="77777777" w:rsidR="001A5CA1" w:rsidRPr="00F216E0" w:rsidRDefault="001A5CA1" w:rsidP="00D66032">
            <w:pPr>
              <w:pStyle w:val="ListParagraph"/>
              <w:spacing w:before="40" w:after="40" w:line="240" w:lineRule="auto"/>
              <w:ind w:left="0"/>
              <w:rPr>
                <w:rFonts w:ascii="Arial" w:hAnsi="Arial" w:cs="Arial"/>
                <w:sz w:val="20"/>
                <w:szCs w:val="20"/>
                <w:lang w:val="es-ES_tradnl" w:eastAsia="zh-CN"/>
              </w:rPr>
            </w:pPr>
            <w:r>
              <w:rPr>
                <w:rFonts w:ascii="Arial" w:hAnsi="Arial" w:cs="Arial"/>
                <w:sz w:val="20"/>
                <w:szCs w:val="20"/>
                <w:lang w:val="es-419" w:eastAsia="zh-CN"/>
              </w:rPr>
              <w:t xml:space="preserve">Familias </w:t>
            </w:r>
            <w:r w:rsidRPr="00F839D6">
              <w:rPr>
                <w:rFonts w:ascii="Arial" w:hAnsi="Arial" w:cs="Arial"/>
                <w:sz w:val="20"/>
                <w:szCs w:val="20"/>
                <w:lang w:val="es-419" w:eastAsia="zh-CN"/>
              </w:rPr>
              <w:t>con consumo inferior a BOB 120/mes</w:t>
            </w:r>
            <w:r>
              <w:rPr>
                <w:rFonts w:ascii="Arial" w:hAnsi="Arial" w:cs="Arial"/>
                <w:sz w:val="20"/>
                <w:szCs w:val="20"/>
                <w:lang w:val="es-419" w:eastAsia="zh-CN"/>
              </w:rPr>
              <w:t xml:space="preserve"> que reciben apoyos como créditos en su cuenta de electricidad asociados a COVID-19.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6FE317" w14:textId="77777777" w:rsidR="001A5CA1" w:rsidRPr="00720DBF" w:rsidRDefault="001A5CA1"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Porcentaje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798DE" w14:textId="77777777" w:rsidR="001A5CA1" w:rsidRPr="00720DBF" w:rsidRDefault="001A5CA1"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026E6" w14:textId="77777777" w:rsidR="001A5CA1" w:rsidRPr="00720DBF" w:rsidRDefault="001A5CA1"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2019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1213B" w14:textId="77777777" w:rsidR="001A5CA1" w:rsidRPr="00720DBF" w:rsidRDefault="001A5CA1"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95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4A428" w14:textId="77777777" w:rsidR="001A5CA1" w:rsidRPr="00720DBF" w:rsidRDefault="001A5CA1" w:rsidP="00D66032">
            <w:pPr>
              <w:spacing w:before="40" w:after="40" w:line="240" w:lineRule="auto"/>
              <w:jc w:val="center"/>
              <w:rPr>
                <w:rFonts w:ascii="Arial" w:hAnsi="Arial" w:cs="Arial"/>
                <w:sz w:val="20"/>
                <w:szCs w:val="20"/>
                <w:lang w:val="es-419" w:eastAsia="zh-CN"/>
              </w:rPr>
            </w:pPr>
            <w:r>
              <w:rPr>
                <w:rFonts w:ascii="Arial" w:hAnsi="Arial" w:cs="Arial"/>
                <w:sz w:val="20"/>
                <w:szCs w:val="20"/>
                <w:lang w:val="es-419" w:eastAsia="zh-CN"/>
              </w:rPr>
              <w:t>2020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BA7690" w14:textId="77777777" w:rsidR="001A5CA1" w:rsidRPr="006C1BD3" w:rsidRDefault="001A5CA1" w:rsidP="00D66032">
            <w:pPr>
              <w:spacing w:before="40" w:after="40" w:line="240" w:lineRule="auto"/>
              <w:rPr>
                <w:rFonts w:ascii="Arial" w:hAnsi="Arial" w:cs="Arial"/>
                <w:bCs/>
                <w:sz w:val="20"/>
                <w:szCs w:val="20"/>
                <w:lang w:val="es-419" w:eastAsia="zh-CN"/>
              </w:rPr>
            </w:pPr>
            <w:r w:rsidRPr="006C1BD3">
              <w:rPr>
                <w:rFonts w:ascii="Arial" w:hAnsi="Arial" w:cs="Arial"/>
                <w:bCs/>
                <w:sz w:val="20"/>
                <w:szCs w:val="20"/>
                <w:lang w:val="es-419" w:eastAsia="zh-CN"/>
              </w:rPr>
              <w:t>Registros de la AETN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33899" w14:textId="77777777" w:rsidR="001A5CA1" w:rsidRPr="00720DBF" w:rsidRDefault="001A5CA1" w:rsidP="00D66032">
            <w:pPr>
              <w:spacing w:before="40" w:after="40" w:line="240" w:lineRule="auto"/>
              <w:rPr>
                <w:rFonts w:ascii="Arial" w:hAnsi="Arial" w:cs="Arial"/>
                <w:sz w:val="20"/>
                <w:szCs w:val="20"/>
                <w:lang w:val="es-419" w:eastAsia="zh-CN"/>
              </w:rPr>
            </w:pPr>
            <w:r>
              <w:rPr>
                <w:rFonts w:ascii="Arial" w:hAnsi="Arial" w:cs="Arial"/>
                <w:sz w:val="20"/>
                <w:szCs w:val="20"/>
                <w:lang w:val="es-419" w:eastAsia="zh-CN"/>
              </w:rPr>
              <w:t>Se refiera a las cuentas de electricidad elegibles para el subsidio asociado a la respuesta a COVID-19.</w:t>
            </w:r>
          </w:p>
        </w:tc>
      </w:tr>
    </w:tbl>
    <w:p w14:paraId="46D5804B" w14:textId="5283AE81" w:rsidR="00B90EE0" w:rsidRPr="00071C8C" w:rsidRDefault="00B90EE0" w:rsidP="004964DC">
      <w:pPr>
        <w:spacing w:after="0" w:line="288" w:lineRule="auto"/>
        <w:ind w:left="1080" w:hanging="1166"/>
        <w:jc w:val="center"/>
        <w:rPr>
          <w:rFonts w:ascii="Arial" w:hAnsi="Arial" w:cs="Arial"/>
          <w:sz w:val="20"/>
          <w:szCs w:val="20"/>
          <w:lang w:val="es-ES_tradnl"/>
        </w:rPr>
      </w:pPr>
      <w:r w:rsidRPr="00071C8C">
        <w:rPr>
          <w:rFonts w:ascii="Arial" w:hAnsi="Arial" w:cs="Arial"/>
          <w:sz w:val="20"/>
          <w:szCs w:val="20"/>
          <w:lang w:val="es-ES_tradnl"/>
        </w:rPr>
        <w:lastRenderedPageBreak/>
        <w:t>Tabl</w:t>
      </w:r>
      <w:r w:rsidR="002E0AD4" w:rsidRPr="00071C8C">
        <w:rPr>
          <w:rFonts w:ascii="Arial" w:hAnsi="Arial" w:cs="Arial"/>
          <w:sz w:val="20"/>
          <w:szCs w:val="20"/>
          <w:lang w:val="es-ES_tradnl"/>
        </w:rPr>
        <w:t>a 2</w:t>
      </w:r>
    </w:p>
    <w:p w14:paraId="1976507C" w14:textId="419C91B6" w:rsidR="00D71D04" w:rsidRPr="00584AF5" w:rsidRDefault="002E0AD4" w:rsidP="004964DC">
      <w:pPr>
        <w:spacing w:after="0" w:line="288" w:lineRule="auto"/>
        <w:ind w:left="1080" w:hanging="1166"/>
        <w:jc w:val="center"/>
        <w:rPr>
          <w:rFonts w:ascii="Arial" w:hAnsi="Arial" w:cs="Arial"/>
          <w:b/>
          <w:bCs/>
          <w:sz w:val="20"/>
          <w:szCs w:val="20"/>
          <w:lang w:val="es-ES_tradnl"/>
        </w:rPr>
      </w:pPr>
      <w:r w:rsidRPr="00584AF5">
        <w:rPr>
          <w:rFonts w:ascii="Arial" w:hAnsi="Arial" w:cs="Arial"/>
          <w:b/>
          <w:bCs/>
          <w:sz w:val="20"/>
          <w:szCs w:val="20"/>
          <w:lang w:val="es-ES_tradnl"/>
        </w:rPr>
        <w:t>Indicadores de Producto</w:t>
      </w:r>
    </w:p>
    <w:p w14:paraId="49D43CE0" w14:textId="72227411" w:rsidR="001E2CB9" w:rsidRDefault="001E2CB9" w:rsidP="001E2CB9">
      <w:pPr>
        <w:keepNext/>
        <w:jc w:val="center"/>
        <w:rPr>
          <w:rFonts w:ascii="Arial" w:hAnsi="Arial" w:cs="Arial"/>
          <w:b/>
          <w:bCs/>
          <w:smallCaps/>
          <w:color w:val="000000"/>
          <w:sz w:val="20"/>
          <w:szCs w:val="20"/>
          <w:lang w:val="es-419"/>
        </w:rPr>
      </w:pPr>
      <w:r w:rsidRPr="00584AF5">
        <w:rPr>
          <w:rFonts w:ascii="Arial" w:hAnsi="Arial" w:cs="Arial"/>
          <w:b/>
          <w:bCs/>
          <w:smallCaps/>
          <w:color w:val="000000"/>
          <w:sz w:val="20"/>
          <w:szCs w:val="20"/>
          <w:lang w:val="es-419"/>
        </w:rPr>
        <w:t>Productos</w:t>
      </w:r>
    </w:p>
    <w:tbl>
      <w:tblPr>
        <w:tblW w:w="1404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80"/>
        <w:gridCol w:w="1530"/>
        <w:gridCol w:w="990"/>
        <w:gridCol w:w="900"/>
        <w:gridCol w:w="1170"/>
        <w:gridCol w:w="1170"/>
        <w:gridCol w:w="1170"/>
        <w:gridCol w:w="1620"/>
        <w:gridCol w:w="2612"/>
      </w:tblGrid>
      <w:tr w:rsidR="00092A4B" w:rsidRPr="00720DBF" w14:paraId="497DF44D" w14:textId="77777777" w:rsidTr="00272482">
        <w:trPr>
          <w:trHeight w:val="1070"/>
          <w:tblHeader/>
        </w:trPr>
        <w:tc>
          <w:tcPr>
            <w:tcW w:w="2880" w:type="dxa"/>
            <w:shd w:val="clear" w:color="auto" w:fill="8DB3E2" w:themeFill="text2" w:themeFillTint="66"/>
            <w:vAlign w:val="center"/>
            <w:hideMark/>
          </w:tcPr>
          <w:p w14:paraId="06595767" w14:textId="77777777" w:rsidR="00092A4B" w:rsidRPr="00720DBF" w:rsidRDefault="00092A4B" w:rsidP="00272482">
            <w:pPr>
              <w:spacing w:after="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Productos</w:t>
            </w:r>
          </w:p>
        </w:tc>
        <w:tc>
          <w:tcPr>
            <w:tcW w:w="1530" w:type="dxa"/>
            <w:shd w:val="clear" w:color="auto" w:fill="8DB3E2" w:themeFill="text2" w:themeFillTint="66"/>
            <w:vAlign w:val="center"/>
            <w:hideMark/>
          </w:tcPr>
          <w:p w14:paraId="2C7ABEF2" w14:textId="77777777" w:rsidR="00092A4B" w:rsidRPr="00720DBF" w:rsidRDefault="00092A4B" w:rsidP="00272482">
            <w:pPr>
              <w:spacing w:after="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Unidad de Medida</w:t>
            </w:r>
          </w:p>
        </w:tc>
        <w:tc>
          <w:tcPr>
            <w:tcW w:w="990" w:type="dxa"/>
            <w:shd w:val="clear" w:color="auto" w:fill="8DB3E2" w:themeFill="text2" w:themeFillTint="66"/>
            <w:vAlign w:val="center"/>
            <w:hideMark/>
          </w:tcPr>
          <w:p w14:paraId="7BFC0A0D" w14:textId="77777777" w:rsidR="00092A4B" w:rsidRPr="00720DBF" w:rsidRDefault="00092A4B" w:rsidP="00272482">
            <w:pPr>
              <w:spacing w:after="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 xml:space="preserve">Línea de Base </w:t>
            </w:r>
          </w:p>
        </w:tc>
        <w:tc>
          <w:tcPr>
            <w:tcW w:w="900" w:type="dxa"/>
            <w:shd w:val="clear" w:color="auto" w:fill="8DB3E2" w:themeFill="text2" w:themeFillTint="66"/>
            <w:vAlign w:val="center"/>
            <w:hideMark/>
          </w:tcPr>
          <w:p w14:paraId="0F1A8126" w14:textId="77777777" w:rsidR="00092A4B" w:rsidRPr="00720DBF" w:rsidRDefault="00092A4B" w:rsidP="00272482">
            <w:pPr>
              <w:spacing w:after="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 xml:space="preserve">Año </w:t>
            </w:r>
          </w:p>
          <w:p w14:paraId="06D93BFE" w14:textId="77777777" w:rsidR="00092A4B" w:rsidRPr="00720DBF" w:rsidRDefault="00092A4B" w:rsidP="00272482">
            <w:pPr>
              <w:spacing w:after="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Línea de Base</w:t>
            </w:r>
          </w:p>
        </w:tc>
        <w:tc>
          <w:tcPr>
            <w:tcW w:w="1170" w:type="dxa"/>
            <w:shd w:val="clear" w:color="auto" w:fill="8DB3E2" w:themeFill="text2" w:themeFillTint="66"/>
            <w:vAlign w:val="center"/>
            <w:hideMark/>
          </w:tcPr>
          <w:p w14:paraId="56DF20B1" w14:textId="1786CAC9" w:rsidR="00092A4B" w:rsidRPr="00720DBF" w:rsidRDefault="004B17E7" w:rsidP="00272482">
            <w:pPr>
              <w:spacing w:after="0" w:line="240" w:lineRule="auto"/>
              <w:jc w:val="center"/>
              <w:rPr>
                <w:rFonts w:ascii="Arial" w:hAnsi="Arial" w:cs="Arial"/>
                <w:b/>
                <w:sz w:val="20"/>
                <w:szCs w:val="20"/>
                <w:lang w:val="es-419" w:eastAsia="zh-CN"/>
              </w:rPr>
            </w:pPr>
            <w:r>
              <w:rPr>
                <w:rFonts w:ascii="Arial" w:hAnsi="Arial" w:cs="Arial"/>
                <w:b/>
                <w:sz w:val="20"/>
                <w:szCs w:val="20"/>
                <w:lang w:val="es-419" w:eastAsia="zh-CN"/>
              </w:rPr>
              <w:t>2020</w:t>
            </w:r>
          </w:p>
        </w:tc>
        <w:tc>
          <w:tcPr>
            <w:tcW w:w="1170" w:type="dxa"/>
            <w:shd w:val="clear" w:color="auto" w:fill="8DB3E2" w:themeFill="text2" w:themeFillTint="66"/>
            <w:vAlign w:val="center"/>
          </w:tcPr>
          <w:p w14:paraId="48F60097" w14:textId="739C0B88" w:rsidR="00092A4B" w:rsidRPr="00720DBF" w:rsidRDefault="004B17E7" w:rsidP="00272482">
            <w:pPr>
              <w:spacing w:after="0" w:line="240" w:lineRule="auto"/>
              <w:jc w:val="center"/>
              <w:rPr>
                <w:rFonts w:ascii="Arial" w:hAnsi="Arial" w:cs="Arial"/>
                <w:b/>
                <w:sz w:val="20"/>
                <w:szCs w:val="20"/>
                <w:lang w:val="es-419" w:eastAsia="zh-CN"/>
              </w:rPr>
            </w:pPr>
            <w:r>
              <w:rPr>
                <w:rFonts w:ascii="Arial" w:hAnsi="Arial" w:cs="Arial"/>
                <w:b/>
                <w:sz w:val="20"/>
                <w:szCs w:val="20"/>
                <w:lang w:val="es-419" w:eastAsia="zh-CN"/>
              </w:rPr>
              <w:t>2021</w:t>
            </w:r>
          </w:p>
        </w:tc>
        <w:tc>
          <w:tcPr>
            <w:tcW w:w="1170" w:type="dxa"/>
            <w:shd w:val="clear" w:color="auto" w:fill="8DB3E2" w:themeFill="text2" w:themeFillTint="66"/>
            <w:vAlign w:val="center"/>
            <w:hideMark/>
          </w:tcPr>
          <w:p w14:paraId="208175FA" w14:textId="77777777" w:rsidR="00092A4B" w:rsidRPr="00720DBF" w:rsidRDefault="00092A4B" w:rsidP="00272482">
            <w:pPr>
              <w:spacing w:after="0" w:line="240" w:lineRule="auto"/>
              <w:rPr>
                <w:rFonts w:ascii="Arial" w:hAnsi="Arial" w:cs="Arial"/>
                <w:b/>
                <w:sz w:val="20"/>
                <w:szCs w:val="20"/>
                <w:lang w:val="es-419" w:eastAsia="zh-CN"/>
              </w:rPr>
            </w:pPr>
            <w:r w:rsidRPr="00720DBF">
              <w:rPr>
                <w:rFonts w:ascii="Arial" w:hAnsi="Arial" w:cs="Arial"/>
                <w:b/>
                <w:sz w:val="20"/>
                <w:szCs w:val="20"/>
                <w:lang w:val="es-419" w:eastAsia="zh-CN"/>
              </w:rPr>
              <w:t>Meta Final</w:t>
            </w:r>
          </w:p>
        </w:tc>
        <w:tc>
          <w:tcPr>
            <w:tcW w:w="1620" w:type="dxa"/>
            <w:shd w:val="clear" w:color="auto" w:fill="8DB3E2" w:themeFill="text2" w:themeFillTint="66"/>
            <w:vAlign w:val="center"/>
            <w:hideMark/>
          </w:tcPr>
          <w:p w14:paraId="2197B87C" w14:textId="77777777" w:rsidR="00092A4B" w:rsidRPr="00720DBF" w:rsidRDefault="00092A4B" w:rsidP="00272482">
            <w:pPr>
              <w:spacing w:after="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Medios de Verificación</w:t>
            </w:r>
          </w:p>
        </w:tc>
        <w:tc>
          <w:tcPr>
            <w:tcW w:w="2612" w:type="dxa"/>
            <w:shd w:val="clear" w:color="auto" w:fill="8DB3E2" w:themeFill="text2" w:themeFillTint="66"/>
            <w:vAlign w:val="center"/>
            <w:hideMark/>
          </w:tcPr>
          <w:p w14:paraId="548D3D85" w14:textId="77777777" w:rsidR="00092A4B" w:rsidRPr="00720DBF" w:rsidRDefault="00092A4B" w:rsidP="00272482">
            <w:pPr>
              <w:spacing w:after="0" w:line="240" w:lineRule="auto"/>
              <w:jc w:val="center"/>
              <w:rPr>
                <w:rFonts w:ascii="Arial" w:hAnsi="Arial" w:cs="Arial"/>
                <w:b/>
                <w:sz w:val="20"/>
                <w:szCs w:val="20"/>
                <w:lang w:val="es-419" w:eastAsia="zh-CN"/>
              </w:rPr>
            </w:pPr>
            <w:r w:rsidRPr="00720DBF">
              <w:rPr>
                <w:rFonts w:ascii="Arial" w:hAnsi="Arial" w:cs="Arial"/>
                <w:b/>
                <w:sz w:val="20"/>
                <w:szCs w:val="20"/>
                <w:lang w:val="es-419" w:eastAsia="zh-CN"/>
              </w:rPr>
              <w:t>Comentarios</w:t>
            </w:r>
          </w:p>
        </w:tc>
      </w:tr>
      <w:tr w:rsidR="00092A4B" w:rsidRPr="00D66032" w14:paraId="5126CCB0" w14:textId="77777777" w:rsidTr="00272482">
        <w:trPr>
          <w:trHeight w:val="64"/>
        </w:trPr>
        <w:tc>
          <w:tcPr>
            <w:tcW w:w="14042" w:type="dxa"/>
            <w:gridSpan w:val="9"/>
            <w:shd w:val="clear" w:color="auto" w:fill="D9D9D9" w:themeFill="background1" w:themeFillShade="D9"/>
          </w:tcPr>
          <w:p w14:paraId="001217C7" w14:textId="77777777" w:rsidR="00092A4B" w:rsidRPr="00BF5E42" w:rsidRDefault="00092A4B" w:rsidP="00272482">
            <w:pPr>
              <w:spacing w:before="120" w:after="120" w:line="240" w:lineRule="auto"/>
              <w:rPr>
                <w:rFonts w:ascii="Arial" w:hAnsi="Arial" w:cs="Arial"/>
                <w:b/>
                <w:bCs/>
                <w:sz w:val="20"/>
                <w:szCs w:val="20"/>
                <w:lang w:val="es-419" w:eastAsia="zh-CN"/>
              </w:rPr>
            </w:pPr>
            <w:r w:rsidRPr="00BF5E42">
              <w:rPr>
                <w:rFonts w:ascii="Arial" w:hAnsi="Arial" w:cs="Arial"/>
                <w:b/>
                <w:bCs/>
                <w:sz w:val="20"/>
                <w:szCs w:val="20"/>
                <w:lang w:val="es-419" w:eastAsia="zh-CN"/>
              </w:rPr>
              <w:t>Subcomponente 1.1. Protección de poblaciones vulnerables mediante el uso de programas de transferencias monetarias existentes</w:t>
            </w:r>
          </w:p>
        </w:tc>
      </w:tr>
      <w:tr w:rsidR="00092A4B" w:rsidRPr="002B35C9" w14:paraId="21850DAF" w14:textId="77777777" w:rsidTr="00272482">
        <w:trPr>
          <w:trHeight w:val="64"/>
        </w:trPr>
        <w:tc>
          <w:tcPr>
            <w:tcW w:w="2880" w:type="dxa"/>
            <w:vAlign w:val="center"/>
            <w:hideMark/>
          </w:tcPr>
          <w:p w14:paraId="588759E6" w14:textId="77777777" w:rsidR="00092A4B" w:rsidRPr="00BF5E42" w:rsidRDefault="00092A4B" w:rsidP="00272482">
            <w:pPr>
              <w:pStyle w:val="ListParagraph"/>
              <w:spacing w:after="0" w:line="240" w:lineRule="auto"/>
              <w:ind w:left="0"/>
              <w:rPr>
                <w:rFonts w:ascii="Arial" w:hAnsi="Arial" w:cs="Arial"/>
                <w:sz w:val="20"/>
                <w:szCs w:val="20"/>
                <w:lang w:val="es-419" w:eastAsia="zh-CN"/>
              </w:rPr>
            </w:pPr>
            <w:r w:rsidRPr="00BF5E42">
              <w:rPr>
                <w:rFonts w:ascii="Arial" w:hAnsi="Arial" w:cs="Arial"/>
                <w:sz w:val="20"/>
                <w:szCs w:val="20"/>
                <w:lang w:val="es-419" w:eastAsia="zh-CN"/>
              </w:rPr>
              <w:t>Personas beneficiarias de Renta Dignidad que reciben transferencias extraordinarias (Canasta Familiar)</w:t>
            </w:r>
            <w:r>
              <w:rPr>
                <w:rFonts w:ascii="Arial" w:hAnsi="Arial" w:cs="Arial"/>
                <w:sz w:val="20"/>
                <w:szCs w:val="20"/>
                <w:lang w:val="es-419" w:eastAsia="zh-CN"/>
              </w:rPr>
              <w:t>.</w:t>
            </w:r>
          </w:p>
        </w:tc>
        <w:tc>
          <w:tcPr>
            <w:tcW w:w="1530" w:type="dxa"/>
            <w:vAlign w:val="center"/>
          </w:tcPr>
          <w:p w14:paraId="5B90AB7D" w14:textId="77777777" w:rsidR="00092A4B" w:rsidRPr="00BF5E42" w:rsidRDefault="00092A4B" w:rsidP="00272482">
            <w:pPr>
              <w:spacing w:after="0" w:line="240" w:lineRule="auto"/>
              <w:jc w:val="center"/>
              <w:rPr>
                <w:rFonts w:ascii="Arial" w:hAnsi="Arial" w:cs="Arial"/>
                <w:sz w:val="20"/>
                <w:szCs w:val="20"/>
                <w:lang w:val="es-419" w:eastAsia="zh-CN"/>
              </w:rPr>
            </w:pPr>
            <w:r w:rsidRPr="00BF5E42">
              <w:rPr>
                <w:rFonts w:ascii="Arial" w:hAnsi="Arial" w:cs="Arial"/>
                <w:sz w:val="20"/>
                <w:szCs w:val="20"/>
                <w:lang w:val="es-419" w:eastAsia="zh-CN"/>
              </w:rPr>
              <w:t>Personas</w:t>
            </w:r>
          </w:p>
        </w:tc>
        <w:tc>
          <w:tcPr>
            <w:tcW w:w="990" w:type="dxa"/>
            <w:vAlign w:val="center"/>
          </w:tcPr>
          <w:p w14:paraId="580FB991" w14:textId="77777777" w:rsidR="00092A4B" w:rsidRPr="00720DBF" w:rsidRDefault="00092A4B" w:rsidP="00272482">
            <w:pPr>
              <w:spacing w:after="0" w:line="240" w:lineRule="auto"/>
              <w:jc w:val="center"/>
              <w:rPr>
                <w:rFonts w:ascii="Arial" w:hAnsi="Arial" w:cs="Arial"/>
                <w:sz w:val="20"/>
                <w:szCs w:val="20"/>
                <w:lang w:val="es-419" w:eastAsia="zh-CN"/>
              </w:rPr>
            </w:pPr>
            <w:r>
              <w:rPr>
                <w:rFonts w:ascii="Arial" w:hAnsi="Arial" w:cs="Arial"/>
                <w:sz w:val="20"/>
                <w:szCs w:val="20"/>
                <w:lang w:val="es-419" w:eastAsia="zh-CN"/>
              </w:rPr>
              <w:t>0</w:t>
            </w:r>
          </w:p>
        </w:tc>
        <w:tc>
          <w:tcPr>
            <w:tcW w:w="900" w:type="dxa"/>
            <w:vAlign w:val="center"/>
          </w:tcPr>
          <w:p w14:paraId="6E4EE3BD" w14:textId="77777777" w:rsidR="00092A4B" w:rsidRPr="00720DBF" w:rsidRDefault="00092A4B" w:rsidP="00272482">
            <w:pPr>
              <w:spacing w:after="0" w:line="240" w:lineRule="auto"/>
              <w:jc w:val="center"/>
              <w:rPr>
                <w:rFonts w:ascii="Arial" w:hAnsi="Arial" w:cs="Arial"/>
                <w:sz w:val="20"/>
                <w:szCs w:val="20"/>
                <w:lang w:val="es-419" w:eastAsia="zh-CN"/>
              </w:rPr>
            </w:pPr>
            <w:r>
              <w:rPr>
                <w:rFonts w:ascii="Arial" w:hAnsi="Arial" w:cs="Arial"/>
                <w:sz w:val="20"/>
                <w:szCs w:val="20"/>
                <w:lang w:val="es-419" w:eastAsia="zh-CN"/>
              </w:rPr>
              <w:t>2019</w:t>
            </w:r>
          </w:p>
        </w:tc>
        <w:tc>
          <w:tcPr>
            <w:tcW w:w="1170" w:type="dxa"/>
            <w:vAlign w:val="center"/>
          </w:tcPr>
          <w:p w14:paraId="6383B15C" w14:textId="77777777" w:rsidR="00092A4B" w:rsidRPr="00720DBF" w:rsidRDefault="00092A4B" w:rsidP="00272482">
            <w:pPr>
              <w:spacing w:after="0" w:line="240" w:lineRule="auto"/>
              <w:jc w:val="center"/>
              <w:rPr>
                <w:rFonts w:ascii="Arial" w:hAnsi="Arial" w:cs="Arial"/>
                <w:sz w:val="20"/>
                <w:szCs w:val="20"/>
                <w:lang w:val="es-419" w:eastAsia="zh-CN"/>
              </w:rPr>
            </w:pPr>
            <w:r>
              <w:rPr>
                <w:rFonts w:ascii="Arial" w:hAnsi="Arial" w:cs="Arial"/>
                <w:sz w:val="20"/>
                <w:szCs w:val="20"/>
                <w:lang w:val="es-419" w:eastAsia="zh-CN"/>
              </w:rPr>
              <w:t>745.000</w:t>
            </w:r>
          </w:p>
        </w:tc>
        <w:tc>
          <w:tcPr>
            <w:tcW w:w="1170" w:type="dxa"/>
          </w:tcPr>
          <w:p w14:paraId="4E37FF3F" w14:textId="77777777" w:rsidR="00092A4B" w:rsidRDefault="00092A4B" w:rsidP="00272482">
            <w:pPr>
              <w:spacing w:after="0"/>
              <w:jc w:val="center"/>
              <w:rPr>
                <w:rFonts w:ascii="Arial" w:hAnsi="Arial" w:cs="Arial"/>
                <w:sz w:val="20"/>
                <w:szCs w:val="20"/>
                <w:lang w:val="es-419" w:eastAsia="zh-CN"/>
              </w:rPr>
            </w:pPr>
          </w:p>
          <w:p w14:paraId="5547F225" w14:textId="77777777" w:rsidR="00092A4B" w:rsidRDefault="00092A4B" w:rsidP="00272482">
            <w:pPr>
              <w:spacing w:after="0"/>
              <w:jc w:val="center"/>
              <w:rPr>
                <w:rFonts w:ascii="Arial" w:hAnsi="Arial" w:cs="Arial"/>
                <w:sz w:val="20"/>
                <w:szCs w:val="20"/>
                <w:lang w:val="es-419" w:eastAsia="zh-CN"/>
              </w:rPr>
            </w:pPr>
          </w:p>
          <w:p w14:paraId="4421629D" w14:textId="77777777" w:rsidR="00092A4B" w:rsidRDefault="00092A4B" w:rsidP="00272482">
            <w:pPr>
              <w:spacing w:after="0"/>
              <w:jc w:val="center"/>
              <w:rPr>
                <w:rFonts w:ascii="Arial" w:hAnsi="Arial" w:cs="Arial"/>
                <w:sz w:val="20"/>
                <w:szCs w:val="20"/>
                <w:lang w:val="es-419" w:eastAsia="zh-CN"/>
              </w:rPr>
            </w:pPr>
            <w:r>
              <w:rPr>
                <w:rFonts w:ascii="Arial" w:hAnsi="Arial" w:cs="Arial"/>
                <w:sz w:val="20"/>
                <w:szCs w:val="20"/>
                <w:lang w:val="es-419" w:eastAsia="zh-CN"/>
              </w:rPr>
              <w:t>0</w:t>
            </w:r>
          </w:p>
        </w:tc>
        <w:tc>
          <w:tcPr>
            <w:tcW w:w="1170" w:type="dxa"/>
            <w:vAlign w:val="center"/>
          </w:tcPr>
          <w:p w14:paraId="4FD0ED76" w14:textId="77777777" w:rsidR="00092A4B" w:rsidRPr="00720DBF" w:rsidRDefault="00092A4B" w:rsidP="00272482">
            <w:pPr>
              <w:spacing w:after="0"/>
              <w:jc w:val="center"/>
              <w:rPr>
                <w:rFonts w:ascii="Arial" w:hAnsi="Arial" w:cs="Arial"/>
                <w:sz w:val="20"/>
                <w:szCs w:val="20"/>
                <w:lang w:val="es-419" w:eastAsia="zh-CN"/>
              </w:rPr>
            </w:pPr>
            <w:r>
              <w:rPr>
                <w:rFonts w:ascii="Arial" w:hAnsi="Arial" w:cs="Arial"/>
                <w:sz w:val="20"/>
                <w:szCs w:val="20"/>
                <w:lang w:val="es-419" w:eastAsia="zh-CN"/>
              </w:rPr>
              <w:t>745.000</w:t>
            </w:r>
          </w:p>
        </w:tc>
        <w:tc>
          <w:tcPr>
            <w:tcW w:w="1620" w:type="dxa"/>
            <w:vAlign w:val="center"/>
          </w:tcPr>
          <w:p w14:paraId="1D32AC33" w14:textId="77777777" w:rsidR="00092A4B" w:rsidRPr="00720DBF" w:rsidRDefault="00092A4B" w:rsidP="00272482">
            <w:pPr>
              <w:spacing w:before="120" w:after="120" w:line="240" w:lineRule="auto"/>
              <w:rPr>
                <w:rFonts w:ascii="Arial" w:hAnsi="Arial" w:cs="Arial"/>
                <w:sz w:val="20"/>
                <w:szCs w:val="20"/>
                <w:lang w:val="es-419" w:eastAsia="zh-CN"/>
              </w:rPr>
            </w:pPr>
            <w:r w:rsidRPr="00720DBF">
              <w:rPr>
                <w:rFonts w:ascii="Arial" w:hAnsi="Arial" w:cs="Arial"/>
                <w:sz w:val="20"/>
                <w:szCs w:val="20"/>
                <w:lang w:val="es-419" w:eastAsia="zh-CN"/>
              </w:rPr>
              <w:t>Registros administrativos</w:t>
            </w:r>
          </w:p>
        </w:tc>
        <w:tc>
          <w:tcPr>
            <w:tcW w:w="2612" w:type="dxa"/>
          </w:tcPr>
          <w:p w14:paraId="3C04DC52" w14:textId="77777777" w:rsidR="00092A4B" w:rsidRPr="00720DBF" w:rsidRDefault="00092A4B" w:rsidP="00272482">
            <w:pPr>
              <w:spacing w:before="120" w:after="120" w:line="240" w:lineRule="auto"/>
              <w:rPr>
                <w:rFonts w:ascii="Arial" w:hAnsi="Arial" w:cs="Arial"/>
                <w:sz w:val="20"/>
                <w:szCs w:val="20"/>
                <w:lang w:val="es-419" w:eastAsia="zh-CN"/>
              </w:rPr>
            </w:pPr>
            <w:r>
              <w:rPr>
                <w:rFonts w:ascii="Arial" w:hAnsi="Arial" w:cs="Arial"/>
                <w:sz w:val="20"/>
                <w:szCs w:val="20"/>
                <w:lang w:val="es-419" w:eastAsia="zh-CN"/>
              </w:rPr>
              <w:t>Se refiere a personas elegibles (inscritos en Renta Dignidad que no tienen jubilación).</w:t>
            </w:r>
            <w:r w:rsidRPr="00720DBF">
              <w:rPr>
                <w:rFonts w:ascii="Arial" w:hAnsi="Arial" w:cs="Arial"/>
                <w:sz w:val="20"/>
                <w:szCs w:val="20"/>
                <w:lang w:val="es-419" w:eastAsia="zh-CN"/>
              </w:rPr>
              <w:t xml:space="preserve"> </w:t>
            </w:r>
            <w:r>
              <w:rPr>
                <w:rFonts w:ascii="Arial" w:hAnsi="Arial" w:cs="Arial"/>
                <w:sz w:val="20"/>
                <w:szCs w:val="20"/>
                <w:lang w:val="es-419" w:eastAsia="zh-CN"/>
              </w:rPr>
              <w:t>Se hará desagregación por sexo.</w:t>
            </w:r>
          </w:p>
        </w:tc>
      </w:tr>
      <w:tr w:rsidR="00092A4B" w:rsidRPr="00272482" w14:paraId="65F8BD95" w14:textId="77777777" w:rsidTr="00272482">
        <w:trPr>
          <w:trHeight w:val="242"/>
        </w:trPr>
        <w:tc>
          <w:tcPr>
            <w:tcW w:w="2880" w:type="dxa"/>
            <w:vAlign w:val="center"/>
            <w:hideMark/>
          </w:tcPr>
          <w:p w14:paraId="086AA887" w14:textId="77777777" w:rsidR="00092A4B" w:rsidRPr="00BF5E42" w:rsidRDefault="00092A4B" w:rsidP="00272482">
            <w:pPr>
              <w:pStyle w:val="ListParagraph"/>
              <w:spacing w:after="0" w:line="240" w:lineRule="auto"/>
              <w:ind w:left="0"/>
              <w:rPr>
                <w:rFonts w:ascii="Arial" w:hAnsi="Arial" w:cs="Arial"/>
                <w:sz w:val="20"/>
                <w:szCs w:val="20"/>
                <w:lang w:val="es-419" w:eastAsia="zh-CN"/>
              </w:rPr>
            </w:pPr>
            <w:r w:rsidRPr="00BF5E42">
              <w:rPr>
                <w:rFonts w:ascii="Arial" w:hAnsi="Arial" w:cs="Arial"/>
                <w:sz w:val="20"/>
                <w:szCs w:val="20"/>
                <w:lang w:val="es-419" w:eastAsia="zh-CN"/>
              </w:rPr>
              <w:t>Personas beneficiarias de Renta Dignidad que reciben transferencias regulares durante los meses de emergencia sanitaria o recuperación</w:t>
            </w:r>
            <w:r>
              <w:rPr>
                <w:rFonts w:ascii="Arial" w:hAnsi="Arial" w:cs="Arial"/>
                <w:sz w:val="20"/>
                <w:szCs w:val="20"/>
                <w:lang w:val="es-419" w:eastAsia="zh-CN"/>
              </w:rPr>
              <w:t>.</w:t>
            </w:r>
          </w:p>
        </w:tc>
        <w:tc>
          <w:tcPr>
            <w:tcW w:w="1530" w:type="dxa"/>
            <w:vAlign w:val="center"/>
          </w:tcPr>
          <w:p w14:paraId="7ECFEE20" w14:textId="77777777" w:rsidR="00092A4B" w:rsidRPr="00BF5E42" w:rsidRDefault="00092A4B" w:rsidP="00272482">
            <w:pPr>
              <w:spacing w:after="0" w:line="240" w:lineRule="auto"/>
              <w:jc w:val="center"/>
              <w:rPr>
                <w:rFonts w:ascii="Arial" w:hAnsi="Arial" w:cs="Arial"/>
                <w:sz w:val="20"/>
                <w:szCs w:val="20"/>
                <w:lang w:val="es-419" w:eastAsia="zh-CN"/>
              </w:rPr>
            </w:pPr>
            <w:r w:rsidRPr="00BF5E42">
              <w:rPr>
                <w:rFonts w:ascii="Arial" w:hAnsi="Arial" w:cs="Arial"/>
                <w:sz w:val="20"/>
                <w:szCs w:val="20"/>
                <w:lang w:val="es-419" w:eastAsia="zh-CN"/>
              </w:rPr>
              <w:t>Personas</w:t>
            </w:r>
          </w:p>
        </w:tc>
        <w:tc>
          <w:tcPr>
            <w:tcW w:w="990" w:type="dxa"/>
            <w:vAlign w:val="center"/>
          </w:tcPr>
          <w:p w14:paraId="09EF2C7A" w14:textId="77777777" w:rsidR="00092A4B" w:rsidRPr="00720DBF" w:rsidRDefault="00092A4B" w:rsidP="00272482">
            <w:pPr>
              <w:spacing w:after="0"/>
              <w:jc w:val="center"/>
              <w:rPr>
                <w:rFonts w:ascii="Arial" w:hAnsi="Arial" w:cs="Arial"/>
                <w:sz w:val="20"/>
                <w:szCs w:val="20"/>
                <w:lang w:val="es-419" w:eastAsia="zh-CN"/>
              </w:rPr>
            </w:pPr>
            <w:r>
              <w:rPr>
                <w:rFonts w:ascii="Arial" w:hAnsi="Arial" w:cs="Arial"/>
                <w:sz w:val="20"/>
                <w:szCs w:val="20"/>
                <w:lang w:val="es-419" w:eastAsia="zh-CN"/>
              </w:rPr>
              <w:t>745.000</w:t>
            </w:r>
          </w:p>
        </w:tc>
        <w:tc>
          <w:tcPr>
            <w:tcW w:w="900" w:type="dxa"/>
            <w:vAlign w:val="center"/>
          </w:tcPr>
          <w:p w14:paraId="3789F8B2" w14:textId="77777777" w:rsidR="00092A4B" w:rsidRPr="00720DBF" w:rsidRDefault="00092A4B" w:rsidP="00272482">
            <w:pPr>
              <w:spacing w:after="0"/>
              <w:jc w:val="center"/>
              <w:rPr>
                <w:rFonts w:ascii="Arial" w:hAnsi="Arial" w:cs="Arial"/>
                <w:sz w:val="20"/>
                <w:szCs w:val="20"/>
                <w:lang w:val="es-419" w:eastAsia="zh-CN"/>
              </w:rPr>
            </w:pPr>
            <w:r>
              <w:rPr>
                <w:rFonts w:ascii="Arial" w:hAnsi="Arial" w:cs="Arial"/>
                <w:sz w:val="20"/>
                <w:szCs w:val="20"/>
                <w:lang w:val="es-419" w:eastAsia="zh-CN"/>
              </w:rPr>
              <w:t>2019</w:t>
            </w:r>
          </w:p>
        </w:tc>
        <w:tc>
          <w:tcPr>
            <w:tcW w:w="1170" w:type="dxa"/>
            <w:vAlign w:val="center"/>
          </w:tcPr>
          <w:p w14:paraId="43169D3B" w14:textId="77777777" w:rsidR="00092A4B" w:rsidRPr="00720DBF" w:rsidRDefault="00092A4B" w:rsidP="00272482">
            <w:pPr>
              <w:spacing w:after="0"/>
              <w:jc w:val="center"/>
              <w:rPr>
                <w:rFonts w:ascii="Arial" w:hAnsi="Arial" w:cs="Arial"/>
                <w:sz w:val="20"/>
                <w:szCs w:val="20"/>
                <w:lang w:val="es-419" w:eastAsia="zh-CN"/>
              </w:rPr>
            </w:pPr>
            <w:r>
              <w:rPr>
                <w:rFonts w:ascii="Arial" w:hAnsi="Arial" w:cs="Arial"/>
                <w:sz w:val="20"/>
                <w:szCs w:val="20"/>
                <w:lang w:val="es-419" w:eastAsia="zh-CN"/>
              </w:rPr>
              <w:t>745.000</w:t>
            </w:r>
          </w:p>
        </w:tc>
        <w:tc>
          <w:tcPr>
            <w:tcW w:w="1170" w:type="dxa"/>
          </w:tcPr>
          <w:p w14:paraId="559AAEBC" w14:textId="77777777" w:rsidR="00092A4B" w:rsidRDefault="00092A4B" w:rsidP="00272482">
            <w:pPr>
              <w:spacing w:after="0"/>
              <w:jc w:val="center"/>
              <w:rPr>
                <w:rFonts w:ascii="Arial" w:hAnsi="Arial" w:cs="Arial"/>
                <w:sz w:val="20"/>
                <w:szCs w:val="20"/>
                <w:lang w:val="es-419" w:eastAsia="zh-CN"/>
              </w:rPr>
            </w:pPr>
          </w:p>
          <w:p w14:paraId="2A2E3505" w14:textId="77777777" w:rsidR="00092A4B" w:rsidRDefault="00092A4B" w:rsidP="00272482">
            <w:pPr>
              <w:spacing w:after="0"/>
              <w:jc w:val="center"/>
              <w:rPr>
                <w:rFonts w:ascii="Arial" w:hAnsi="Arial" w:cs="Arial"/>
                <w:sz w:val="20"/>
                <w:szCs w:val="20"/>
                <w:lang w:val="es-419" w:eastAsia="zh-CN"/>
              </w:rPr>
            </w:pPr>
          </w:p>
          <w:p w14:paraId="49B4C8AC" w14:textId="77777777" w:rsidR="00092A4B" w:rsidRDefault="00092A4B" w:rsidP="00272482">
            <w:pPr>
              <w:spacing w:after="0"/>
              <w:jc w:val="center"/>
              <w:rPr>
                <w:rFonts w:ascii="Arial" w:hAnsi="Arial" w:cs="Arial"/>
                <w:sz w:val="20"/>
                <w:szCs w:val="20"/>
                <w:lang w:val="es-419" w:eastAsia="zh-CN"/>
              </w:rPr>
            </w:pPr>
          </w:p>
          <w:p w14:paraId="37834FBE" w14:textId="77777777" w:rsidR="00092A4B" w:rsidRDefault="00092A4B" w:rsidP="00272482">
            <w:pPr>
              <w:spacing w:after="0"/>
              <w:jc w:val="center"/>
              <w:rPr>
                <w:rFonts w:ascii="Arial" w:hAnsi="Arial" w:cs="Arial"/>
                <w:sz w:val="20"/>
                <w:szCs w:val="20"/>
                <w:lang w:val="es-419" w:eastAsia="zh-CN"/>
              </w:rPr>
            </w:pPr>
            <w:r>
              <w:rPr>
                <w:rFonts w:ascii="Arial" w:hAnsi="Arial" w:cs="Arial"/>
                <w:sz w:val="20"/>
                <w:szCs w:val="20"/>
                <w:lang w:val="es-419" w:eastAsia="zh-CN"/>
              </w:rPr>
              <w:t>745,000</w:t>
            </w:r>
          </w:p>
          <w:p w14:paraId="4396FD05" w14:textId="77777777" w:rsidR="00092A4B" w:rsidRDefault="00092A4B" w:rsidP="00272482">
            <w:pPr>
              <w:spacing w:after="0"/>
              <w:jc w:val="center"/>
              <w:rPr>
                <w:rFonts w:ascii="Arial" w:hAnsi="Arial" w:cs="Arial"/>
                <w:sz w:val="20"/>
                <w:szCs w:val="20"/>
                <w:lang w:val="es-419" w:eastAsia="zh-CN"/>
              </w:rPr>
            </w:pPr>
          </w:p>
        </w:tc>
        <w:tc>
          <w:tcPr>
            <w:tcW w:w="1170" w:type="dxa"/>
            <w:vAlign w:val="center"/>
          </w:tcPr>
          <w:p w14:paraId="12759038" w14:textId="77777777" w:rsidR="00092A4B" w:rsidRPr="00720DBF" w:rsidRDefault="00092A4B" w:rsidP="00272482">
            <w:pPr>
              <w:spacing w:after="0"/>
              <w:jc w:val="center"/>
              <w:rPr>
                <w:rFonts w:ascii="Arial" w:hAnsi="Arial" w:cs="Arial"/>
                <w:sz w:val="20"/>
                <w:szCs w:val="20"/>
                <w:lang w:val="es-419" w:eastAsia="zh-CN"/>
              </w:rPr>
            </w:pPr>
            <w:r>
              <w:rPr>
                <w:rFonts w:ascii="Arial" w:hAnsi="Arial" w:cs="Arial"/>
                <w:sz w:val="20"/>
                <w:szCs w:val="20"/>
                <w:lang w:val="es-419" w:eastAsia="zh-CN"/>
              </w:rPr>
              <w:t>745.000</w:t>
            </w:r>
          </w:p>
        </w:tc>
        <w:tc>
          <w:tcPr>
            <w:tcW w:w="1620" w:type="dxa"/>
            <w:vAlign w:val="center"/>
          </w:tcPr>
          <w:p w14:paraId="432A814C" w14:textId="77777777" w:rsidR="00092A4B" w:rsidRPr="00720DBF" w:rsidRDefault="00092A4B" w:rsidP="00272482">
            <w:pPr>
              <w:spacing w:before="120" w:after="120" w:line="240" w:lineRule="auto"/>
              <w:rPr>
                <w:rFonts w:ascii="Arial" w:hAnsi="Arial" w:cs="Arial"/>
                <w:sz w:val="20"/>
                <w:szCs w:val="20"/>
                <w:lang w:val="es-419" w:eastAsia="zh-CN"/>
              </w:rPr>
            </w:pPr>
            <w:r w:rsidRPr="00720DBF">
              <w:rPr>
                <w:rFonts w:ascii="Arial" w:hAnsi="Arial" w:cs="Arial"/>
                <w:sz w:val="20"/>
                <w:szCs w:val="20"/>
                <w:lang w:val="es-419" w:eastAsia="zh-CN"/>
              </w:rPr>
              <w:t>Registros administrativos</w:t>
            </w:r>
            <w:r>
              <w:rPr>
                <w:rFonts w:ascii="Arial" w:hAnsi="Arial" w:cs="Arial"/>
                <w:sz w:val="20"/>
                <w:szCs w:val="20"/>
                <w:lang w:val="es-419" w:eastAsia="zh-CN"/>
              </w:rPr>
              <w:t xml:space="preserve"> de la Gestora Pública</w:t>
            </w:r>
          </w:p>
        </w:tc>
        <w:tc>
          <w:tcPr>
            <w:tcW w:w="2612" w:type="dxa"/>
          </w:tcPr>
          <w:p w14:paraId="50AF08FD" w14:textId="77777777" w:rsidR="00092A4B" w:rsidRPr="00720DBF" w:rsidRDefault="00092A4B" w:rsidP="00272482">
            <w:pPr>
              <w:spacing w:before="120" w:after="120" w:line="240" w:lineRule="auto"/>
              <w:rPr>
                <w:rFonts w:ascii="Arial" w:hAnsi="Arial" w:cs="Arial"/>
                <w:sz w:val="20"/>
                <w:szCs w:val="20"/>
                <w:lang w:val="es-419" w:eastAsia="zh-CN"/>
              </w:rPr>
            </w:pPr>
            <w:r>
              <w:rPr>
                <w:rFonts w:ascii="Arial" w:hAnsi="Arial" w:cs="Arial"/>
                <w:sz w:val="20"/>
                <w:szCs w:val="20"/>
                <w:lang w:val="es-419" w:eastAsia="zh-CN"/>
              </w:rPr>
              <w:t>Se refiere a personas elegibles (inscritos en Renta Dignidad que no tienen jubilación) que reciben los pagos mensuales.</w:t>
            </w:r>
            <w:r w:rsidRPr="00720DBF">
              <w:rPr>
                <w:rFonts w:ascii="Arial" w:hAnsi="Arial" w:cs="Arial"/>
                <w:sz w:val="20"/>
                <w:szCs w:val="20"/>
                <w:lang w:val="es-419" w:eastAsia="zh-CN"/>
              </w:rPr>
              <w:t xml:space="preserve"> </w:t>
            </w:r>
            <w:r>
              <w:rPr>
                <w:rFonts w:ascii="Arial" w:hAnsi="Arial" w:cs="Arial"/>
                <w:sz w:val="20"/>
                <w:szCs w:val="20"/>
                <w:lang w:val="es-419" w:eastAsia="zh-CN"/>
              </w:rPr>
              <w:t>Se hará desagregación por sexo.</w:t>
            </w:r>
          </w:p>
        </w:tc>
      </w:tr>
      <w:tr w:rsidR="00092A4B" w:rsidRPr="00D66032" w14:paraId="6696989A" w14:textId="77777777" w:rsidTr="00272482">
        <w:trPr>
          <w:trHeight w:val="242"/>
        </w:trPr>
        <w:tc>
          <w:tcPr>
            <w:tcW w:w="14042" w:type="dxa"/>
            <w:gridSpan w:val="9"/>
            <w:shd w:val="clear" w:color="auto" w:fill="D9D9D9" w:themeFill="background1" w:themeFillShade="D9"/>
          </w:tcPr>
          <w:p w14:paraId="128DD7A5" w14:textId="77777777" w:rsidR="00092A4B" w:rsidRPr="00BF5E42" w:rsidRDefault="00092A4B" w:rsidP="00272482">
            <w:pPr>
              <w:spacing w:before="120" w:after="120" w:line="240" w:lineRule="auto"/>
              <w:rPr>
                <w:rFonts w:ascii="Arial" w:hAnsi="Arial" w:cs="Arial"/>
                <w:b/>
                <w:bCs/>
                <w:sz w:val="20"/>
                <w:szCs w:val="20"/>
                <w:lang w:val="es-ES_tradnl"/>
              </w:rPr>
            </w:pPr>
            <w:r w:rsidRPr="00BF5E42">
              <w:rPr>
                <w:rFonts w:ascii="Arial" w:hAnsi="Arial" w:cs="Arial"/>
                <w:b/>
                <w:bCs/>
                <w:sz w:val="20"/>
                <w:szCs w:val="20"/>
                <w:lang w:val="es-ES"/>
              </w:rPr>
              <w:t>Subcomponente 1.2. Protección para apoyar el consumo básico de electricidad de la población vulnerable.</w:t>
            </w:r>
          </w:p>
        </w:tc>
      </w:tr>
      <w:tr w:rsidR="00092A4B" w:rsidRPr="00D66032" w14:paraId="63B9E90C" w14:textId="77777777" w:rsidTr="00272482">
        <w:trPr>
          <w:trHeight w:val="242"/>
        </w:trPr>
        <w:tc>
          <w:tcPr>
            <w:tcW w:w="2880" w:type="dxa"/>
          </w:tcPr>
          <w:p w14:paraId="3A69269C" w14:textId="77777777" w:rsidR="00092A4B" w:rsidRPr="00BF5E42" w:rsidRDefault="00092A4B" w:rsidP="00272482">
            <w:pPr>
              <w:pStyle w:val="ListParagraph"/>
              <w:spacing w:after="0" w:line="240" w:lineRule="auto"/>
              <w:ind w:left="0"/>
              <w:rPr>
                <w:rFonts w:ascii="Arial" w:hAnsi="Arial" w:cs="Arial"/>
                <w:sz w:val="20"/>
                <w:szCs w:val="20"/>
                <w:lang w:val="es-419" w:eastAsia="zh-CN"/>
              </w:rPr>
            </w:pPr>
            <w:r w:rsidRPr="00092A4B">
              <w:rPr>
                <w:rFonts w:ascii="Arial" w:hAnsi="Arial" w:cs="Arial"/>
                <w:sz w:val="20"/>
                <w:szCs w:val="20"/>
                <w:lang w:val="es-ES_tradnl"/>
              </w:rPr>
              <w:t>Clientes de la categoría domiciliaria y/o residencial de electricidad con consumo inferior a BOB 120/mes que reciben apoyo total al consumo eléctrico.</w:t>
            </w:r>
          </w:p>
        </w:tc>
        <w:tc>
          <w:tcPr>
            <w:tcW w:w="1530" w:type="dxa"/>
            <w:vAlign w:val="center"/>
          </w:tcPr>
          <w:p w14:paraId="6EFB0044" w14:textId="77777777" w:rsidR="00092A4B" w:rsidRPr="00BF5E42" w:rsidRDefault="00092A4B" w:rsidP="00272482">
            <w:pPr>
              <w:spacing w:after="0"/>
              <w:jc w:val="center"/>
              <w:rPr>
                <w:rFonts w:ascii="Arial" w:hAnsi="Arial" w:cs="Arial"/>
                <w:sz w:val="20"/>
                <w:szCs w:val="20"/>
                <w:lang w:val="es-419" w:eastAsia="zh-CN"/>
              </w:rPr>
            </w:pPr>
            <w:r>
              <w:rPr>
                <w:rFonts w:ascii="Arial" w:hAnsi="Arial" w:cs="Arial"/>
                <w:sz w:val="20"/>
                <w:szCs w:val="20"/>
              </w:rPr>
              <w:t>Clientes</w:t>
            </w:r>
          </w:p>
        </w:tc>
        <w:tc>
          <w:tcPr>
            <w:tcW w:w="990" w:type="dxa"/>
            <w:vAlign w:val="center"/>
          </w:tcPr>
          <w:p w14:paraId="2E46297D" w14:textId="77777777" w:rsidR="00092A4B" w:rsidRPr="0019733E" w:rsidRDefault="00092A4B" w:rsidP="00272482">
            <w:pPr>
              <w:spacing w:after="0"/>
              <w:jc w:val="center"/>
              <w:rPr>
                <w:rFonts w:ascii="Arial" w:hAnsi="Arial" w:cs="Arial"/>
                <w:sz w:val="20"/>
                <w:szCs w:val="20"/>
                <w:lang w:val="es-419" w:eastAsia="zh-CN"/>
              </w:rPr>
            </w:pPr>
            <w:r>
              <w:rPr>
                <w:rFonts w:ascii="Arial" w:hAnsi="Arial" w:cs="Arial"/>
                <w:sz w:val="20"/>
                <w:szCs w:val="20"/>
                <w:lang w:val="es-419" w:eastAsia="zh-CN"/>
              </w:rPr>
              <w:t>0</w:t>
            </w:r>
          </w:p>
        </w:tc>
        <w:tc>
          <w:tcPr>
            <w:tcW w:w="900" w:type="dxa"/>
            <w:vAlign w:val="center"/>
          </w:tcPr>
          <w:p w14:paraId="54B272C1" w14:textId="77777777" w:rsidR="00092A4B" w:rsidRPr="0019733E" w:rsidRDefault="00092A4B" w:rsidP="00272482">
            <w:pPr>
              <w:spacing w:after="0"/>
              <w:jc w:val="center"/>
              <w:rPr>
                <w:rFonts w:ascii="Arial" w:hAnsi="Arial" w:cs="Arial"/>
                <w:sz w:val="20"/>
                <w:szCs w:val="20"/>
                <w:lang w:val="es-419" w:eastAsia="zh-CN"/>
              </w:rPr>
            </w:pPr>
            <w:r>
              <w:rPr>
                <w:rFonts w:ascii="Arial" w:hAnsi="Arial" w:cs="Arial"/>
                <w:sz w:val="20"/>
                <w:szCs w:val="20"/>
                <w:lang w:val="es-419" w:eastAsia="zh-CN"/>
              </w:rPr>
              <w:t>2019</w:t>
            </w:r>
          </w:p>
        </w:tc>
        <w:tc>
          <w:tcPr>
            <w:tcW w:w="1170" w:type="dxa"/>
            <w:vAlign w:val="center"/>
          </w:tcPr>
          <w:p w14:paraId="5CE947DA" w14:textId="77777777" w:rsidR="00092A4B" w:rsidRPr="0019733E" w:rsidRDefault="00092A4B" w:rsidP="00272482">
            <w:pPr>
              <w:spacing w:after="0"/>
              <w:jc w:val="center"/>
              <w:rPr>
                <w:rFonts w:ascii="Arial" w:hAnsi="Arial" w:cs="Arial"/>
                <w:sz w:val="20"/>
                <w:szCs w:val="20"/>
                <w:lang w:val="es-419" w:eastAsia="zh-CN"/>
              </w:rPr>
            </w:pPr>
            <w:r>
              <w:rPr>
                <w:rFonts w:ascii="Arial" w:hAnsi="Arial" w:cs="Arial"/>
                <w:sz w:val="20"/>
                <w:szCs w:val="20"/>
                <w:lang w:val="es-419" w:eastAsia="zh-CN"/>
              </w:rPr>
              <w:t>1.850.000</w:t>
            </w:r>
          </w:p>
        </w:tc>
        <w:tc>
          <w:tcPr>
            <w:tcW w:w="1170" w:type="dxa"/>
            <w:vAlign w:val="center"/>
          </w:tcPr>
          <w:p w14:paraId="7C766C0E" w14:textId="77777777" w:rsidR="00092A4B" w:rsidRDefault="00092A4B" w:rsidP="00272482">
            <w:pPr>
              <w:spacing w:after="0"/>
              <w:jc w:val="center"/>
              <w:rPr>
                <w:rFonts w:ascii="Arial" w:hAnsi="Arial" w:cs="Arial"/>
                <w:sz w:val="20"/>
                <w:szCs w:val="20"/>
                <w:lang w:val="es-419" w:eastAsia="zh-CN"/>
              </w:rPr>
            </w:pPr>
            <w:r>
              <w:rPr>
                <w:rFonts w:ascii="Arial" w:hAnsi="Arial" w:cs="Arial"/>
                <w:sz w:val="20"/>
                <w:szCs w:val="20"/>
                <w:lang w:val="es-419" w:eastAsia="zh-CN"/>
              </w:rPr>
              <w:t>0</w:t>
            </w:r>
          </w:p>
        </w:tc>
        <w:tc>
          <w:tcPr>
            <w:tcW w:w="1170" w:type="dxa"/>
            <w:vAlign w:val="center"/>
          </w:tcPr>
          <w:p w14:paraId="661C4A92" w14:textId="77777777" w:rsidR="00092A4B" w:rsidRPr="0019733E" w:rsidRDefault="00092A4B" w:rsidP="00272482">
            <w:pPr>
              <w:spacing w:after="0"/>
              <w:jc w:val="center"/>
              <w:rPr>
                <w:rFonts w:ascii="Arial" w:hAnsi="Arial" w:cs="Arial"/>
                <w:sz w:val="20"/>
                <w:szCs w:val="20"/>
                <w:lang w:val="es-419" w:eastAsia="zh-CN"/>
              </w:rPr>
            </w:pPr>
            <w:r>
              <w:rPr>
                <w:rFonts w:ascii="Arial" w:hAnsi="Arial" w:cs="Arial"/>
                <w:sz w:val="20"/>
                <w:szCs w:val="20"/>
                <w:lang w:val="es-419" w:eastAsia="zh-CN"/>
              </w:rPr>
              <w:t>1.850.00</w:t>
            </w:r>
          </w:p>
        </w:tc>
        <w:tc>
          <w:tcPr>
            <w:tcW w:w="1620" w:type="dxa"/>
            <w:vAlign w:val="center"/>
          </w:tcPr>
          <w:p w14:paraId="6665BC0C" w14:textId="77777777" w:rsidR="00092A4B" w:rsidRPr="0019733E" w:rsidRDefault="00092A4B" w:rsidP="00272482">
            <w:pPr>
              <w:spacing w:before="120" w:after="120" w:line="240" w:lineRule="auto"/>
              <w:rPr>
                <w:rFonts w:ascii="Arial" w:hAnsi="Arial" w:cs="Arial"/>
                <w:sz w:val="20"/>
                <w:szCs w:val="20"/>
                <w:lang w:val="es-419" w:eastAsia="zh-CN"/>
              </w:rPr>
            </w:pPr>
            <w:r>
              <w:rPr>
                <w:rFonts w:ascii="Arial" w:hAnsi="Arial" w:cs="Arial"/>
                <w:sz w:val="20"/>
                <w:szCs w:val="20"/>
                <w:lang w:val="es-419" w:eastAsia="zh-CN"/>
              </w:rPr>
              <w:t xml:space="preserve">Registros administrativos de la AETN </w:t>
            </w:r>
          </w:p>
        </w:tc>
        <w:tc>
          <w:tcPr>
            <w:tcW w:w="2612" w:type="dxa"/>
          </w:tcPr>
          <w:p w14:paraId="67EBFF9C" w14:textId="77777777" w:rsidR="00092A4B" w:rsidRPr="0019733E" w:rsidRDefault="00092A4B" w:rsidP="00272482">
            <w:pPr>
              <w:spacing w:before="120" w:after="120" w:line="240" w:lineRule="auto"/>
              <w:rPr>
                <w:rFonts w:ascii="Arial" w:hAnsi="Arial" w:cs="Arial"/>
                <w:sz w:val="20"/>
                <w:szCs w:val="20"/>
                <w:lang w:val="es-419" w:eastAsia="zh-CN"/>
              </w:rPr>
            </w:pPr>
            <w:r w:rsidRPr="0019733E">
              <w:rPr>
                <w:rFonts w:ascii="Arial" w:hAnsi="Arial" w:cs="Arial"/>
                <w:sz w:val="20"/>
                <w:szCs w:val="20"/>
                <w:lang w:val="es-ES_tradnl"/>
              </w:rPr>
              <w:t xml:space="preserve"># de cuentas de </w:t>
            </w:r>
            <w:r>
              <w:rPr>
                <w:rFonts w:ascii="Arial" w:hAnsi="Arial" w:cs="Arial"/>
                <w:sz w:val="20"/>
                <w:szCs w:val="20"/>
                <w:lang w:val="es-ES_tradnl"/>
              </w:rPr>
              <w:t>clientes</w:t>
            </w:r>
            <w:r w:rsidRPr="0019733E">
              <w:rPr>
                <w:rFonts w:ascii="Arial" w:hAnsi="Arial" w:cs="Arial"/>
                <w:sz w:val="20"/>
                <w:szCs w:val="20"/>
                <w:lang w:val="es-ES_tradnl"/>
              </w:rPr>
              <w:t xml:space="preserve"> domiciliarios y/o residenciales con consumo inferior a BO</w:t>
            </w:r>
            <w:r>
              <w:rPr>
                <w:rFonts w:ascii="Arial" w:hAnsi="Arial" w:cs="Arial"/>
                <w:sz w:val="20"/>
                <w:szCs w:val="20"/>
                <w:lang w:val="es-ES_tradnl"/>
              </w:rPr>
              <w:t>B</w:t>
            </w:r>
            <w:r w:rsidRPr="0019733E">
              <w:rPr>
                <w:rFonts w:ascii="Arial" w:hAnsi="Arial" w:cs="Arial"/>
                <w:sz w:val="20"/>
                <w:szCs w:val="20"/>
                <w:lang w:val="es-ES_tradnl"/>
              </w:rPr>
              <w:t xml:space="preserve"> 120</w:t>
            </w:r>
            <w:r>
              <w:rPr>
                <w:rFonts w:ascii="Arial" w:hAnsi="Arial" w:cs="Arial"/>
                <w:sz w:val="20"/>
                <w:szCs w:val="20"/>
                <w:lang w:val="es-ES_tradnl"/>
              </w:rPr>
              <w:t>/mes</w:t>
            </w:r>
            <w:r w:rsidRPr="0019733E">
              <w:rPr>
                <w:rFonts w:ascii="Arial" w:hAnsi="Arial" w:cs="Arial"/>
                <w:sz w:val="20"/>
                <w:szCs w:val="20"/>
                <w:lang w:val="es-ES_tradnl"/>
              </w:rPr>
              <w:t xml:space="preserve"> que reciben apoyo total</w:t>
            </w:r>
            <w:r>
              <w:rPr>
                <w:rFonts w:ascii="Arial" w:hAnsi="Arial" w:cs="Arial"/>
                <w:sz w:val="20"/>
                <w:szCs w:val="20"/>
                <w:lang w:val="es-ES_tradnl"/>
              </w:rPr>
              <w:t>.</w:t>
            </w:r>
          </w:p>
        </w:tc>
      </w:tr>
    </w:tbl>
    <w:p w14:paraId="6E2E6858" w14:textId="77777777" w:rsidR="00092A4B" w:rsidRPr="00720DBF" w:rsidRDefault="00092A4B" w:rsidP="00092A4B">
      <w:pPr>
        <w:rPr>
          <w:rFonts w:ascii="Arial" w:hAnsi="Arial" w:cs="Arial"/>
          <w:sz w:val="20"/>
          <w:szCs w:val="20"/>
          <w:lang w:val="es-419"/>
        </w:rPr>
      </w:pPr>
    </w:p>
    <w:p w14:paraId="0125D765" w14:textId="77777777" w:rsidR="001B5186" w:rsidRPr="008B79DC" w:rsidRDefault="001B5186" w:rsidP="004964DC">
      <w:pPr>
        <w:spacing w:after="0" w:line="288" w:lineRule="auto"/>
        <w:jc w:val="both"/>
        <w:rPr>
          <w:rFonts w:ascii="Arial" w:hAnsi="Arial" w:cs="Arial"/>
          <w:lang w:val="es-419"/>
        </w:rPr>
      </w:pPr>
    </w:p>
    <w:p w14:paraId="747EDC9F" w14:textId="18E40595" w:rsidR="00E2331C" w:rsidRPr="008B79DC" w:rsidRDefault="00E2331C" w:rsidP="004964DC">
      <w:pPr>
        <w:spacing w:after="0" w:line="288" w:lineRule="auto"/>
        <w:rPr>
          <w:rFonts w:ascii="Arial" w:hAnsi="Arial" w:cs="Arial"/>
          <w:b/>
          <w:lang w:val="es-ES_tradnl"/>
        </w:rPr>
        <w:sectPr w:rsidR="00E2331C" w:rsidRPr="008B79DC" w:rsidSect="00190876">
          <w:pgSz w:w="15840" w:h="12240" w:orient="landscape"/>
          <w:pgMar w:top="1440" w:right="1440" w:bottom="1627" w:left="1440" w:header="720" w:footer="720" w:gutter="0"/>
          <w:cols w:space="720"/>
          <w:docGrid w:linePitch="360"/>
        </w:sectPr>
      </w:pPr>
    </w:p>
    <w:p w14:paraId="23C4E6C1" w14:textId="1EA6781E" w:rsidR="001B5186" w:rsidRPr="005E6B91" w:rsidRDefault="005E6B91" w:rsidP="00584AF5">
      <w:pPr>
        <w:pStyle w:val="ColorfulList-Accent11"/>
        <w:numPr>
          <w:ilvl w:val="1"/>
          <w:numId w:val="3"/>
        </w:numPr>
        <w:spacing w:before="120" w:after="120" w:line="240" w:lineRule="auto"/>
        <w:ind w:left="540" w:hanging="540"/>
        <w:contextualSpacing w:val="0"/>
        <w:jc w:val="both"/>
        <w:rPr>
          <w:rFonts w:ascii="Arial" w:hAnsi="Arial" w:cs="Arial"/>
          <w:b/>
          <w:lang w:val="es-ES_tradnl"/>
        </w:rPr>
      </w:pPr>
      <w:r w:rsidRPr="005E6B91">
        <w:rPr>
          <w:rFonts w:ascii="Arial" w:hAnsi="Arial" w:cs="Arial"/>
          <w:b/>
          <w:lang w:val="es-ES_tradnl"/>
        </w:rPr>
        <w:lastRenderedPageBreak/>
        <w:t xml:space="preserve">Recolección de datos e </w:t>
      </w:r>
      <w:r>
        <w:rPr>
          <w:rFonts w:ascii="Arial" w:hAnsi="Arial" w:cs="Arial"/>
          <w:b/>
          <w:lang w:val="es-ES_tradnl"/>
        </w:rPr>
        <w:t>instrumentos</w:t>
      </w:r>
    </w:p>
    <w:p w14:paraId="63CFEF53" w14:textId="77777777" w:rsidR="00D10DDB" w:rsidRPr="00D10DDB" w:rsidRDefault="00D10DDB" w:rsidP="00584AF5">
      <w:pPr>
        <w:spacing w:before="120" w:after="120" w:line="240" w:lineRule="auto"/>
        <w:jc w:val="both"/>
        <w:rPr>
          <w:rFonts w:ascii="Arial" w:hAnsi="Arial" w:cs="Arial"/>
          <w:color w:val="000000"/>
          <w:lang w:val="es-ES_tradnl"/>
        </w:rPr>
      </w:pPr>
      <w:r w:rsidRPr="00D10DDB">
        <w:rPr>
          <w:rFonts w:ascii="Arial" w:hAnsi="Arial" w:cs="Arial"/>
          <w:color w:val="000000"/>
          <w:lang w:val="es-ES_tradnl"/>
        </w:rPr>
        <w:t>Las fuentes de datos para monitorear el progreso en los indicadores de producto, resultado e impacto provendrán de las siguientes fuentes:</w:t>
      </w:r>
    </w:p>
    <w:p w14:paraId="53202850" w14:textId="308E73AC" w:rsidR="003605CE" w:rsidRPr="004A5678" w:rsidRDefault="005D1D74" w:rsidP="00584AF5">
      <w:pPr>
        <w:spacing w:before="120" w:after="120" w:line="240" w:lineRule="auto"/>
        <w:jc w:val="both"/>
        <w:rPr>
          <w:rFonts w:ascii="Arial" w:hAnsi="Arial" w:cs="Arial"/>
          <w:color w:val="000000"/>
          <w:lang w:val="es-ES_tradnl"/>
        </w:rPr>
      </w:pPr>
      <w:r>
        <w:rPr>
          <w:rFonts w:ascii="Arial" w:hAnsi="Arial" w:cs="Arial"/>
          <w:color w:val="000000"/>
          <w:lang w:val="es-ES_tradnl"/>
        </w:rPr>
        <w:t>1. Sistemas de información de programas de transferencias monetarias</w:t>
      </w:r>
      <w:r w:rsidR="00A42DAE">
        <w:rPr>
          <w:rFonts w:ascii="Arial" w:hAnsi="Arial" w:cs="Arial"/>
          <w:color w:val="000000"/>
          <w:lang w:val="es-ES_tradnl"/>
        </w:rPr>
        <w:t>, incluyendo padrón de beneficiarios activos, padrón de familias inscrita</w:t>
      </w:r>
      <w:r w:rsidR="0075752C">
        <w:rPr>
          <w:rFonts w:ascii="Arial" w:hAnsi="Arial" w:cs="Arial"/>
          <w:color w:val="000000"/>
          <w:lang w:val="es-ES_tradnl"/>
        </w:rPr>
        <w:t xml:space="preserve">, procesos de pago y verificación </w:t>
      </w:r>
      <w:r w:rsidR="00E972A5">
        <w:rPr>
          <w:rFonts w:ascii="Arial" w:hAnsi="Arial" w:cs="Arial"/>
          <w:color w:val="000000"/>
          <w:lang w:val="es-ES_tradnl"/>
        </w:rPr>
        <w:t>de liquidación de transferencias</w:t>
      </w:r>
      <w:r w:rsidR="004A5678">
        <w:rPr>
          <w:rFonts w:ascii="Arial" w:hAnsi="Arial" w:cs="Arial"/>
          <w:color w:val="000000"/>
          <w:lang w:val="es-ES_tradnl"/>
        </w:rPr>
        <w:t>. En este caso se utilizarán las bases de datos regulares de Renta Dignidad, BDRD</w:t>
      </w:r>
      <w:r w:rsidR="00075FAC">
        <w:rPr>
          <w:rFonts w:ascii="Arial" w:hAnsi="Arial" w:cs="Arial"/>
          <w:color w:val="000000"/>
          <w:lang w:val="es-ES_tradnl"/>
        </w:rPr>
        <w:t>.</w:t>
      </w:r>
    </w:p>
    <w:p w14:paraId="24B9CC00" w14:textId="51DB3386" w:rsidR="006660F8" w:rsidRDefault="00E972A5" w:rsidP="00584AF5">
      <w:pPr>
        <w:spacing w:before="120" w:after="120" w:line="240" w:lineRule="auto"/>
        <w:jc w:val="both"/>
        <w:rPr>
          <w:rFonts w:ascii="Arial" w:hAnsi="Arial" w:cs="Arial"/>
          <w:color w:val="000000"/>
          <w:lang w:val="es-ES_tradnl"/>
        </w:rPr>
      </w:pPr>
      <w:r>
        <w:rPr>
          <w:rFonts w:ascii="Arial" w:hAnsi="Arial" w:cs="Arial"/>
          <w:color w:val="000000"/>
          <w:lang w:val="es-ES_tradnl"/>
        </w:rPr>
        <w:t xml:space="preserve">2. </w:t>
      </w:r>
      <w:r w:rsidR="00CC4119">
        <w:rPr>
          <w:rFonts w:ascii="Arial" w:hAnsi="Arial" w:cs="Arial"/>
          <w:color w:val="000000"/>
          <w:lang w:val="es-ES_tradnl"/>
        </w:rPr>
        <w:t>B</w:t>
      </w:r>
      <w:r w:rsidR="006660F8" w:rsidRPr="006660F8">
        <w:rPr>
          <w:rFonts w:ascii="Arial" w:hAnsi="Arial" w:cs="Arial"/>
          <w:color w:val="000000"/>
          <w:lang w:val="es-ES_tradnl"/>
        </w:rPr>
        <w:t>ase</w:t>
      </w:r>
      <w:r w:rsidR="006660F8">
        <w:rPr>
          <w:rFonts w:ascii="Arial" w:hAnsi="Arial" w:cs="Arial"/>
          <w:color w:val="000000"/>
          <w:lang w:val="es-ES_tradnl"/>
        </w:rPr>
        <w:t>s</w:t>
      </w:r>
      <w:r w:rsidR="006660F8" w:rsidRPr="006660F8">
        <w:rPr>
          <w:rFonts w:ascii="Arial" w:hAnsi="Arial" w:cs="Arial"/>
          <w:color w:val="000000"/>
          <w:lang w:val="es-ES_tradnl"/>
        </w:rPr>
        <w:t xml:space="preserve"> de datos de las </w:t>
      </w:r>
      <w:r w:rsidR="006660F8">
        <w:rPr>
          <w:rFonts w:ascii="Arial" w:hAnsi="Arial" w:cs="Arial"/>
          <w:color w:val="000000"/>
          <w:lang w:val="es-ES_tradnl"/>
        </w:rPr>
        <w:t xml:space="preserve">empresas </w:t>
      </w:r>
      <w:r w:rsidR="006660F8" w:rsidRPr="006660F8">
        <w:rPr>
          <w:rFonts w:ascii="Arial" w:hAnsi="Arial" w:cs="Arial"/>
          <w:color w:val="000000"/>
          <w:lang w:val="es-ES_tradnl"/>
        </w:rPr>
        <w:t>distribuidoras de electricidad del sistema eléctrico boliviano</w:t>
      </w:r>
      <w:r w:rsidR="006660F8">
        <w:rPr>
          <w:rFonts w:ascii="Arial" w:hAnsi="Arial" w:cs="Arial"/>
          <w:color w:val="000000"/>
          <w:lang w:val="es-ES_tradnl"/>
        </w:rPr>
        <w:t>, que se vienen utilizando para la facturación mensual del servicio eléctrico. Estas bases de datos contemplarán aquellos</w:t>
      </w:r>
      <w:r w:rsidR="006660F8" w:rsidRPr="006660F8">
        <w:rPr>
          <w:rFonts w:ascii="Arial" w:hAnsi="Arial" w:cs="Arial"/>
          <w:color w:val="000000"/>
          <w:lang w:val="es-ES_tradnl"/>
        </w:rPr>
        <w:t xml:space="preserve"> </w:t>
      </w:r>
      <w:r w:rsidR="00CC4119">
        <w:rPr>
          <w:rFonts w:ascii="Arial" w:hAnsi="Arial" w:cs="Arial"/>
          <w:color w:val="000000"/>
          <w:lang w:val="es-ES_tradnl"/>
        </w:rPr>
        <w:t>c</w:t>
      </w:r>
      <w:r w:rsidR="006660F8" w:rsidRPr="006660F8">
        <w:rPr>
          <w:rFonts w:ascii="Arial" w:hAnsi="Arial" w:cs="Arial"/>
          <w:color w:val="000000"/>
          <w:lang w:val="es-ES_tradnl"/>
        </w:rPr>
        <w:t>onsumidores y/o usuarios de la categoría domiciliaria y/o residencial del país, cuyos consumos mensuales de energía representen importes totales de hasta Bs120 (US$17), determinados por la aplicación de Cargos Tarifarios con impuestos.</w:t>
      </w:r>
      <w:r w:rsidR="006660F8">
        <w:rPr>
          <w:rFonts w:ascii="Arial" w:hAnsi="Arial" w:cs="Arial"/>
          <w:color w:val="000000"/>
          <w:lang w:val="es-ES_tradnl"/>
        </w:rPr>
        <w:t xml:space="preserve"> Toda esta información será revisada </w:t>
      </w:r>
      <w:r w:rsidR="00CC4119">
        <w:rPr>
          <w:rFonts w:ascii="Arial" w:hAnsi="Arial" w:cs="Arial"/>
          <w:color w:val="000000"/>
          <w:lang w:val="es-ES_tradnl"/>
        </w:rPr>
        <w:t>y validada por</w:t>
      </w:r>
      <w:r w:rsidR="006660F8" w:rsidRPr="006660F8">
        <w:rPr>
          <w:rFonts w:ascii="Arial" w:hAnsi="Arial" w:cs="Arial"/>
          <w:color w:val="000000"/>
          <w:lang w:val="es-ES_tradnl"/>
        </w:rPr>
        <w:t xml:space="preserve"> la AETN</w:t>
      </w:r>
      <w:r w:rsidR="006660F8">
        <w:rPr>
          <w:rFonts w:ascii="Arial" w:hAnsi="Arial" w:cs="Arial"/>
          <w:color w:val="000000"/>
          <w:lang w:val="es-ES_tradnl"/>
        </w:rPr>
        <w:t>.</w:t>
      </w:r>
      <w:r w:rsidR="00DE3D5C">
        <w:rPr>
          <w:rFonts w:ascii="Arial" w:hAnsi="Arial" w:cs="Arial"/>
          <w:color w:val="000000"/>
          <w:lang w:val="es-ES_tradnl"/>
        </w:rPr>
        <w:t xml:space="preserve"> </w:t>
      </w:r>
      <w:r w:rsidR="006660F8">
        <w:rPr>
          <w:rFonts w:ascii="Arial" w:hAnsi="Arial" w:cs="Arial"/>
          <w:color w:val="000000"/>
          <w:lang w:val="es-ES_tradnl"/>
        </w:rPr>
        <w:t xml:space="preserve">Con esta información la AETN enviará al Ministerio de Economía (o a su brazo operativo designado) los respectivos montos que </w:t>
      </w:r>
      <w:r w:rsidR="00CC4119">
        <w:rPr>
          <w:rFonts w:ascii="Arial" w:hAnsi="Arial" w:cs="Arial"/>
          <w:color w:val="000000"/>
          <w:lang w:val="es-ES_tradnl"/>
        </w:rPr>
        <w:t xml:space="preserve">el Ministerio </w:t>
      </w:r>
      <w:r w:rsidR="006660F8">
        <w:rPr>
          <w:rFonts w:ascii="Arial" w:hAnsi="Arial" w:cs="Arial"/>
          <w:color w:val="000000"/>
          <w:lang w:val="es-ES_tradnl"/>
        </w:rPr>
        <w:t xml:space="preserve">debe cancelar a cada empresa distribuidora.  </w:t>
      </w:r>
    </w:p>
    <w:p w14:paraId="7E453A48" w14:textId="4A49813F" w:rsidR="00D10DDB" w:rsidRPr="00D10DDB" w:rsidRDefault="008B3178" w:rsidP="00584AF5">
      <w:pPr>
        <w:spacing w:before="120" w:after="120" w:line="240" w:lineRule="auto"/>
        <w:jc w:val="both"/>
        <w:rPr>
          <w:rFonts w:ascii="Arial" w:hAnsi="Arial" w:cs="Arial"/>
          <w:color w:val="000000"/>
          <w:lang w:val="es-ES_tradnl"/>
        </w:rPr>
      </w:pPr>
      <w:r>
        <w:rPr>
          <w:rFonts w:ascii="Arial" w:hAnsi="Arial" w:cs="Arial"/>
          <w:color w:val="000000"/>
          <w:lang w:val="es-ES_tradnl"/>
        </w:rPr>
        <w:t>3</w:t>
      </w:r>
      <w:r w:rsidR="00651C50">
        <w:rPr>
          <w:rFonts w:ascii="Arial" w:hAnsi="Arial" w:cs="Arial"/>
          <w:color w:val="000000"/>
          <w:lang w:val="es-ES_tradnl"/>
        </w:rPr>
        <w:t xml:space="preserve">. </w:t>
      </w:r>
      <w:r w:rsidR="00D10DDB" w:rsidRPr="00D10DDB">
        <w:rPr>
          <w:rFonts w:ascii="Arial" w:hAnsi="Arial" w:cs="Arial"/>
          <w:color w:val="000000"/>
          <w:lang w:val="es-ES_tradnl"/>
        </w:rPr>
        <w:t>Sistemas nacionales de información sanitaria</w:t>
      </w:r>
      <w:r w:rsidR="00324AFC">
        <w:rPr>
          <w:rFonts w:ascii="Arial" w:hAnsi="Arial" w:cs="Arial"/>
          <w:color w:val="000000"/>
          <w:lang w:val="es-ES_tradnl"/>
        </w:rPr>
        <w:t xml:space="preserve"> y de respuesta a la pandemia</w:t>
      </w:r>
      <w:r w:rsidR="00D10DDB" w:rsidRPr="00D10DDB">
        <w:rPr>
          <w:rFonts w:ascii="Arial" w:hAnsi="Arial" w:cs="Arial"/>
          <w:color w:val="000000"/>
          <w:lang w:val="es-ES_tradnl"/>
        </w:rPr>
        <w:t xml:space="preserve">. Los registros administrativos de los sistemas nacionales de información de salud se utilizarán para monitorear </w:t>
      </w:r>
      <w:r w:rsidR="002F2AEE">
        <w:rPr>
          <w:rFonts w:ascii="Arial" w:hAnsi="Arial" w:cs="Arial"/>
          <w:color w:val="000000"/>
          <w:lang w:val="es-ES_tradnl"/>
        </w:rPr>
        <w:t>lo</w:t>
      </w:r>
      <w:r w:rsidR="00324AFC">
        <w:rPr>
          <w:rFonts w:ascii="Arial" w:hAnsi="Arial" w:cs="Arial"/>
          <w:color w:val="000000"/>
          <w:lang w:val="es-ES_tradnl"/>
        </w:rPr>
        <w:t xml:space="preserve">s datos sobre las personas </w:t>
      </w:r>
      <w:r w:rsidR="005C5B58">
        <w:rPr>
          <w:rFonts w:ascii="Arial" w:hAnsi="Arial" w:cs="Arial"/>
          <w:color w:val="000000"/>
          <w:lang w:val="es-ES_tradnl"/>
        </w:rPr>
        <w:t xml:space="preserve">contagiadas, </w:t>
      </w:r>
      <w:r w:rsidR="00324AFC">
        <w:rPr>
          <w:rFonts w:ascii="Arial" w:hAnsi="Arial" w:cs="Arial"/>
          <w:color w:val="000000"/>
          <w:lang w:val="es-ES_tradnl"/>
        </w:rPr>
        <w:t xml:space="preserve">hospitalizadas y fallecidas a causa de COVID-19, así como </w:t>
      </w:r>
      <w:r w:rsidR="00D10DDB" w:rsidRPr="00D10DDB">
        <w:rPr>
          <w:rFonts w:ascii="Arial" w:hAnsi="Arial" w:cs="Arial"/>
          <w:color w:val="000000"/>
          <w:lang w:val="es-ES_tradnl"/>
        </w:rPr>
        <w:t>la</w:t>
      </w:r>
      <w:r w:rsidR="00324AFC">
        <w:rPr>
          <w:rFonts w:ascii="Arial" w:hAnsi="Arial" w:cs="Arial"/>
          <w:color w:val="000000"/>
          <w:lang w:val="es-ES_tradnl"/>
        </w:rPr>
        <w:t xml:space="preserve">s medidas de salud pública (distanciamiento social) </w:t>
      </w:r>
      <w:r w:rsidR="00720431">
        <w:rPr>
          <w:rFonts w:ascii="Arial" w:hAnsi="Arial" w:cs="Arial"/>
          <w:color w:val="000000"/>
          <w:lang w:val="es-ES_tradnl"/>
        </w:rPr>
        <w:t xml:space="preserve">y de mitigación a </w:t>
      </w:r>
    </w:p>
    <w:p w14:paraId="40D9E6D9" w14:textId="0255B6BE" w:rsidR="00D10DDB" w:rsidRPr="00D10DDB" w:rsidRDefault="00FD2BD7" w:rsidP="00584AF5">
      <w:pPr>
        <w:spacing w:before="120" w:after="120" w:line="240" w:lineRule="auto"/>
        <w:jc w:val="both"/>
        <w:rPr>
          <w:rFonts w:ascii="Arial" w:hAnsi="Arial" w:cs="Arial"/>
          <w:color w:val="000000"/>
          <w:lang w:val="es-ES_tradnl"/>
        </w:rPr>
      </w:pPr>
      <w:r>
        <w:rPr>
          <w:rFonts w:ascii="Arial" w:hAnsi="Arial" w:cs="Arial"/>
          <w:color w:val="000000"/>
          <w:lang w:val="es-ES_tradnl"/>
        </w:rPr>
        <w:t>4</w:t>
      </w:r>
      <w:r w:rsidR="00D10DDB" w:rsidRPr="00D10DDB">
        <w:rPr>
          <w:rFonts w:ascii="Arial" w:hAnsi="Arial" w:cs="Arial"/>
          <w:color w:val="000000"/>
          <w:lang w:val="es-ES_tradnl"/>
        </w:rPr>
        <w:t>. Sistema de monitoreo del proyecto. Los datos para monitorear los indicadores de resultados provendrán principalmente de sistemas de monitoreo de programas específicos desarrollados para la implementación del programa de supervisión.</w:t>
      </w:r>
    </w:p>
    <w:p w14:paraId="0279F511" w14:textId="21631B6A" w:rsidR="00D10DDB" w:rsidRPr="00D10DDB" w:rsidRDefault="00FD2BD7" w:rsidP="00584AF5">
      <w:pPr>
        <w:spacing w:before="120" w:after="120" w:line="240" w:lineRule="auto"/>
        <w:jc w:val="both"/>
        <w:rPr>
          <w:rFonts w:ascii="Arial" w:hAnsi="Arial" w:cs="Arial"/>
          <w:color w:val="000000"/>
          <w:lang w:val="es-ES_tradnl"/>
        </w:rPr>
      </w:pPr>
      <w:r>
        <w:rPr>
          <w:rFonts w:ascii="Arial" w:hAnsi="Arial" w:cs="Arial"/>
          <w:color w:val="000000"/>
          <w:lang w:val="es-ES_tradnl"/>
        </w:rPr>
        <w:t>5</w:t>
      </w:r>
      <w:r w:rsidR="00D10DDB" w:rsidRPr="00D10DDB">
        <w:rPr>
          <w:rFonts w:ascii="Arial" w:hAnsi="Arial" w:cs="Arial"/>
          <w:color w:val="000000"/>
          <w:lang w:val="es-ES_tradnl"/>
        </w:rPr>
        <w:t xml:space="preserve">. </w:t>
      </w:r>
      <w:r w:rsidR="006001BB" w:rsidRPr="006001BB">
        <w:rPr>
          <w:rFonts w:ascii="Arial" w:hAnsi="Arial" w:cs="Arial"/>
          <w:color w:val="000000"/>
          <w:lang w:val="es-ES_tradnl"/>
        </w:rPr>
        <w:t>Finalmente, como parte de la auditoría externa del Programa, la firma auditora realizará la verificación ex post de sistemas y procesos utilizados por los dos sub-ejecutores.</w:t>
      </w:r>
    </w:p>
    <w:p w14:paraId="37BB7593" w14:textId="6D7D2DD3" w:rsidR="00075FAC" w:rsidRDefault="00B270FB" w:rsidP="00584AF5">
      <w:pPr>
        <w:spacing w:before="120" w:after="120" w:line="240" w:lineRule="auto"/>
        <w:jc w:val="both"/>
        <w:rPr>
          <w:rFonts w:ascii="Arial" w:hAnsi="Arial" w:cs="Arial"/>
          <w:color w:val="000000"/>
          <w:lang w:val="es-ES_tradnl"/>
        </w:rPr>
      </w:pPr>
      <w:r w:rsidRPr="00B270FB">
        <w:rPr>
          <w:rFonts w:ascii="Arial" w:hAnsi="Arial" w:cs="Arial"/>
          <w:lang w:val="es-ES_tradnl"/>
        </w:rPr>
        <w:t xml:space="preserve">El OE será responsable por implementar el plan de monitoreo y evaluación. El instrumento principal del seguimiento de este programa será la matriz de resultado del proyecto y el plan de adquisiciones. </w:t>
      </w:r>
      <w:r w:rsidR="00D10DDB" w:rsidRPr="002F2AEE">
        <w:rPr>
          <w:rFonts w:ascii="Arial" w:hAnsi="Arial" w:cs="Arial"/>
          <w:color w:val="000000"/>
          <w:lang w:val="es-ES_tradnl"/>
        </w:rPr>
        <w:t xml:space="preserve">Las fuentes de información descritas en el párrafo b. 1 a </w:t>
      </w:r>
      <w:r w:rsidR="00FD2BD7">
        <w:rPr>
          <w:rFonts w:ascii="Arial" w:hAnsi="Arial" w:cs="Arial"/>
          <w:color w:val="000000"/>
          <w:lang w:val="es-ES_tradnl"/>
        </w:rPr>
        <w:t>4</w:t>
      </w:r>
      <w:r w:rsidR="00D10DDB" w:rsidRPr="002F2AEE">
        <w:rPr>
          <w:rFonts w:ascii="Arial" w:hAnsi="Arial" w:cs="Arial"/>
          <w:color w:val="000000"/>
          <w:lang w:val="es-ES_tradnl"/>
        </w:rPr>
        <w:t xml:space="preserve"> están bajo la responsabilidad directa de</w:t>
      </w:r>
      <w:r>
        <w:rPr>
          <w:rFonts w:ascii="Arial" w:hAnsi="Arial" w:cs="Arial"/>
          <w:color w:val="000000"/>
          <w:lang w:val="es-ES_tradnl"/>
        </w:rPr>
        <w:t>l OE</w:t>
      </w:r>
      <w:r w:rsidR="00D10DDB" w:rsidRPr="002F2AEE">
        <w:rPr>
          <w:rFonts w:ascii="Arial" w:hAnsi="Arial" w:cs="Arial"/>
          <w:color w:val="000000"/>
          <w:lang w:val="es-ES_tradnl"/>
        </w:rPr>
        <w:t xml:space="preserve">, que informará periódicamente sobre el progreso del indicador. </w:t>
      </w:r>
    </w:p>
    <w:p w14:paraId="20DF2B04" w14:textId="04F38109" w:rsidR="001B5186" w:rsidRDefault="001B5186" w:rsidP="000D11CA">
      <w:pPr>
        <w:pStyle w:val="ColorfulList-Accent11"/>
        <w:numPr>
          <w:ilvl w:val="1"/>
          <w:numId w:val="3"/>
        </w:numPr>
        <w:spacing w:before="240" w:after="120" w:line="240" w:lineRule="auto"/>
        <w:ind w:left="547" w:hanging="547"/>
        <w:contextualSpacing w:val="0"/>
        <w:jc w:val="both"/>
        <w:rPr>
          <w:rFonts w:ascii="Arial" w:hAnsi="Arial" w:cs="Arial"/>
          <w:b/>
        </w:rPr>
      </w:pPr>
      <w:r w:rsidRPr="00892764">
        <w:rPr>
          <w:rFonts w:ascii="Arial" w:hAnsi="Arial" w:cs="Arial"/>
          <w:b/>
        </w:rPr>
        <w:t>Repor</w:t>
      </w:r>
      <w:r w:rsidR="003F6917">
        <w:rPr>
          <w:rFonts w:ascii="Arial" w:hAnsi="Arial" w:cs="Arial"/>
          <w:b/>
        </w:rPr>
        <w:t>t</w:t>
      </w:r>
      <w:r w:rsidR="00B20EE9">
        <w:rPr>
          <w:rFonts w:ascii="Arial" w:hAnsi="Arial" w:cs="Arial"/>
          <w:b/>
        </w:rPr>
        <w:t>e</w:t>
      </w:r>
      <w:r w:rsidR="00F041BE">
        <w:rPr>
          <w:rFonts w:ascii="Arial" w:hAnsi="Arial" w:cs="Arial"/>
          <w:b/>
        </w:rPr>
        <w:t xml:space="preserve"> de resultados de monitoreo</w:t>
      </w:r>
    </w:p>
    <w:p w14:paraId="12E5A5EE" w14:textId="39FBF516" w:rsidR="004F2B03" w:rsidRPr="00734D97" w:rsidRDefault="00734D97" w:rsidP="00584AF5">
      <w:pPr>
        <w:spacing w:before="120" w:after="120" w:line="240" w:lineRule="auto"/>
        <w:jc w:val="both"/>
        <w:textAlignment w:val="top"/>
        <w:rPr>
          <w:rFonts w:ascii="Arial" w:eastAsia="Times New Roman" w:hAnsi="Arial" w:cs="Arial"/>
          <w:color w:val="000000"/>
          <w:lang w:val="es-ES_tradnl"/>
        </w:rPr>
      </w:pPr>
      <w:r w:rsidRPr="00734D97">
        <w:rPr>
          <w:rFonts w:ascii="Arial" w:eastAsia="Times New Roman" w:hAnsi="Arial" w:cs="Arial"/>
          <w:color w:val="000000"/>
          <w:lang w:val="es-ES_tradnl"/>
        </w:rPr>
        <w:t>El principal mecanismo de monitoreo para informar los resultados de monitoreo del proyecto es el Informe de Monitoreo de Progreso (PMR). Las principales fuentes de información para el PMR incluirán los siguientes instrumentos y herramientas:</w:t>
      </w:r>
    </w:p>
    <w:p w14:paraId="3EE6DC66" w14:textId="7FBC3250" w:rsidR="00952925" w:rsidRPr="004C0C27" w:rsidRDefault="00734D97" w:rsidP="000D11CA">
      <w:pPr>
        <w:pStyle w:val="ListParagraph"/>
        <w:numPr>
          <w:ilvl w:val="0"/>
          <w:numId w:val="12"/>
        </w:numPr>
        <w:spacing w:before="120" w:after="120" w:line="240" w:lineRule="auto"/>
        <w:ind w:left="360"/>
        <w:jc w:val="both"/>
        <w:textAlignment w:val="top"/>
        <w:rPr>
          <w:rFonts w:ascii="Arial" w:eastAsia="Times New Roman" w:hAnsi="Arial" w:cs="Arial"/>
          <w:color w:val="000000"/>
          <w:lang w:val="es-ES_tradnl"/>
        </w:rPr>
      </w:pPr>
      <w:r w:rsidRPr="004C0C27">
        <w:rPr>
          <w:rFonts w:ascii="Arial" w:eastAsia="Times New Roman" w:hAnsi="Arial" w:cs="Arial"/>
          <w:b/>
          <w:bCs/>
          <w:color w:val="000000"/>
          <w:lang w:val="es-ES_tradnl"/>
        </w:rPr>
        <w:t>Ma</w:t>
      </w:r>
      <w:r w:rsidR="00EA5F69" w:rsidRPr="004C0C27">
        <w:rPr>
          <w:rFonts w:ascii="Arial" w:eastAsia="Times New Roman" w:hAnsi="Arial" w:cs="Arial"/>
          <w:b/>
          <w:bCs/>
          <w:color w:val="000000"/>
          <w:lang w:val="es-ES_tradnl"/>
        </w:rPr>
        <w:t>triz de Resultados</w:t>
      </w:r>
      <w:r w:rsidR="004F2B03" w:rsidRPr="004C0C27">
        <w:rPr>
          <w:rFonts w:ascii="Arial" w:eastAsia="Times New Roman" w:hAnsi="Arial" w:cs="Arial"/>
          <w:color w:val="000000"/>
          <w:lang w:val="es-ES_tradnl"/>
        </w:rPr>
        <w:t>.</w:t>
      </w:r>
      <w:r w:rsidR="002B766C" w:rsidRPr="004C0C27">
        <w:rPr>
          <w:rFonts w:ascii="Arial" w:eastAsia="Times New Roman" w:hAnsi="Arial" w:cs="Arial"/>
          <w:color w:val="000000"/>
          <w:lang w:val="es-ES_tradnl"/>
        </w:rPr>
        <w:t xml:space="preserve"> </w:t>
      </w:r>
      <w:r w:rsidR="00D942D8" w:rsidRPr="004C0C27">
        <w:rPr>
          <w:rFonts w:ascii="Arial" w:eastAsia="Times New Roman" w:hAnsi="Arial" w:cs="Arial"/>
          <w:color w:val="000000"/>
          <w:lang w:val="es-ES_tradnl"/>
        </w:rPr>
        <w:t xml:space="preserve">El RM establece los objetivos del proyecto y presenta los resultados clave y los indicadores de impacto (línea de base y </w:t>
      </w:r>
      <w:r w:rsidR="001947CA">
        <w:rPr>
          <w:rFonts w:ascii="Arial" w:eastAsia="Times New Roman" w:hAnsi="Arial" w:cs="Arial"/>
          <w:color w:val="000000"/>
          <w:lang w:val="es-ES_tradnl"/>
        </w:rPr>
        <w:t>metas</w:t>
      </w:r>
      <w:r w:rsidR="00D942D8" w:rsidRPr="004C0C27">
        <w:rPr>
          <w:rFonts w:ascii="Arial" w:eastAsia="Times New Roman" w:hAnsi="Arial" w:cs="Arial"/>
          <w:color w:val="000000"/>
          <w:lang w:val="es-ES_tradnl"/>
        </w:rPr>
        <w:t>) que medirán el logro de los objetivos específicos, así como los indicadores de resultados para monitorear la implementación del programa. Refleja la teoría del cambio del proyecto para lograr los resultados esperados y es una herramienta fundamental para guiar la planificación, el monitoreo y la evaluación del proyecto.</w:t>
      </w:r>
    </w:p>
    <w:p w14:paraId="559A842D" w14:textId="77777777" w:rsidR="00056911" w:rsidRDefault="004C0C27" w:rsidP="000D11CA">
      <w:pPr>
        <w:pStyle w:val="ListParagraph"/>
        <w:numPr>
          <w:ilvl w:val="0"/>
          <w:numId w:val="12"/>
        </w:numPr>
        <w:spacing w:before="120" w:after="120" w:line="240" w:lineRule="auto"/>
        <w:ind w:left="360"/>
        <w:jc w:val="both"/>
        <w:textAlignment w:val="top"/>
        <w:rPr>
          <w:rFonts w:ascii="Arial" w:eastAsia="Times New Roman" w:hAnsi="Arial" w:cs="Arial"/>
          <w:color w:val="000000"/>
          <w:lang w:val="es-ES_tradnl"/>
        </w:rPr>
      </w:pPr>
      <w:r w:rsidRPr="00071C8C">
        <w:rPr>
          <w:rFonts w:ascii="Arial" w:eastAsia="Times New Roman" w:hAnsi="Arial" w:cs="Arial"/>
          <w:b/>
          <w:bCs/>
          <w:color w:val="000000"/>
          <w:lang w:val="es-ES_tradnl"/>
        </w:rPr>
        <w:t>Informes semestrales de progreso.</w:t>
      </w:r>
      <w:r w:rsidR="00787A70" w:rsidRPr="00071C8C">
        <w:rPr>
          <w:rFonts w:ascii="Arial" w:eastAsia="Times New Roman" w:hAnsi="Arial" w:cs="Arial"/>
          <w:color w:val="000000"/>
          <w:lang w:val="es-ES_tradnl"/>
        </w:rPr>
        <w:t xml:space="preserve"> </w:t>
      </w:r>
      <w:r w:rsidR="00056911" w:rsidRPr="00056911">
        <w:rPr>
          <w:rFonts w:ascii="Arial" w:eastAsia="Times New Roman" w:hAnsi="Arial" w:cs="Arial"/>
          <w:color w:val="000000"/>
          <w:lang w:val="es-ES_tradnl"/>
        </w:rPr>
        <w:t xml:space="preserve">El organismo ejecutor es responsable de presentar al Banco informes de progreso semestrales dentro de los [60] días posteriores al final de cada semestre. Estos informes detallarán los avances en la implementación del proyecto e incluirán: progreso físico y financiero de los productos; progreso de las actividades contempladas en el Plan Operativo Anual (POA); estado de los procesos de adquisición y contratación; cumplimiento de salvaguardas ambientales y sociales; evaluación de riesgos; </w:t>
      </w:r>
      <w:r w:rsidR="00056911" w:rsidRPr="00056911">
        <w:rPr>
          <w:rFonts w:ascii="Arial" w:eastAsia="Times New Roman" w:hAnsi="Arial" w:cs="Arial"/>
          <w:color w:val="000000"/>
          <w:lang w:val="es-ES_tradnl"/>
        </w:rPr>
        <w:lastRenderedPageBreak/>
        <w:t>y actualización de las herramientas de planificación y monitoreo, incluida la matriz de resultados.</w:t>
      </w:r>
    </w:p>
    <w:p w14:paraId="5D7A49AE" w14:textId="1F8FD2AF" w:rsidR="00A1369F" w:rsidRPr="00F44B24" w:rsidRDefault="00AF3E9E" w:rsidP="000D11CA">
      <w:pPr>
        <w:pStyle w:val="ListParagraph"/>
        <w:numPr>
          <w:ilvl w:val="0"/>
          <w:numId w:val="12"/>
        </w:numPr>
        <w:spacing w:before="120" w:after="120" w:line="240" w:lineRule="auto"/>
        <w:ind w:left="360"/>
        <w:jc w:val="both"/>
        <w:textAlignment w:val="top"/>
        <w:rPr>
          <w:rFonts w:ascii="Arial" w:eastAsia="Times New Roman" w:hAnsi="Arial" w:cs="Arial"/>
          <w:color w:val="000000"/>
          <w:lang w:val="es-ES"/>
        </w:rPr>
      </w:pPr>
      <w:r w:rsidRPr="00AF3E9E">
        <w:rPr>
          <w:rFonts w:ascii="Arial" w:eastAsia="Times New Roman" w:hAnsi="Arial" w:cs="Arial"/>
          <w:b/>
          <w:bCs/>
          <w:color w:val="000000"/>
          <w:lang w:val="es-ES_tradnl"/>
        </w:rPr>
        <w:t>Plan de ejecución plurianual (PEP).</w:t>
      </w:r>
      <w:r w:rsidRPr="00AF3E9E">
        <w:rPr>
          <w:rFonts w:ascii="Arial" w:eastAsia="Times New Roman" w:hAnsi="Arial" w:cs="Arial"/>
          <w:color w:val="000000"/>
          <w:lang w:val="es-ES_tradnl"/>
        </w:rPr>
        <w:t xml:space="preserve"> Es una herramienta de planificación dinámica que enumera las acciones que se llevarán a cabo durante todo el período de ejecución de la operación. El PEP especifica los recursos disponibles y el marco de tiempo para la implementación de las actividades de cada proyecto y los productos asociados e identifica los hitos críticos que se deben monitorear para el logro de los productos. </w:t>
      </w:r>
      <w:r w:rsidRPr="00F44B24">
        <w:rPr>
          <w:rFonts w:ascii="Arial" w:eastAsia="Times New Roman" w:hAnsi="Arial" w:cs="Arial"/>
          <w:color w:val="000000"/>
          <w:lang w:val="es-ES"/>
        </w:rPr>
        <w:t>Un PEP actualizado será parte de cada informe de progreso semestral.</w:t>
      </w:r>
      <w:r w:rsidR="00A1369F" w:rsidRPr="00F44B24">
        <w:rPr>
          <w:rFonts w:ascii="Arial" w:eastAsia="Times New Roman" w:hAnsi="Arial" w:cs="Arial"/>
          <w:color w:val="000000"/>
          <w:lang w:val="es-ES"/>
        </w:rPr>
        <w:t xml:space="preserve"> </w:t>
      </w:r>
    </w:p>
    <w:p w14:paraId="273D5706" w14:textId="288AB213" w:rsidR="0006684C" w:rsidRPr="00F44B24" w:rsidRDefault="0090476B" w:rsidP="000D11CA">
      <w:pPr>
        <w:pStyle w:val="ListParagraph"/>
        <w:numPr>
          <w:ilvl w:val="0"/>
          <w:numId w:val="12"/>
        </w:numPr>
        <w:spacing w:before="120" w:after="120" w:line="240" w:lineRule="auto"/>
        <w:ind w:left="360"/>
        <w:jc w:val="both"/>
        <w:textAlignment w:val="top"/>
        <w:rPr>
          <w:rFonts w:ascii="Arial" w:eastAsia="Times New Roman" w:hAnsi="Arial" w:cs="Arial"/>
          <w:color w:val="000000"/>
          <w:lang w:val="es-ES"/>
        </w:rPr>
      </w:pPr>
      <w:r w:rsidRPr="00417465">
        <w:rPr>
          <w:rFonts w:ascii="Arial" w:eastAsia="Times New Roman" w:hAnsi="Arial" w:cs="Arial"/>
          <w:b/>
          <w:bCs/>
          <w:color w:val="000000"/>
          <w:lang w:val="es-ES_tradnl"/>
        </w:rPr>
        <w:t>Plan Operativo Anual</w:t>
      </w:r>
      <w:r w:rsidR="0006684C" w:rsidRPr="00417465">
        <w:rPr>
          <w:rFonts w:ascii="Arial" w:eastAsia="Times New Roman" w:hAnsi="Arial" w:cs="Arial"/>
          <w:b/>
          <w:bCs/>
          <w:color w:val="000000"/>
          <w:lang w:val="es-ES_tradnl"/>
        </w:rPr>
        <w:t xml:space="preserve"> (</w:t>
      </w:r>
      <w:r w:rsidR="009E4742" w:rsidRPr="00417465">
        <w:rPr>
          <w:rFonts w:ascii="Arial" w:eastAsia="Times New Roman" w:hAnsi="Arial" w:cs="Arial"/>
          <w:b/>
          <w:bCs/>
          <w:color w:val="000000"/>
          <w:lang w:val="es-ES_tradnl"/>
        </w:rPr>
        <w:t>POA</w:t>
      </w:r>
      <w:r w:rsidR="0006684C" w:rsidRPr="00417465">
        <w:rPr>
          <w:rFonts w:ascii="Arial" w:eastAsia="Times New Roman" w:hAnsi="Arial" w:cs="Arial"/>
          <w:b/>
          <w:bCs/>
          <w:color w:val="000000"/>
          <w:lang w:val="es-ES_tradnl"/>
        </w:rPr>
        <w:t>)</w:t>
      </w:r>
      <w:r w:rsidR="0006684C" w:rsidRPr="00417465">
        <w:rPr>
          <w:rFonts w:ascii="Arial" w:eastAsia="Times New Roman" w:hAnsi="Arial" w:cs="Arial"/>
          <w:color w:val="000000"/>
          <w:lang w:val="es-ES_tradnl"/>
        </w:rPr>
        <w:t>.</w:t>
      </w:r>
      <w:r w:rsidR="009E4742" w:rsidRPr="00417465">
        <w:rPr>
          <w:rFonts w:ascii="Arial" w:eastAsia="Times New Roman" w:hAnsi="Arial" w:cs="Arial"/>
          <w:color w:val="000000"/>
          <w:lang w:val="es-ES_tradnl"/>
        </w:rPr>
        <w:t xml:space="preserve"> </w:t>
      </w:r>
      <w:r w:rsidR="00417465" w:rsidRPr="00417465">
        <w:rPr>
          <w:rFonts w:ascii="Arial" w:eastAsia="Times New Roman" w:hAnsi="Arial" w:cs="Arial"/>
          <w:color w:val="000000"/>
          <w:lang w:val="es-ES_tradnl"/>
        </w:rPr>
        <w:t>Constituye el instrumento de planificación de actividades del proyecto para cada año. El POA incluye el progreso físico y financiero del período anterior, la Matriz de Resultados actualizada, la planificación para el próximo período, las proyecciones de desembolsos, la Matriz de Riesgos actualizada, entre otros. El POA actualizado será parte de cada informe de progreso semestral.</w:t>
      </w:r>
      <w:r w:rsidR="007C3C25" w:rsidRPr="00F44B24">
        <w:rPr>
          <w:rFonts w:ascii="Arial" w:eastAsia="Times New Roman" w:hAnsi="Arial" w:cs="Arial"/>
          <w:color w:val="000000"/>
          <w:lang w:val="es-ES"/>
        </w:rPr>
        <w:t xml:space="preserve"> </w:t>
      </w:r>
      <w:r w:rsidR="009E4742" w:rsidRPr="00F44B24">
        <w:rPr>
          <w:rFonts w:ascii="Arial" w:eastAsia="Times New Roman" w:hAnsi="Arial" w:cs="Arial"/>
          <w:color w:val="000000"/>
          <w:lang w:val="es-ES"/>
        </w:rPr>
        <w:t xml:space="preserve"> </w:t>
      </w:r>
      <w:r w:rsidR="0006684C" w:rsidRPr="00F44B24">
        <w:rPr>
          <w:rFonts w:ascii="Arial" w:eastAsia="Times New Roman" w:hAnsi="Arial" w:cs="Arial"/>
          <w:color w:val="000000"/>
          <w:lang w:val="es-ES"/>
        </w:rPr>
        <w:t xml:space="preserve"> </w:t>
      </w:r>
    </w:p>
    <w:p w14:paraId="3331E0C3" w14:textId="30CAAE19" w:rsidR="00114B1C" w:rsidRPr="00D55192" w:rsidRDefault="00D55192" w:rsidP="000D11CA">
      <w:pPr>
        <w:pStyle w:val="ListParagraph"/>
        <w:numPr>
          <w:ilvl w:val="0"/>
          <w:numId w:val="12"/>
        </w:numPr>
        <w:spacing w:before="120" w:after="120" w:line="240" w:lineRule="auto"/>
        <w:ind w:left="360"/>
        <w:jc w:val="both"/>
        <w:textAlignment w:val="top"/>
        <w:rPr>
          <w:rFonts w:ascii="Arial" w:eastAsia="Times New Roman" w:hAnsi="Arial" w:cs="Arial"/>
          <w:color w:val="000000"/>
          <w:lang w:val="es-ES_tradnl"/>
        </w:rPr>
      </w:pPr>
      <w:r>
        <w:rPr>
          <w:rFonts w:ascii="Arial" w:eastAsia="Times New Roman" w:hAnsi="Arial" w:cs="Arial"/>
          <w:b/>
          <w:bCs/>
          <w:color w:val="000000"/>
          <w:lang w:val="es-ES_tradnl"/>
        </w:rPr>
        <w:t>I</w:t>
      </w:r>
      <w:r w:rsidRPr="00D55192">
        <w:rPr>
          <w:rFonts w:ascii="Arial" w:eastAsia="Times New Roman" w:hAnsi="Arial" w:cs="Arial"/>
          <w:b/>
          <w:bCs/>
          <w:color w:val="000000"/>
          <w:lang w:val="es-ES_tradnl"/>
        </w:rPr>
        <w:t>nformes periódicos de situación.</w:t>
      </w:r>
      <w:r w:rsidRPr="00D55192">
        <w:rPr>
          <w:rFonts w:ascii="Arial" w:eastAsia="Times New Roman" w:hAnsi="Arial" w:cs="Arial"/>
          <w:color w:val="000000"/>
          <w:lang w:val="es-ES_tradnl"/>
        </w:rPr>
        <w:t xml:space="preserve"> El organismo ejecutor producirá informes </w:t>
      </w:r>
      <w:r>
        <w:rPr>
          <w:rFonts w:ascii="Arial" w:eastAsia="Times New Roman" w:hAnsi="Arial" w:cs="Arial"/>
          <w:color w:val="000000"/>
          <w:lang w:val="es-ES_tradnl"/>
        </w:rPr>
        <w:t>sobre el despliegue de las transferencias</w:t>
      </w:r>
      <w:r w:rsidR="009411C1">
        <w:rPr>
          <w:rFonts w:ascii="Arial" w:eastAsia="Times New Roman" w:hAnsi="Arial" w:cs="Arial"/>
          <w:color w:val="000000"/>
          <w:lang w:val="es-ES_tradnl"/>
        </w:rPr>
        <w:t xml:space="preserve"> </w:t>
      </w:r>
      <w:r w:rsidRPr="00D55192">
        <w:rPr>
          <w:rFonts w:ascii="Arial" w:eastAsia="Times New Roman" w:hAnsi="Arial" w:cs="Arial"/>
          <w:color w:val="000000"/>
          <w:lang w:val="es-ES_tradnl"/>
        </w:rPr>
        <w:t>[semanales / mensuales]</w:t>
      </w:r>
      <w:r w:rsidR="009411C1">
        <w:rPr>
          <w:rFonts w:ascii="Arial" w:eastAsia="Times New Roman" w:hAnsi="Arial" w:cs="Arial"/>
          <w:color w:val="000000"/>
          <w:lang w:val="es-ES_tradnl"/>
        </w:rPr>
        <w:t xml:space="preserve"> y </w:t>
      </w:r>
      <w:r w:rsidR="00197372">
        <w:rPr>
          <w:rFonts w:ascii="Arial" w:eastAsia="Times New Roman" w:hAnsi="Arial" w:cs="Arial"/>
          <w:color w:val="000000"/>
          <w:lang w:val="es-ES_tradnl"/>
        </w:rPr>
        <w:t>dará seguimiento a</w:t>
      </w:r>
      <w:r w:rsidR="008E2801">
        <w:rPr>
          <w:rFonts w:ascii="Arial" w:eastAsia="Times New Roman" w:hAnsi="Arial" w:cs="Arial"/>
          <w:color w:val="000000"/>
          <w:lang w:val="es-ES_tradnl"/>
        </w:rPr>
        <w:t xml:space="preserve"> los reportes epidemiológicos asociados con la pandemia</w:t>
      </w:r>
      <w:r w:rsidRPr="00D55192">
        <w:rPr>
          <w:rFonts w:ascii="Arial" w:eastAsia="Times New Roman" w:hAnsi="Arial" w:cs="Arial"/>
          <w:color w:val="000000"/>
          <w:lang w:val="es-ES_tradnl"/>
        </w:rPr>
        <w:t>. Estos informes serán una fuente de información para los informes de progreso semestrales, RM y PMR.</w:t>
      </w:r>
      <w:r w:rsidR="00A1369F" w:rsidRPr="00D55192">
        <w:rPr>
          <w:rFonts w:ascii="Arial" w:eastAsia="Times New Roman" w:hAnsi="Arial" w:cs="Arial"/>
          <w:color w:val="000000"/>
          <w:lang w:val="es-ES_tradnl"/>
        </w:rPr>
        <w:t xml:space="preserve"> </w:t>
      </w:r>
    </w:p>
    <w:p w14:paraId="054BB08E" w14:textId="77777777" w:rsidR="004E0F3F" w:rsidRPr="004E0F3F" w:rsidRDefault="004E0F3F" w:rsidP="00584AF5">
      <w:pPr>
        <w:spacing w:before="120" w:after="120" w:line="240" w:lineRule="auto"/>
        <w:jc w:val="both"/>
        <w:rPr>
          <w:rFonts w:ascii="Arial" w:hAnsi="Arial" w:cs="Arial"/>
          <w:color w:val="000000"/>
          <w:lang w:val="es-ES_tradnl"/>
        </w:rPr>
      </w:pPr>
      <w:r w:rsidRPr="004E0F3F">
        <w:rPr>
          <w:rFonts w:ascii="Arial" w:hAnsi="Arial" w:cs="Arial"/>
          <w:color w:val="000000"/>
          <w:lang w:val="es-ES_tradnl"/>
        </w:rPr>
        <w:t>Otras fuentes de información para el PMR son:</w:t>
      </w:r>
    </w:p>
    <w:p w14:paraId="5C682693" w14:textId="0C6F88B5" w:rsidR="004E0F3F" w:rsidRPr="004E0F3F" w:rsidRDefault="004E0F3F" w:rsidP="00584AF5">
      <w:pPr>
        <w:pStyle w:val="ListParagraph"/>
        <w:numPr>
          <w:ilvl w:val="0"/>
          <w:numId w:val="16"/>
        </w:numPr>
        <w:spacing w:before="120" w:after="120" w:line="240" w:lineRule="auto"/>
        <w:jc w:val="both"/>
        <w:rPr>
          <w:rFonts w:ascii="Arial" w:hAnsi="Arial" w:cs="Arial"/>
          <w:color w:val="000000"/>
          <w:lang w:val="es-ES_tradnl"/>
        </w:rPr>
      </w:pPr>
      <w:r w:rsidRPr="004E0F3F">
        <w:rPr>
          <w:rFonts w:ascii="Arial" w:hAnsi="Arial" w:cs="Arial"/>
          <w:color w:val="000000"/>
          <w:lang w:val="es-ES_tradnl"/>
        </w:rPr>
        <w:t>Plan de adquisición</w:t>
      </w:r>
    </w:p>
    <w:p w14:paraId="229CCCFD" w14:textId="76DE5622" w:rsidR="004E0F3F" w:rsidRPr="004E0F3F" w:rsidRDefault="00756FFA" w:rsidP="00584AF5">
      <w:pPr>
        <w:pStyle w:val="ListParagraph"/>
        <w:numPr>
          <w:ilvl w:val="0"/>
          <w:numId w:val="16"/>
        </w:numPr>
        <w:spacing w:before="120" w:after="120" w:line="240" w:lineRule="auto"/>
        <w:jc w:val="both"/>
        <w:rPr>
          <w:rFonts w:ascii="Arial" w:hAnsi="Arial" w:cs="Arial"/>
          <w:color w:val="000000"/>
          <w:lang w:val="es-ES_tradnl"/>
        </w:rPr>
      </w:pPr>
      <w:r>
        <w:rPr>
          <w:rFonts w:ascii="Arial" w:hAnsi="Arial" w:cs="Arial"/>
          <w:color w:val="000000"/>
          <w:lang w:val="es-ES_tradnl"/>
        </w:rPr>
        <w:t xml:space="preserve">Seguimiento a los riesgos identificados </w:t>
      </w:r>
      <w:r w:rsidR="00C3596A">
        <w:rPr>
          <w:rFonts w:ascii="Arial" w:hAnsi="Arial" w:cs="Arial"/>
          <w:color w:val="000000"/>
          <w:lang w:val="es-ES_tradnl"/>
        </w:rPr>
        <w:t>en el documento de proyecto</w:t>
      </w:r>
    </w:p>
    <w:p w14:paraId="7470DBDA" w14:textId="3C23DC30" w:rsidR="004E0F3F" w:rsidRPr="004E0F3F" w:rsidRDefault="004E0F3F" w:rsidP="00584AF5">
      <w:pPr>
        <w:pStyle w:val="ListParagraph"/>
        <w:numPr>
          <w:ilvl w:val="0"/>
          <w:numId w:val="16"/>
        </w:numPr>
        <w:spacing w:before="120" w:after="120" w:line="240" w:lineRule="auto"/>
        <w:jc w:val="both"/>
        <w:rPr>
          <w:rFonts w:ascii="Arial" w:hAnsi="Arial" w:cs="Arial"/>
          <w:color w:val="000000"/>
        </w:rPr>
      </w:pPr>
      <w:r w:rsidRPr="004E0F3F">
        <w:rPr>
          <w:rFonts w:ascii="Arial" w:hAnsi="Arial" w:cs="Arial"/>
          <w:color w:val="000000"/>
        </w:rPr>
        <w:t>Informes financieros auditados</w:t>
      </w:r>
    </w:p>
    <w:p w14:paraId="3ACC84DA" w14:textId="540325C4" w:rsidR="003870BC" w:rsidRDefault="004E0F3F" w:rsidP="00584AF5">
      <w:pPr>
        <w:pStyle w:val="ListParagraph"/>
        <w:numPr>
          <w:ilvl w:val="0"/>
          <w:numId w:val="16"/>
        </w:numPr>
        <w:spacing w:before="120" w:after="120" w:line="240" w:lineRule="auto"/>
        <w:jc w:val="both"/>
        <w:rPr>
          <w:rFonts w:ascii="Arial" w:hAnsi="Arial" w:cs="Arial"/>
          <w:color w:val="000000"/>
        </w:rPr>
      </w:pPr>
      <w:r w:rsidRPr="004E0F3F">
        <w:rPr>
          <w:rFonts w:ascii="Arial" w:hAnsi="Arial" w:cs="Arial"/>
          <w:color w:val="000000"/>
        </w:rPr>
        <w:t>Proyecciones de desembolsos anuales</w:t>
      </w:r>
    </w:p>
    <w:p w14:paraId="1379F09F" w14:textId="6AF812E5" w:rsidR="001B5186" w:rsidRPr="00F041BE" w:rsidRDefault="00F041BE" w:rsidP="000D11CA">
      <w:pPr>
        <w:pStyle w:val="ColorfulList-Accent11"/>
        <w:numPr>
          <w:ilvl w:val="1"/>
          <w:numId w:val="3"/>
        </w:numPr>
        <w:spacing w:before="240" w:after="120" w:line="240" w:lineRule="auto"/>
        <w:ind w:left="547" w:hanging="547"/>
        <w:contextualSpacing w:val="0"/>
        <w:jc w:val="both"/>
        <w:rPr>
          <w:rFonts w:ascii="Arial" w:hAnsi="Arial" w:cs="Arial"/>
          <w:b/>
          <w:bCs/>
          <w:lang w:val="es-ES_tradnl"/>
        </w:rPr>
      </w:pPr>
      <w:r w:rsidRPr="00F041BE">
        <w:rPr>
          <w:rFonts w:ascii="Arial" w:hAnsi="Arial" w:cs="Arial"/>
          <w:b/>
          <w:bCs/>
          <w:lang w:val="es-ES_tradnl"/>
        </w:rPr>
        <w:t>Coordinación de seguimiento, plan de trabajo y presupuesto</w:t>
      </w:r>
    </w:p>
    <w:p w14:paraId="32791CC3" w14:textId="769C097A" w:rsidR="00A80F94" w:rsidRPr="00A80F94" w:rsidRDefault="00A80F94" w:rsidP="00584AF5">
      <w:pPr>
        <w:spacing w:before="120" w:after="120" w:line="240" w:lineRule="auto"/>
        <w:jc w:val="both"/>
        <w:textAlignment w:val="top"/>
        <w:rPr>
          <w:rFonts w:ascii="Arial" w:eastAsia="Times New Roman" w:hAnsi="Arial" w:cs="Arial"/>
          <w:color w:val="000000"/>
          <w:lang w:val="es-ES_tradnl"/>
        </w:rPr>
      </w:pPr>
      <w:r w:rsidRPr="00A80F94">
        <w:rPr>
          <w:rFonts w:ascii="Arial" w:eastAsia="Times New Roman" w:hAnsi="Arial" w:cs="Arial"/>
          <w:color w:val="000000"/>
          <w:lang w:val="es-ES_tradnl"/>
        </w:rPr>
        <w:t>El propósito de esta sección es detallar a los responsables de la implementación del plan de monitoreo, incluidas las actividades relacionadas con la presentación de informes sobre los resultados del programa. Además, esta sección incluye el presupuesto asignado a cada actividad y un plan de trabajo detallado (Tabla 3).</w:t>
      </w:r>
    </w:p>
    <w:p w14:paraId="247FE62C" w14:textId="2C9C2EEC" w:rsidR="00A80F94" w:rsidRPr="00A80F94" w:rsidRDefault="00240D81" w:rsidP="00584AF5">
      <w:pPr>
        <w:spacing w:before="120" w:after="120" w:line="240" w:lineRule="auto"/>
        <w:jc w:val="both"/>
        <w:textAlignment w:val="top"/>
        <w:rPr>
          <w:rFonts w:ascii="Arial" w:eastAsia="Times New Roman" w:hAnsi="Arial" w:cs="Arial"/>
          <w:color w:val="000000"/>
          <w:lang w:val="es-ES_tradnl"/>
        </w:rPr>
      </w:pPr>
      <w:r>
        <w:rPr>
          <w:rFonts w:ascii="Arial" w:eastAsia="Times New Roman" w:hAnsi="Arial" w:cs="Arial"/>
          <w:color w:val="000000"/>
          <w:lang w:val="es-ES_tradnl"/>
        </w:rPr>
        <w:t>El OE</w:t>
      </w:r>
      <w:r w:rsidR="00A80F94" w:rsidRPr="00A80F94">
        <w:rPr>
          <w:rFonts w:ascii="Arial" w:eastAsia="Times New Roman" w:hAnsi="Arial" w:cs="Arial"/>
          <w:color w:val="000000"/>
          <w:lang w:val="es-ES_tradnl"/>
        </w:rPr>
        <w:t xml:space="preserve"> y el BID serán responsables de llevar a cabo actividades de monitoreo y presentar información oportuna sobre la implementación del programa y el progreso de los indicadores, mediante la preparación de los informes descritos en la sección c. El equipo del proyecto </w:t>
      </w:r>
      <w:r w:rsidR="00487E28">
        <w:rPr>
          <w:rFonts w:ascii="Arial" w:eastAsia="Times New Roman" w:hAnsi="Arial" w:cs="Arial"/>
          <w:color w:val="000000"/>
          <w:lang w:val="es-ES_tradnl"/>
        </w:rPr>
        <w:t>del OE</w:t>
      </w:r>
      <w:r w:rsidR="00A80F94" w:rsidRPr="00A80F94">
        <w:rPr>
          <w:rFonts w:ascii="Arial" w:eastAsia="Times New Roman" w:hAnsi="Arial" w:cs="Arial"/>
          <w:color w:val="000000"/>
          <w:lang w:val="es-ES_tradnl"/>
        </w:rPr>
        <w:t xml:space="preserve"> coordinarán la producción de informes de monitoreo oportunos para asegurar la implementación adecuada del plan de monitoreo.</w:t>
      </w:r>
    </w:p>
    <w:p w14:paraId="27264310" w14:textId="77777777" w:rsidR="008D20E4" w:rsidRDefault="00A80F94" w:rsidP="00584AF5">
      <w:pPr>
        <w:spacing w:before="120" w:after="120" w:line="240" w:lineRule="auto"/>
        <w:jc w:val="both"/>
        <w:textAlignment w:val="top"/>
        <w:rPr>
          <w:rFonts w:ascii="Arial" w:eastAsia="Times New Roman" w:hAnsi="Arial" w:cs="Arial"/>
          <w:color w:val="000000"/>
          <w:lang w:val="es-ES_tradnl"/>
        </w:rPr>
      </w:pPr>
      <w:r w:rsidRPr="00A80F94">
        <w:rPr>
          <w:rFonts w:ascii="Arial" w:eastAsia="Times New Roman" w:hAnsi="Arial" w:cs="Arial"/>
          <w:color w:val="000000"/>
          <w:lang w:val="es-ES_tradnl"/>
        </w:rPr>
        <w:t>La Tabla 3 presenta el plan de trabajo de monitoreo, incluyendo el cronograma de monitoreo, el presupuesto asignado para cada actividad principal o el producto de monitoreo y la fuente de financiamiento.</w:t>
      </w:r>
    </w:p>
    <w:p w14:paraId="49447089" w14:textId="06D5AB68" w:rsidR="001D60CC" w:rsidRPr="000C3B5E" w:rsidRDefault="001D60CC" w:rsidP="00584AF5">
      <w:pPr>
        <w:tabs>
          <w:tab w:val="left" w:pos="972"/>
        </w:tabs>
        <w:spacing w:before="120" w:after="120" w:line="240" w:lineRule="auto"/>
        <w:rPr>
          <w:lang w:val="es-ES_tradnl"/>
        </w:rPr>
        <w:sectPr w:rsidR="001D60CC" w:rsidRPr="000C3B5E" w:rsidSect="00190876">
          <w:pgSz w:w="12240" w:h="15840"/>
          <w:pgMar w:top="1440" w:right="1627" w:bottom="1440" w:left="1440" w:header="720" w:footer="720" w:gutter="0"/>
          <w:cols w:space="720"/>
          <w:docGrid w:linePitch="360"/>
        </w:sectPr>
      </w:pPr>
    </w:p>
    <w:p w14:paraId="619E06D1" w14:textId="4E8C705C" w:rsidR="001B5186" w:rsidRPr="000D11CA" w:rsidRDefault="001B5186" w:rsidP="004964DC">
      <w:pPr>
        <w:spacing w:after="0" w:line="288" w:lineRule="auto"/>
        <w:jc w:val="center"/>
        <w:rPr>
          <w:rFonts w:ascii="Arial" w:hAnsi="Arial" w:cs="Arial"/>
          <w:b/>
          <w:bCs/>
          <w:lang w:val="es-ES_tradnl"/>
        </w:rPr>
      </w:pPr>
      <w:r w:rsidRPr="000D11CA">
        <w:rPr>
          <w:rFonts w:ascii="Arial" w:hAnsi="Arial" w:cs="Arial"/>
          <w:b/>
          <w:bCs/>
          <w:lang w:val="es-ES_tradnl"/>
        </w:rPr>
        <w:lastRenderedPageBreak/>
        <w:t>Tabl</w:t>
      </w:r>
      <w:r w:rsidR="0015541E" w:rsidRPr="000D11CA">
        <w:rPr>
          <w:rFonts w:ascii="Arial" w:hAnsi="Arial" w:cs="Arial"/>
          <w:b/>
          <w:bCs/>
          <w:lang w:val="es-ES_tradnl"/>
        </w:rPr>
        <w:t>a 3</w:t>
      </w:r>
    </w:p>
    <w:p w14:paraId="067871F8" w14:textId="7F561276" w:rsidR="001B5186" w:rsidRPr="000D11CA" w:rsidRDefault="000C3B5E" w:rsidP="004964DC">
      <w:pPr>
        <w:spacing w:after="0" w:line="288" w:lineRule="auto"/>
        <w:jc w:val="center"/>
        <w:rPr>
          <w:rFonts w:ascii="Arial" w:hAnsi="Arial" w:cs="Arial"/>
          <w:b/>
          <w:bCs/>
          <w:lang w:val="es-ES_tradnl"/>
        </w:rPr>
      </w:pPr>
      <w:r w:rsidRPr="000D11CA">
        <w:rPr>
          <w:rFonts w:ascii="Arial" w:hAnsi="Arial" w:cs="Arial"/>
          <w:b/>
          <w:bCs/>
          <w:lang w:val="es-ES_tradnl"/>
        </w:rPr>
        <w:t xml:space="preserve">Plan de trabajo de </w:t>
      </w:r>
      <w:r w:rsidR="000D11CA" w:rsidRPr="000D11CA">
        <w:rPr>
          <w:rFonts w:ascii="Arial" w:hAnsi="Arial" w:cs="Arial"/>
          <w:b/>
          <w:bCs/>
          <w:lang w:val="es-ES_tradnl"/>
        </w:rPr>
        <w:t>Monitoreo</w:t>
      </w:r>
    </w:p>
    <w:p w14:paraId="55B8FC1A" w14:textId="77777777" w:rsidR="001B5186" w:rsidRPr="00F44B24" w:rsidRDefault="001B5186" w:rsidP="004964DC">
      <w:pPr>
        <w:spacing w:after="0" w:line="288" w:lineRule="auto"/>
        <w:jc w:val="both"/>
        <w:rPr>
          <w:rFonts w:ascii="Arial" w:hAnsi="Arial" w:cs="Arial"/>
          <w:lang w:val="es-ES"/>
        </w:rPr>
      </w:pPr>
    </w:p>
    <w:tbl>
      <w:tblPr>
        <w:tblW w:w="960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2"/>
        <w:gridCol w:w="360"/>
        <w:gridCol w:w="360"/>
        <w:gridCol w:w="360"/>
        <w:gridCol w:w="360"/>
        <w:gridCol w:w="450"/>
        <w:gridCol w:w="450"/>
        <w:gridCol w:w="450"/>
        <w:gridCol w:w="450"/>
        <w:gridCol w:w="1800"/>
        <w:gridCol w:w="1440"/>
      </w:tblGrid>
      <w:tr w:rsidR="007A1D93" w:rsidRPr="000D11CA" w14:paraId="1F5E8399" w14:textId="77777777" w:rsidTr="007A1D93">
        <w:tc>
          <w:tcPr>
            <w:tcW w:w="3122" w:type="dxa"/>
            <w:vMerge w:val="restart"/>
            <w:shd w:val="clear" w:color="auto" w:fill="8DB3E2" w:themeFill="text2" w:themeFillTint="66"/>
          </w:tcPr>
          <w:p w14:paraId="34AC5673" w14:textId="6BB2EF8C" w:rsidR="007A1D93" w:rsidRPr="000D11CA" w:rsidRDefault="007A1D93" w:rsidP="001A4A48">
            <w:pPr>
              <w:spacing w:after="0" w:line="288" w:lineRule="auto"/>
              <w:jc w:val="center"/>
              <w:rPr>
                <w:rFonts w:ascii="Arial" w:hAnsi="Arial" w:cs="Arial"/>
                <w:b/>
                <w:bCs/>
                <w:sz w:val="18"/>
                <w:szCs w:val="18"/>
                <w:lang w:val="es-ES_tradnl"/>
              </w:rPr>
            </w:pPr>
            <w:r w:rsidRPr="000D11CA">
              <w:rPr>
                <w:rFonts w:ascii="Arial" w:hAnsi="Arial" w:cs="Arial"/>
                <w:b/>
                <w:bCs/>
                <w:sz w:val="18"/>
                <w:szCs w:val="18"/>
                <w:lang w:val="es-ES_tradnl"/>
              </w:rPr>
              <w:t>Actividades / productos clave de monitoreo por actividad</w:t>
            </w:r>
          </w:p>
        </w:tc>
        <w:tc>
          <w:tcPr>
            <w:tcW w:w="1440" w:type="dxa"/>
            <w:gridSpan w:val="4"/>
            <w:shd w:val="clear" w:color="auto" w:fill="8DB3E2" w:themeFill="text2" w:themeFillTint="66"/>
          </w:tcPr>
          <w:p w14:paraId="527D4DEC" w14:textId="31507A9F" w:rsidR="007A1D93" w:rsidRPr="000D11CA" w:rsidRDefault="007A1D93" w:rsidP="001A4A48">
            <w:pPr>
              <w:spacing w:after="0" w:line="288" w:lineRule="auto"/>
              <w:jc w:val="center"/>
              <w:rPr>
                <w:rFonts w:ascii="Arial" w:hAnsi="Arial" w:cs="Arial"/>
                <w:b/>
                <w:bCs/>
                <w:sz w:val="18"/>
                <w:szCs w:val="18"/>
                <w:lang w:val="es-ES_tradnl"/>
              </w:rPr>
            </w:pPr>
            <w:r w:rsidRPr="000D11CA">
              <w:rPr>
                <w:rFonts w:ascii="Arial" w:hAnsi="Arial" w:cs="Arial"/>
                <w:b/>
                <w:bCs/>
                <w:sz w:val="18"/>
                <w:szCs w:val="18"/>
              </w:rPr>
              <w:t>Año 1</w:t>
            </w:r>
          </w:p>
        </w:tc>
        <w:tc>
          <w:tcPr>
            <w:tcW w:w="1800" w:type="dxa"/>
            <w:gridSpan w:val="4"/>
            <w:shd w:val="clear" w:color="auto" w:fill="8DB3E2" w:themeFill="text2" w:themeFillTint="66"/>
          </w:tcPr>
          <w:p w14:paraId="2ED983B7" w14:textId="3D5094CC" w:rsidR="007A1D93" w:rsidRPr="000D11CA" w:rsidRDefault="007A1D93" w:rsidP="001A4A48">
            <w:pPr>
              <w:spacing w:after="0" w:line="288" w:lineRule="auto"/>
              <w:jc w:val="center"/>
              <w:rPr>
                <w:rFonts w:ascii="Arial" w:hAnsi="Arial" w:cs="Arial"/>
                <w:b/>
                <w:bCs/>
                <w:sz w:val="18"/>
                <w:szCs w:val="18"/>
              </w:rPr>
            </w:pPr>
            <w:r w:rsidRPr="000D11CA">
              <w:rPr>
                <w:rFonts w:ascii="Arial" w:hAnsi="Arial" w:cs="Arial"/>
                <w:b/>
                <w:bCs/>
                <w:sz w:val="18"/>
                <w:szCs w:val="18"/>
              </w:rPr>
              <w:t xml:space="preserve">Año </w:t>
            </w:r>
            <w:r>
              <w:rPr>
                <w:rFonts w:ascii="Arial" w:hAnsi="Arial" w:cs="Arial"/>
                <w:b/>
                <w:bCs/>
                <w:sz w:val="18"/>
                <w:szCs w:val="18"/>
              </w:rPr>
              <w:t>2</w:t>
            </w:r>
          </w:p>
        </w:tc>
        <w:tc>
          <w:tcPr>
            <w:tcW w:w="1800" w:type="dxa"/>
            <w:vMerge w:val="restart"/>
            <w:shd w:val="clear" w:color="auto" w:fill="8DB3E2" w:themeFill="text2" w:themeFillTint="66"/>
          </w:tcPr>
          <w:p w14:paraId="34857E47" w14:textId="10A897F0" w:rsidR="007A1D93" w:rsidRPr="000D11CA" w:rsidRDefault="007A1D93" w:rsidP="001A4A48">
            <w:pPr>
              <w:spacing w:after="0" w:line="288" w:lineRule="auto"/>
              <w:jc w:val="center"/>
              <w:rPr>
                <w:rFonts w:ascii="Arial" w:hAnsi="Arial" w:cs="Arial"/>
                <w:b/>
                <w:bCs/>
                <w:sz w:val="18"/>
                <w:szCs w:val="18"/>
              </w:rPr>
            </w:pPr>
            <w:r w:rsidRPr="000D11CA">
              <w:rPr>
                <w:rFonts w:ascii="Arial" w:hAnsi="Arial" w:cs="Arial"/>
                <w:b/>
                <w:bCs/>
                <w:sz w:val="18"/>
                <w:szCs w:val="18"/>
              </w:rPr>
              <w:t>Responsable</w:t>
            </w:r>
          </w:p>
        </w:tc>
        <w:tc>
          <w:tcPr>
            <w:tcW w:w="1440" w:type="dxa"/>
            <w:vMerge w:val="restart"/>
            <w:shd w:val="clear" w:color="auto" w:fill="8DB3E2" w:themeFill="text2" w:themeFillTint="66"/>
          </w:tcPr>
          <w:p w14:paraId="004A34A7" w14:textId="567B8126" w:rsidR="007A1D93" w:rsidRPr="000D11CA" w:rsidRDefault="007A1D93" w:rsidP="001A4A48">
            <w:pPr>
              <w:spacing w:after="0" w:line="288" w:lineRule="auto"/>
              <w:jc w:val="center"/>
              <w:rPr>
                <w:rFonts w:ascii="Arial" w:hAnsi="Arial" w:cs="Arial"/>
                <w:b/>
                <w:bCs/>
                <w:sz w:val="18"/>
                <w:szCs w:val="18"/>
              </w:rPr>
            </w:pPr>
            <w:r w:rsidRPr="000D11CA">
              <w:rPr>
                <w:rFonts w:ascii="Arial" w:hAnsi="Arial" w:cs="Arial"/>
                <w:b/>
                <w:bCs/>
                <w:sz w:val="18"/>
                <w:szCs w:val="18"/>
              </w:rPr>
              <w:t>Costo</w:t>
            </w:r>
          </w:p>
          <w:p w14:paraId="39D28964" w14:textId="5AF15FD5" w:rsidR="007A1D93" w:rsidRPr="000D11CA" w:rsidRDefault="007A1D93" w:rsidP="001A4A48">
            <w:pPr>
              <w:spacing w:after="0" w:line="288" w:lineRule="auto"/>
              <w:jc w:val="center"/>
              <w:rPr>
                <w:rFonts w:ascii="Arial" w:hAnsi="Arial" w:cs="Arial"/>
                <w:b/>
                <w:bCs/>
                <w:sz w:val="18"/>
                <w:szCs w:val="18"/>
              </w:rPr>
            </w:pPr>
          </w:p>
        </w:tc>
      </w:tr>
      <w:tr w:rsidR="007A1D93" w:rsidRPr="000D11CA" w14:paraId="2736DE04" w14:textId="77777777" w:rsidTr="007A1D93">
        <w:tc>
          <w:tcPr>
            <w:tcW w:w="3122" w:type="dxa"/>
            <w:vMerge/>
          </w:tcPr>
          <w:p w14:paraId="07EB5954" w14:textId="77777777" w:rsidR="007A1D93" w:rsidRPr="000D11CA" w:rsidRDefault="007A1D93" w:rsidP="00092737">
            <w:pPr>
              <w:spacing w:after="0" w:line="288" w:lineRule="auto"/>
              <w:jc w:val="center"/>
              <w:rPr>
                <w:rFonts w:ascii="Arial" w:hAnsi="Arial" w:cs="Arial"/>
                <w:sz w:val="18"/>
                <w:szCs w:val="18"/>
              </w:rPr>
            </w:pPr>
          </w:p>
        </w:tc>
        <w:tc>
          <w:tcPr>
            <w:tcW w:w="360" w:type="dxa"/>
            <w:shd w:val="clear" w:color="auto" w:fill="8DB3E2" w:themeFill="text2" w:themeFillTint="66"/>
          </w:tcPr>
          <w:p w14:paraId="6ACEAFB3" w14:textId="77777777"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1</w:t>
            </w:r>
          </w:p>
        </w:tc>
        <w:tc>
          <w:tcPr>
            <w:tcW w:w="360" w:type="dxa"/>
            <w:shd w:val="clear" w:color="auto" w:fill="8DB3E2" w:themeFill="text2" w:themeFillTint="66"/>
          </w:tcPr>
          <w:p w14:paraId="16374B1C" w14:textId="444463CA" w:rsidR="007A1D93" w:rsidRPr="000D11CA" w:rsidRDefault="007A1D93" w:rsidP="00092737">
            <w:pPr>
              <w:spacing w:after="0" w:line="288" w:lineRule="auto"/>
              <w:jc w:val="center"/>
              <w:rPr>
                <w:rFonts w:ascii="Arial" w:hAnsi="Arial" w:cs="Arial"/>
                <w:sz w:val="18"/>
                <w:szCs w:val="18"/>
              </w:rPr>
            </w:pPr>
            <w:r>
              <w:rPr>
                <w:rFonts w:ascii="Arial" w:hAnsi="Arial" w:cs="Arial"/>
                <w:sz w:val="18"/>
                <w:szCs w:val="18"/>
              </w:rPr>
              <w:t>2</w:t>
            </w:r>
          </w:p>
        </w:tc>
        <w:tc>
          <w:tcPr>
            <w:tcW w:w="360" w:type="dxa"/>
            <w:shd w:val="clear" w:color="auto" w:fill="8DB3E2" w:themeFill="text2" w:themeFillTint="66"/>
          </w:tcPr>
          <w:p w14:paraId="624925FF" w14:textId="77777777"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3</w:t>
            </w:r>
          </w:p>
        </w:tc>
        <w:tc>
          <w:tcPr>
            <w:tcW w:w="360" w:type="dxa"/>
            <w:shd w:val="clear" w:color="auto" w:fill="8DB3E2" w:themeFill="text2" w:themeFillTint="66"/>
          </w:tcPr>
          <w:p w14:paraId="2B4383A6" w14:textId="77777777"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4</w:t>
            </w:r>
          </w:p>
        </w:tc>
        <w:tc>
          <w:tcPr>
            <w:tcW w:w="450" w:type="dxa"/>
            <w:shd w:val="clear" w:color="auto" w:fill="8DB3E2" w:themeFill="text2" w:themeFillTint="66"/>
          </w:tcPr>
          <w:p w14:paraId="3E779C93" w14:textId="62ADE276"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1</w:t>
            </w:r>
          </w:p>
        </w:tc>
        <w:tc>
          <w:tcPr>
            <w:tcW w:w="450" w:type="dxa"/>
            <w:shd w:val="clear" w:color="auto" w:fill="8DB3E2" w:themeFill="text2" w:themeFillTint="66"/>
          </w:tcPr>
          <w:p w14:paraId="0DBE9364" w14:textId="420F8F49" w:rsidR="007A1D93" w:rsidRPr="000D11CA" w:rsidRDefault="007A1D93" w:rsidP="00092737">
            <w:pPr>
              <w:spacing w:after="0" w:line="288" w:lineRule="auto"/>
              <w:jc w:val="center"/>
              <w:rPr>
                <w:rFonts w:ascii="Arial" w:hAnsi="Arial" w:cs="Arial"/>
                <w:sz w:val="18"/>
                <w:szCs w:val="18"/>
              </w:rPr>
            </w:pPr>
            <w:r>
              <w:rPr>
                <w:rFonts w:ascii="Arial" w:hAnsi="Arial" w:cs="Arial"/>
                <w:sz w:val="18"/>
                <w:szCs w:val="18"/>
              </w:rPr>
              <w:t>2</w:t>
            </w:r>
          </w:p>
        </w:tc>
        <w:tc>
          <w:tcPr>
            <w:tcW w:w="450" w:type="dxa"/>
            <w:shd w:val="clear" w:color="auto" w:fill="8DB3E2" w:themeFill="text2" w:themeFillTint="66"/>
          </w:tcPr>
          <w:p w14:paraId="63290A97" w14:textId="77EC331C"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3</w:t>
            </w:r>
          </w:p>
        </w:tc>
        <w:tc>
          <w:tcPr>
            <w:tcW w:w="450" w:type="dxa"/>
            <w:shd w:val="clear" w:color="auto" w:fill="8DB3E2" w:themeFill="text2" w:themeFillTint="66"/>
          </w:tcPr>
          <w:p w14:paraId="4960E30A" w14:textId="3B71B16F"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4</w:t>
            </w:r>
          </w:p>
        </w:tc>
        <w:tc>
          <w:tcPr>
            <w:tcW w:w="1800" w:type="dxa"/>
            <w:vMerge/>
          </w:tcPr>
          <w:p w14:paraId="48992709" w14:textId="66864DBB" w:rsidR="007A1D93" w:rsidRPr="000D11CA" w:rsidRDefault="007A1D93" w:rsidP="00092737">
            <w:pPr>
              <w:spacing w:after="0" w:line="288" w:lineRule="auto"/>
              <w:jc w:val="center"/>
              <w:rPr>
                <w:rFonts w:ascii="Arial" w:hAnsi="Arial" w:cs="Arial"/>
                <w:sz w:val="18"/>
                <w:szCs w:val="18"/>
              </w:rPr>
            </w:pPr>
          </w:p>
        </w:tc>
        <w:tc>
          <w:tcPr>
            <w:tcW w:w="1440" w:type="dxa"/>
            <w:vMerge/>
          </w:tcPr>
          <w:p w14:paraId="367B600F" w14:textId="77777777" w:rsidR="007A1D93" w:rsidRPr="000D11CA" w:rsidRDefault="007A1D93" w:rsidP="00092737">
            <w:pPr>
              <w:spacing w:after="0" w:line="288" w:lineRule="auto"/>
              <w:jc w:val="center"/>
              <w:rPr>
                <w:rFonts w:ascii="Arial" w:hAnsi="Arial" w:cs="Arial"/>
                <w:sz w:val="18"/>
                <w:szCs w:val="18"/>
              </w:rPr>
            </w:pPr>
          </w:p>
        </w:tc>
      </w:tr>
      <w:tr w:rsidR="007A1D93" w:rsidRPr="000D11CA" w14:paraId="3937786B" w14:textId="77777777" w:rsidTr="007A1D93">
        <w:tc>
          <w:tcPr>
            <w:tcW w:w="3122" w:type="dxa"/>
          </w:tcPr>
          <w:p w14:paraId="7EF0176A" w14:textId="21F47B2C" w:rsidR="007A1D93" w:rsidRPr="000D11CA" w:rsidRDefault="007A1D93" w:rsidP="001A4A48">
            <w:pPr>
              <w:spacing w:after="0" w:line="288" w:lineRule="auto"/>
              <w:rPr>
                <w:rFonts w:ascii="Arial" w:hAnsi="Arial" w:cs="Arial"/>
                <w:sz w:val="18"/>
                <w:szCs w:val="18"/>
              </w:rPr>
            </w:pPr>
            <w:r w:rsidRPr="000D11CA">
              <w:rPr>
                <w:rFonts w:ascii="Arial" w:hAnsi="Arial" w:cs="Arial"/>
                <w:sz w:val="18"/>
                <w:szCs w:val="18"/>
              </w:rPr>
              <w:t>Plan de inicio</w:t>
            </w:r>
          </w:p>
        </w:tc>
        <w:tc>
          <w:tcPr>
            <w:tcW w:w="360" w:type="dxa"/>
            <w:shd w:val="clear" w:color="auto" w:fill="auto"/>
          </w:tcPr>
          <w:p w14:paraId="5BBF4726" w14:textId="26E41E3D" w:rsidR="007A1D93" w:rsidRPr="000D11CA" w:rsidRDefault="007A1D93" w:rsidP="001A4A48">
            <w:pPr>
              <w:spacing w:after="0" w:line="288" w:lineRule="auto"/>
              <w:rPr>
                <w:rFonts w:ascii="Arial" w:hAnsi="Arial" w:cs="Arial"/>
                <w:sz w:val="18"/>
                <w:szCs w:val="18"/>
              </w:rPr>
            </w:pPr>
            <w:r w:rsidRPr="000D11CA">
              <w:rPr>
                <w:rFonts w:ascii="Arial" w:hAnsi="Arial" w:cs="Arial"/>
                <w:sz w:val="18"/>
                <w:szCs w:val="18"/>
              </w:rPr>
              <w:t>X</w:t>
            </w:r>
          </w:p>
        </w:tc>
        <w:tc>
          <w:tcPr>
            <w:tcW w:w="360" w:type="dxa"/>
            <w:shd w:val="clear" w:color="auto" w:fill="auto"/>
          </w:tcPr>
          <w:p w14:paraId="54197091" w14:textId="2028E8B7" w:rsidR="007A1D93" w:rsidRPr="000D11CA" w:rsidRDefault="007A1D93" w:rsidP="001A4A48">
            <w:pPr>
              <w:spacing w:after="0" w:line="288" w:lineRule="auto"/>
              <w:rPr>
                <w:rFonts w:ascii="Arial" w:hAnsi="Arial" w:cs="Arial"/>
                <w:sz w:val="18"/>
                <w:szCs w:val="18"/>
              </w:rPr>
            </w:pPr>
            <w:r w:rsidRPr="000D11CA">
              <w:rPr>
                <w:rFonts w:ascii="Arial" w:hAnsi="Arial" w:cs="Arial"/>
                <w:sz w:val="18"/>
                <w:szCs w:val="18"/>
              </w:rPr>
              <w:t>X</w:t>
            </w:r>
          </w:p>
        </w:tc>
        <w:tc>
          <w:tcPr>
            <w:tcW w:w="360" w:type="dxa"/>
            <w:shd w:val="clear" w:color="auto" w:fill="auto"/>
          </w:tcPr>
          <w:p w14:paraId="6F005CDD" w14:textId="77777777" w:rsidR="007A1D93" w:rsidRPr="000D11CA" w:rsidRDefault="007A1D93" w:rsidP="001A4A48">
            <w:pPr>
              <w:spacing w:after="0" w:line="288" w:lineRule="auto"/>
              <w:rPr>
                <w:rFonts w:ascii="Arial" w:hAnsi="Arial" w:cs="Arial"/>
                <w:sz w:val="18"/>
                <w:szCs w:val="18"/>
              </w:rPr>
            </w:pPr>
          </w:p>
        </w:tc>
        <w:tc>
          <w:tcPr>
            <w:tcW w:w="360" w:type="dxa"/>
            <w:shd w:val="clear" w:color="auto" w:fill="auto"/>
          </w:tcPr>
          <w:p w14:paraId="7BF78397" w14:textId="77777777" w:rsidR="007A1D93" w:rsidRPr="000D11CA" w:rsidRDefault="007A1D93" w:rsidP="001A4A48">
            <w:pPr>
              <w:spacing w:after="0" w:line="288" w:lineRule="auto"/>
              <w:rPr>
                <w:rFonts w:ascii="Arial" w:hAnsi="Arial" w:cs="Arial"/>
                <w:sz w:val="18"/>
                <w:szCs w:val="18"/>
              </w:rPr>
            </w:pPr>
          </w:p>
        </w:tc>
        <w:tc>
          <w:tcPr>
            <w:tcW w:w="450" w:type="dxa"/>
          </w:tcPr>
          <w:p w14:paraId="528B3D56" w14:textId="77777777" w:rsidR="007A1D93" w:rsidRPr="000D11CA" w:rsidRDefault="007A1D93" w:rsidP="001A4A48">
            <w:pPr>
              <w:spacing w:after="0" w:line="288" w:lineRule="auto"/>
              <w:jc w:val="center"/>
              <w:rPr>
                <w:rFonts w:ascii="Arial" w:hAnsi="Arial" w:cs="Arial"/>
                <w:sz w:val="18"/>
                <w:szCs w:val="18"/>
              </w:rPr>
            </w:pPr>
          </w:p>
        </w:tc>
        <w:tc>
          <w:tcPr>
            <w:tcW w:w="450" w:type="dxa"/>
          </w:tcPr>
          <w:p w14:paraId="42BCE794" w14:textId="77777777" w:rsidR="007A1D93" w:rsidRPr="000D11CA" w:rsidRDefault="007A1D93" w:rsidP="001A4A48">
            <w:pPr>
              <w:spacing w:after="0" w:line="288" w:lineRule="auto"/>
              <w:jc w:val="center"/>
              <w:rPr>
                <w:rFonts w:ascii="Arial" w:hAnsi="Arial" w:cs="Arial"/>
                <w:sz w:val="18"/>
                <w:szCs w:val="18"/>
              </w:rPr>
            </w:pPr>
          </w:p>
        </w:tc>
        <w:tc>
          <w:tcPr>
            <w:tcW w:w="450" w:type="dxa"/>
          </w:tcPr>
          <w:p w14:paraId="640D02B6" w14:textId="77777777" w:rsidR="007A1D93" w:rsidRPr="000D11CA" w:rsidRDefault="007A1D93" w:rsidP="001A4A48">
            <w:pPr>
              <w:spacing w:after="0" w:line="288" w:lineRule="auto"/>
              <w:jc w:val="center"/>
              <w:rPr>
                <w:rFonts w:ascii="Arial" w:hAnsi="Arial" w:cs="Arial"/>
                <w:sz w:val="18"/>
                <w:szCs w:val="18"/>
              </w:rPr>
            </w:pPr>
          </w:p>
        </w:tc>
        <w:tc>
          <w:tcPr>
            <w:tcW w:w="450" w:type="dxa"/>
          </w:tcPr>
          <w:p w14:paraId="177033E7" w14:textId="6C715308" w:rsidR="007A1D93" w:rsidRPr="000D11CA" w:rsidRDefault="007A1D93" w:rsidP="001A4A48">
            <w:pPr>
              <w:spacing w:after="0" w:line="288" w:lineRule="auto"/>
              <w:jc w:val="center"/>
              <w:rPr>
                <w:rFonts w:ascii="Arial" w:hAnsi="Arial" w:cs="Arial"/>
                <w:sz w:val="18"/>
                <w:szCs w:val="18"/>
              </w:rPr>
            </w:pPr>
          </w:p>
        </w:tc>
        <w:tc>
          <w:tcPr>
            <w:tcW w:w="1800" w:type="dxa"/>
          </w:tcPr>
          <w:p w14:paraId="56C542C5" w14:textId="25751340" w:rsidR="007A1D93" w:rsidRPr="000D11CA" w:rsidRDefault="007A1D93" w:rsidP="001A4A48">
            <w:pPr>
              <w:spacing w:after="0" w:line="288" w:lineRule="auto"/>
              <w:jc w:val="center"/>
              <w:rPr>
                <w:rFonts w:ascii="Arial" w:hAnsi="Arial" w:cs="Arial"/>
                <w:sz w:val="18"/>
                <w:szCs w:val="18"/>
              </w:rPr>
            </w:pPr>
            <w:r w:rsidRPr="000D11CA">
              <w:rPr>
                <w:rFonts w:ascii="Arial" w:hAnsi="Arial" w:cs="Arial"/>
                <w:sz w:val="18"/>
                <w:szCs w:val="18"/>
              </w:rPr>
              <w:t>BID</w:t>
            </w:r>
          </w:p>
        </w:tc>
        <w:tc>
          <w:tcPr>
            <w:tcW w:w="1440" w:type="dxa"/>
          </w:tcPr>
          <w:p w14:paraId="689F54AF" w14:textId="52848094" w:rsidR="007A1D93" w:rsidRPr="000D11CA" w:rsidRDefault="007A1D93" w:rsidP="001A4A48">
            <w:pPr>
              <w:spacing w:after="0" w:line="288" w:lineRule="auto"/>
              <w:jc w:val="right"/>
              <w:rPr>
                <w:rFonts w:ascii="Arial" w:hAnsi="Arial" w:cs="Arial"/>
                <w:sz w:val="18"/>
                <w:szCs w:val="18"/>
              </w:rPr>
            </w:pPr>
            <w:r w:rsidRPr="000D11CA">
              <w:rPr>
                <w:rFonts w:ascii="Arial" w:hAnsi="Arial" w:cs="Arial"/>
                <w:sz w:val="18"/>
                <w:szCs w:val="18"/>
              </w:rPr>
              <w:t>5,000</w:t>
            </w:r>
          </w:p>
        </w:tc>
      </w:tr>
      <w:tr w:rsidR="007A1D93" w:rsidRPr="000D11CA" w14:paraId="13B49EEC" w14:textId="77777777" w:rsidTr="007A1D93">
        <w:tc>
          <w:tcPr>
            <w:tcW w:w="3122" w:type="dxa"/>
          </w:tcPr>
          <w:p w14:paraId="20137DDC" w14:textId="3B7C2D3D" w:rsidR="007A1D93" w:rsidRPr="000D11CA" w:rsidRDefault="007A1D93" w:rsidP="00092737">
            <w:pPr>
              <w:spacing w:after="0" w:line="288" w:lineRule="auto"/>
              <w:rPr>
                <w:rFonts w:ascii="Arial" w:hAnsi="Arial" w:cs="Arial"/>
                <w:sz w:val="18"/>
                <w:szCs w:val="18"/>
                <w:lang w:val="es-ES_tradnl"/>
              </w:rPr>
            </w:pPr>
            <w:r w:rsidRPr="000D11CA">
              <w:rPr>
                <w:rFonts w:ascii="Arial" w:hAnsi="Arial" w:cs="Arial"/>
                <w:sz w:val="18"/>
                <w:szCs w:val="18"/>
                <w:lang w:val="es-ES_tradnl"/>
              </w:rPr>
              <w:t>Reuniones para actualizar herramientas de gestión y revisiones de cartera</w:t>
            </w:r>
          </w:p>
        </w:tc>
        <w:tc>
          <w:tcPr>
            <w:tcW w:w="360" w:type="dxa"/>
            <w:shd w:val="clear" w:color="auto" w:fill="auto"/>
          </w:tcPr>
          <w:p w14:paraId="26D0245C" w14:textId="334FF7AB" w:rsidR="007A1D93" w:rsidRPr="000D11CA" w:rsidRDefault="007A1D93" w:rsidP="00092737">
            <w:pPr>
              <w:spacing w:after="0" w:line="288" w:lineRule="auto"/>
              <w:rPr>
                <w:rFonts w:ascii="Arial" w:hAnsi="Arial" w:cs="Arial"/>
                <w:sz w:val="18"/>
                <w:szCs w:val="18"/>
              </w:rPr>
            </w:pPr>
            <w:r w:rsidRPr="000D11CA">
              <w:rPr>
                <w:rFonts w:ascii="Arial" w:hAnsi="Arial" w:cs="Arial"/>
                <w:sz w:val="18"/>
                <w:szCs w:val="18"/>
              </w:rPr>
              <w:t>X</w:t>
            </w:r>
          </w:p>
        </w:tc>
        <w:tc>
          <w:tcPr>
            <w:tcW w:w="360" w:type="dxa"/>
            <w:shd w:val="clear" w:color="auto" w:fill="auto"/>
          </w:tcPr>
          <w:p w14:paraId="1A0FA32F" w14:textId="7C00CE6D" w:rsidR="007A1D93" w:rsidRPr="000D11CA" w:rsidRDefault="007A1D93" w:rsidP="00092737">
            <w:pPr>
              <w:spacing w:after="0" w:line="288" w:lineRule="auto"/>
              <w:rPr>
                <w:rFonts w:ascii="Arial" w:hAnsi="Arial" w:cs="Arial"/>
                <w:sz w:val="18"/>
                <w:szCs w:val="18"/>
              </w:rPr>
            </w:pPr>
            <w:r w:rsidRPr="000D11CA">
              <w:rPr>
                <w:rFonts w:ascii="Arial" w:hAnsi="Arial" w:cs="Arial"/>
                <w:sz w:val="18"/>
                <w:szCs w:val="18"/>
              </w:rPr>
              <w:t>X</w:t>
            </w:r>
          </w:p>
        </w:tc>
        <w:tc>
          <w:tcPr>
            <w:tcW w:w="360" w:type="dxa"/>
            <w:shd w:val="clear" w:color="auto" w:fill="auto"/>
          </w:tcPr>
          <w:p w14:paraId="64F3F9AB" w14:textId="74EF536C" w:rsidR="007A1D93" w:rsidRPr="000D11CA" w:rsidRDefault="007A1D93" w:rsidP="00092737">
            <w:pPr>
              <w:spacing w:after="0" w:line="288" w:lineRule="auto"/>
              <w:rPr>
                <w:rFonts w:ascii="Arial" w:hAnsi="Arial" w:cs="Arial"/>
                <w:sz w:val="18"/>
                <w:szCs w:val="18"/>
              </w:rPr>
            </w:pPr>
            <w:r w:rsidRPr="000D11CA">
              <w:rPr>
                <w:rFonts w:ascii="Arial" w:hAnsi="Arial" w:cs="Arial"/>
                <w:sz w:val="18"/>
                <w:szCs w:val="18"/>
              </w:rPr>
              <w:t>X</w:t>
            </w:r>
          </w:p>
        </w:tc>
        <w:tc>
          <w:tcPr>
            <w:tcW w:w="360" w:type="dxa"/>
            <w:shd w:val="clear" w:color="auto" w:fill="auto"/>
          </w:tcPr>
          <w:p w14:paraId="7EBE0CC7" w14:textId="1C6047C1" w:rsidR="007A1D93" w:rsidRPr="000D11CA" w:rsidRDefault="007A1D93" w:rsidP="00092737">
            <w:pPr>
              <w:spacing w:after="0" w:line="288" w:lineRule="auto"/>
              <w:rPr>
                <w:rFonts w:ascii="Arial" w:hAnsi="Arial" w:cs="Arial"/>
                <w:sz w:val="18"/>
                <w:szCs w:val="18"/>
              </w:rPr>
            </w:pPr>
            <w:r w:rsidRPr="000D11CA">
              <w:rPr>
                <w:rFonts w:ascii="Arial" w:hAnsi="Arial" w:cs="Arial"/>
                <w:sz w:val="18"/>
                <w:szCs w:val="18"/>
              </w:rPr>
              <w:t>X</w:t>
            </w:r>
          </w:p>
        </w:tc>
        <w:tc>
          <w:tcPr>
            <w:tcW w:w="450" w:type="dxa"/>
          </w:tcPr>
          <w:p w14:paraId="04C9C153" w14:textId="5E3589CA"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X</w:t>
            </w:r>
          </w:p>
        </w:tc>
        <w:tc>
          <w:tcPr>
            <w:tcW w:w="450" w:type="dxa"/>
          </w:tcPr>
          <w:p w14:paraId="4B0A4067" w14:textId="46F3F827"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X</w:t>
            </w:r>
          </w:p>
        </w:tc>
        <w:tc>
          <w:tcPr>
            <w:tcW w:w="450" w:type="dxa"/>
          </w:tcPr>
          <w:p w14:paraId="6355928C" w14:textId="1883CDFB"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X</w:t>
            </w:r>
          </w:p>
        </w:tc>
        <w:tc>
          <w:tcPr>
            <w:tcW w:w="450" w:type="dxa"/>
          </w:tcPr>
          <w:p w14:paraId="2B672340" w14:textId="1381D98C"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X</w:t>
            </w:r>
          </w:p>
        </w:tc>
        <w:tc>
          <w:tcPr>
            <w:tcW w:w="1800" w:type="dxa"/>
          </w:tcPr>
          <w:p w14:paraId="5987F814" w14:textId="062A9A1E"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BID, OE</w:t>
            </w:r>
          </w:p>
        </w:tc>
        <w:tc>
          <w:tcPr>
            <w:tcW w:w="1440" w:type="dxa"/>
          </w:tcPr>
          <w:p w14:paraId="65CF74F5" w14:textId="77777777" w:rsidR="007A1D93" w:rsidRPr="000D11CA" w:rsidRDefault="007A1D93" w:rsidP="00092737">
            <w:pPr>
              <w:spacing w:after="0" w:line="288" w:lineRule="auto"/>
              <w:jc w:val="right"/>
              <w:rPr>
                <w:rFonts w:ascii="Arial" w:hAnsi="Arial" w:cs="Arial"/>
                <w:sz w:val="18"/>
                <w:szCs w:val="18"/>
              </w:rPr>
            </w:pPr>
            <w:r w:rsidRPr="000D11CA">
              <w:rPr>
                <w:rFonts w:ascii="Arial" w:hAnsi="Arial" w:cs="Arial"/>
                <w:sz w:val="18"/>
                <w:szCs w:val="18"/>
              </w:rPr>
              <w:t>0</w:t>
            </w:r>
          </w:p>
          <w:p w14:paraId="5045100D" w14:textId="033365A7" w:rsidR="007A1D93" w:rsidRPr="000D11CA" w:rsidRDefault="007A1D93" w:rsidP="00092737">
            <w:pPr>
              <w:spacing w:after="0" w:line="288" w:lineRule="auto"/>
              <w:jc w:val="right"/>
              <w:rPr>
                <w:rFonts w:ascii="Arial" w:hAnsi="Arial" w:cs="Arial"/>
                <w:sz w:val="18"/>
                <w:szCs w:val="18"/>
              </w:rPr>
            </w:pPr>
          </w:p>
        </w:tc>
      </w:tr>
      <w:tr w:rsidR="007A1D93" w:rsidRPr="000D11CA" w14:paraId="1F6E4604" w14:textId="77777777" w:rsidTr="007A1D93">
        <w:tc>
          <w:tcPr>
            <w:tcW w:w="3122" w:type="dxa"/>
          </w:tcPr>
          <w:p w14:paraId="13416CE0" w14:textId="09B69C8D" w:rsidR="007A1D93" w:rsidRPr="000D11CA" w:rsidRDefault="007A1D93" w:rsidP="00092737">
            <w:pPr>
              <w:spacing w:after="0" w:line="288" w:lineRule="auto"/>
              <w:rPr>
                <w:rFonts w:ascii="Arial" w:hAnsi="Arial" w:cs="Arial"/>
                <w:sz w:val="18"/>
                <w:szCs w:val="18"/>
              </w:rPr>
            </w:pPr>
            <w:r w:rsidRPr="000D11CA">
              <w:rPr>
                <w:rFonts w:ascii="Arial" w:hAnsi="Arial" w:cs="Arial"/>
                <w:sz w:val="18"/>
                <w:szCs w:val="18"/>
              </w:rPr>
              <w:t>Gestión de riesgos</w:t>
            </w:r>
          </w:p>
        </w:tc>
        <w:tc>
          <w:tcPr>
            <w:tcW w:w="360" w:type="dxa"/>
            <w:shd w:val="clear" w:color="auto" w:fill="auto"/>
          </w:tcPr>
          <w:p w14:paraId="4FFA7623" w14:textId="67AB8118" w:rsidR="007A1D93" w:rsidRPr="000D11CA" w:rsidRDefault="007A1D93" w:rsidP="00092737">
            <w:pPr>
              <w:spacing w:after="0" w:line="288" w:lineRule="auto"/>
              <w:rPr>
                <w:rFonts w:ascii="Arial" w:hAnsi="Arial" w:cs="Arial"/>
                <w:sz w:val="18"/>
                <w:szCs w:val="18"/>
              </w:rPr>
            </w:pPr>
            <w:r w:rsidRPr="000D11CA">
              <w:rPr>
                <w:rFonts w:ascii="Arial" w:hAnsi="Arial" w:cs="Arial"/>
                <w:sz w:val="18"/>
                <w:szCs w:val="18"/>
              </w:rPr>
              <w:t>X</w:t>
            </w:r>
          </w:p>
        </w:tc>
        <w:tc>
          <w:tcPr>
            <w:tcW w:w="360" w:type="dxa"/>
            <w:shd w:val="clear" w:color="auto" w:fill="auto"/>
          </w:tcPr>
          <w:p w14:paraId="5692EF5C" w14:textId="7673E5DB" w:rsidR="007A1D93" w:rsidRPr="000D11CA" w:rsidRDefault="007A1D93" w:rsidP="00092737">
            <w:pPr>
              <w:spacing w:after="0" w:line="288" w:lineRule="auto"/>
              <w:rPr>
                <w:rFonts w:ascii="Arial" w:hAnsi="Arial" w:cs="Arial"/>
                <w:sz w:val="18"/>
                <w:szCs w:val="18"/>
              </w:rPr>
            </w:pPr>
            <w:r w:rsidRPr="000D11CA">
              <w:rPr>
                <w:rFonts w:ascii="Arial" w:hAnsi="Arial" w:cs="Arial"/>
                <w:sz w:val="18"/>
                <w:szCs w:val="18"/>
              </w:rPr>
              <w:t>X</w:t>
            </w:r>
          </w:p>
        </w:tc>
        <w:tc>
          <w:tcPr>
            <w:tcW w:w="360" w:type="dxa"/>
            <w:shd w:val="clear" w:color="auto" w:fill="auto"/>
          </w:tcPr>
          <w:p w14:paraId="5DF583AC" w14:textId="277669E3" w:rsidR="007A1D93" w:rsidRPr="000D11CA" w:rsidRDefault="007A1D93" w:rsidP="00092737">
            <w:pPr>
              <w:spacing w:after="0" w:line="288" w:lineRule="auto"/>
              <w:rPr>
                <w:rFonts w:ascii="Arial" w:hAnsi="Arial" w:cs="Arial"/>
                <w:sz w:val="18"/>
                <w:szCs w:val="18"/>
              </w:rPr>
            </w:pPr>
          </w:p>
        </w:tc>
        <w:tc>
          <w:tcPr>
            <w:tcW w:w="360" w:type="dxa"/>
            <w:shd w:val="clear" w:color="auto" w:fill="auto"/>
          </w:tcPr>
          <w:p w14:paraId="2EC942DD" w14:textId="04C8E2B7" w:rsidR="007A1D93" w:rsidRPr="000D11CA" w:rsidRDefault="007A1D93" w:rsidP="00092737">
            <w:pPr>
              <w:spacing w:after="0" w:line="288" w:lineRule="auto"/>
              <w:rPr>
                <w:rFonts w:ascii="Arial" w:hAnsi="Arial" w:cs="Arial"/>
                <w:sz w:val="18"/>
                <w:szCs w:val="18"/>
              </w:rPr>
            </w:pPr>
            <w:r w:rsidRPr="000D11CA">
              <w:rPr>
                <w:rFonts w:ascii="Arial" w:hAnsi="Arial" w:cs="Arial"/>
                <w:sz w:val="18"/>
                <w:szCs w:val="18"/>
              </w:rPr>
              <w:t>X</w:t>
            </w:r>
          </w:p>
        </w:tc>
        <w:tc>
          <w:tcPr>
            <w:tcW w:w="450" w:type="dxa"/>
          </w:tcPr>
          <w:p w14:paraId="48D162A8" w14:textId="7E75A1E9"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X</w:t>
            </w:r>
          </w:p>
        </w:tc>
        <w:tc>
          <w:tcPr>
            <w:tcW w:w="450" w:type="dxa"/>
          </w:tcPr>
          <w:p w14:paraId="23C2A9CA" w14:textId="77777777" w:rsidR="007A1D93" w:rsidRPr="000D11CA" w:rsidRDefault="007A1D93" w:rsidP="00092737">
            <w:pPr>
              <w:spacing w:after="0" w:line="288" w:lineRule="auto"/>
              <w:jc w:val="center"/>
              <w:rPr>
                <w:rFonts w:ascii="Arial" w:hAnsi="Arial" w:cs="Arial"/>
                <w:sz w:val="18"/>
                <w:szCs w:val="18"/>
              </w:rPr>
            </w:pPr>
          </w:p>
        </w:tc>
        <w:tc>
          <w:tcPr>
            <w:tcW w:w="450" w:type="dxa"/>
          </w:tcPr>
          <w:p w14:paraId="7DF86D4A" w14:textId="01D16108"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X</w:t>
            </w:r>
          </w:p>
        </w:tc>
        <w:tc>
          <w:tcPr>
            <w:tcW w:w="450" w:type="dxa"/>
          </w:tcPr>
          <w:p w14:paraId="67BF0289" w14:textId="4B3EF1DC" w:rsidR="007A1D93" w:rsidRPr="000D11CA" w:rsidRDefault="007A1D93" w:rsidP="00092737">
            <w:pPr>
              <w:spacing w:after="0" w:line="288" w:lineRule="auto"/>
              <w:jc w:val="center"/>
              <w:rPr>
                <w:rFonts w:ascii="Arial" w:hAnsi="Arial" w:cs="Arial"/>
                <w:sz w:val="18"/>
                <w:szCs w:val="18"/>
              </w:rPr>
            </w:pPr>
          </w:p>
        </w:tc>
        <w:tc>
          <w:tcPr>
            <w:tcW w:w="1800" w:type="dxa"/>
          </w:tcPr>
          <w:p w14:paraId="7398104E" w14:textId="0D433E70"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OE</w:t>
            </w:r>
          </w:p>
        </w:tc>
        <w:tc>
          <w:tcPr>
            <w:tcW w:w="1440" w:type="dxa"/>
          </w:tcPr>
          <w:p w14:paraId="2BB68290" w14:textId="3D88EE2A" w:rsidR="007A1D93" w:rsidRPr="000D11CA" w:rsidRDefault="007A1D93" w:rsidP="00092737">
            <w:pPr>
              <w:spacing w:after="0" w:line="288" w:lineRule="auto"/>
              <w:jc w:val="right"/>
              <w:rPr>
                <w:rFonts w:ascii="Arial" w:hAnsi="Arial" w:cs="Arial"/>
                <w:sz w:val="18"/>
                <w:szCs w:val="18"/>
              </w:rPr>
            </w:pPr>
            <w:r w:rsidRPr="000D11CA">
              <w:rPr>
                <w:rFonts w:ascii="Arial" w:hAnsi="Arial" w:cs="Arial"/>
                <w:sz w:val="18"/>
                <w:szCs w:val="18"/>
              </w:rPr>
              <w:t>0</w:t>
            </w:r>
          </w:p>
        </w:tc>
      </w:tr>
      <w:tr w:rsidR="007A1D93" w:rsidRPr="000D11CA" w14:paraId="2B2E4763" w14:textId="77777777" w:rsidTr="007A1D93">
        <w:tc>
          <w:tcPr>
            <w:tcW w:w="3122" w:type="dxa"/>
          </w:tcPr>
          <w:p w14:paraId="6480D78D" w14:textId="0CEE2989" w:rsidR="007A1D93" w:rsidRPr="000D11CA" w:rsidRDefault="007A1D93" w:rsidP="00092737">
            <w:pPr>
              <w:spacing w:after="0" w:line="288" w:lineRule="auto"/>
              <w:rPr>
                <w:rFonts w:ascii="Arial" w:hAnsi="Arial" w:cs="Arial"/>
                <w:sz w:val="18"/>
                <w:szCs w:val="18"/>
              </w:rPr>
            </w:pPr>
            <w:r w:rsidRPr="000D11CA">
              <w:rPr>
                <w:rFonts w:ascii="Arial" w:hAnsi="Arial" w:cs="Arial"/>
                <w:sz w:val="18"/>
                <w:szCs w:val="18"/>
              </w:rPr>
              <w:t>PEP / POA*</w:t>
            </w:r>
          </w:p>
        </w:tc>
        <w:tc>
          <w:tcPr>
            <w:tcW w:w="360" w:type="dxa"/>
            <w:shd w:val="clear" w:color="auto" w:fill="auto"/>
          </w:tcPr>
          <w:p w14:paraId="3DDA1CBB" w14:textId="1E12988C" w:rsidR="007A1D93" w:rsidRPr="000D11CA" w:rsidRDefault="007A1D93" w:rsidP="00092737">
            <w:pPr>
              <w:spacing w:after="0" w:line="288" w:lineRule="auto"/>
              <w:rPr>
                <w:rFonts w:ascii="Arial" w:hAnsi="Arial" w:cs="Arial"/>
                <w:sz w:val="18"/>
                <w:szCs w:val="18"/>
              </w:rPr>
            </w:pPr>
          </w:p>
        </w:tc>
        <w:tc>
          <w:tcPr>
            <w:tcW w:w="360" w:type="dxa"/>
            <w:shd w:val="clear" w:color="auto" w:fill="auto"/>
          </w:tcPr>
          <w:p w14:paraId="738D09F9" w14:textId="57922E99" w:rsidR="007A1D93" w:rsidRPr="000D11CA" w:rsidRDefault="007A1D93" w:rsidP="00092737">
            <w:pPr>
              <w:spacing w:after="0" w:line="288" w:lineRule="auto"/>
              <w:rPr>
                <w:rFonts w:ascii="Arial" w:hAnsi="Arial" w:cs="Arial"/>
                <w:sz w:val="18"/>
                <w:szCs w:val="18"/>
              </w:rPr>
            </w:pPr>
          </w:p>
        </w:tc>
        <w:tc>
          <w:tcPr>
            <w:tcW w:w="360" w:type="dxa"/>
            <w:shd w:val="clear" w:color="auto" w:fill="auto"/>
          </w:tcPr>
          <w:p w14:paraId="04C47FB6" w14:textId="2288D14D" w:rsidR="007A1D93" w:rsidRPr="000D11CA" w:rsidRDefault="007A1D93" w:rsidP="00092737">
            <w:pPr>
              <w:spacing w:after="0" w:line="288" w:lineRule="auto"/>
              <w:rPr>
                <w:rFonts w:ascii="Arial" w:hAnsi="Arial" w:cs="Arial"/>
                <w:sz w:val="18"/>
                <w:szCs w:val="18"/>
              </w:rPr>
            </w:pPr>
            <w:r w:rsidRPr="000D11CA">
              <w:rPr>
                <w:rFonts w:ascii="Arial" w:hAnsi="Arial" w:cs="Arial"/>
                <w:sz w:val="18"/>
                <w:szCs w:val="18"/>
              </w:rPr>
              <w:t>X</w:t>
            </w:r>
          </w:p>
        </w:tc>
        <w:tc>
          <w:tcPr>
            <w:tcW w:w="360" w:type="dxa"/>
            <w:shd w:val="clear" w:color="auto" w:fill="auto"/>
          </w:tcPr>
          <w:p w14:paraId="01640C1D" w14:textId="4A0FB61E" w:rsidR="007A1D93" w:rsidRPr="000D11CA" w:rsidRDefault="007A1D93" w:rsidP="00092737">
            <w:pPr>
              <w:spacing w:after="0" w:line="288" w:lineRule="auto"/>
              <w:rPr>
                <w:rFonts w:ascii="Arial" w:hAnsi="Arial" w:cs="Arial"/>
                <w:sz w:val="18"/>
                <w:szCs w:val="18"/>
              </w:rPr>
            </w:pPr>
          </w:p>
        </w:tc>
        <w:tc>
          <w:tcPr>
            <w:tcW w:w="450" w:type="dxa"/>
          </w:tcPr>
          <w:p w14:paraId="2503E1D4" w14:textId="0B703C97"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X</w:t>
            </w:r>
          </w:p>
        </w:tc>
        <w:tc>
          <w:tcPr>
            <w:tcW w:w="450" w:type="dxa"/>
          </w:tcPr>
          <w:p w14:paraId="20FB399D" w14:textId="77777777" w:rsidR="007A1D93" w:rsidRPr="000D11CA" w:rsidRDefault="007A1D93" w:rsidP="00092737">
            <w:pPr>
              <w:spacing w:after="0" w:line="288" w:lineRule="auto"/>
              <w:jc w:val="center"/>
              <w:rPr>
                <w:rFonts w:ascii="Arial" w:hAnsi="Arial" w:cs="Arial"/>
                <w:sz w:val="18"/>
                <w:szCs w:val="18"/>
              </w:rPr>
            </w:pPr>
          </w:p>
        </w:tc>
        <w:tc>
          <w:tcPr>
            <w:tcW w:w="450" w:type="dxa"/>
          </w:tcPr>
          <w:p w14:paraId="60DE0D55" w14:textId="6BD13263"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X</w:t>
            </w:r>
          </w:p>
        </w:tc>
        <w:tc>
          <w:tcPr>
            <w:tcW w:w="450" w:type="dxa"/>
          </w:tcPr>
          <w:p w14:paraId="18882DD6" w14:textId="0AA98945" w:rsidR="007A1D93" w:rsidRPr="000D11CA" w:rsidRDefault="007A1D93" w:rsidP="00092737">
            <w:pPr>
              <w:spacing w:after="0" w:line="288" w:lineRule="auto"/>
              <w:jc w:val="center"/>
              <w:rPr>
                <w:rFonts w:ascii="Arial" w:hAnsi="Arial" w:cs="Arial"/>
                <w:sz w:val="18"/>
                <w:szCs w:val="18"/>
              </w:rPr>
            </w:pPr>
          </w:p>
        </w:tc>
        <w:tc>
          <w:tcPr>
            <w:tcW w:w="1800" w:type="dxa"/>
          </w:tcPr>
          <w:p w14:paraId="16BD2930" w14:textId="67B4A76F"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OE</w:t>
            </w:r>
          </w:p>
        </w:tc>
        <w:tc>
          <w:tcPr>
            <w:tcW w:w="1440" w:type="dxa"/>
          </w:tcPr>
          <w:p w14:paraId="71E1E017" w14:textId="18C372F3" w:rsidR="007A1D93" w:rsidRPr="000D11CA" w:rsidRDefault="007A1D93" w:rsidP="00092737">
            <w:pPr>
              <w:spacing w:after="0" w:line="288" w:lineRule="auto"/>
              <w:jc w:val="right"/>
              <w:rPr>
                <w:rFonts w:ascii="Arial" w:hAnsi="Arial" w:cs="Arial"/>
                <w:sz w:val="18"/>
                <w:szCs w:val="18"/>
              </w:rPr>
            </w:pPr>
            <w:r w:rsidRPr="000D11CA">
              <w:rPr>
                <w:rFonts w:ascii="Arial" w:hAnsi="Arial" w:cs="Arial"/>
                <w:sz w:val="18"/>
                <w:szCs w:val="18"/>
              </w:rPr>
              <w:t>0</w:t>
            </w:r>
          </w:p>
        </w:tc>
      </w:tr>
      <w:tr w:rsidR="007A1D93" w:rsidRPr="000D11CA" w14:paraId="39419543" w14:textId="77777777" w:rsidTr="007A1D93">
        <w:tc>
          <w:tcPr>
            <w:tcW w:w="3122" w:type="dxa"/>
          </w:tcPr>
          <w:p w14:paraId="297578EF" w14:textId="12DAD4F0" w:rsidR="007A1D93" w:rsidRPr="000D11CA" w:rsidRDefault="007A1D93" w:rsidP="00092737">
            <w:pPr>
              <w:spacing w:after="0" w:line="288" w:lineRule="auto"/>
              <w:rPr>
                <w:rFonts w:ascii="Arial" w:hAnsi="Arial" w:cs="Arial"/>
                <w:sz w:val="18"/>
                <w:szCs w:val="18"/>
                <w:lang w:val="es-ES"/>
              </w:rPr>
            </w:pPr>
            <w:r w:rsidRPr="000D11CA">
              <w:rPr>
                <w:rFonts w:ascii="Arial" w:hAnsi="Arial" w:cs="Arial"/>
                <w:sz w:val="18"/>
                <w:szCs w:val="18"/>
                <w:lang w:val="es-ES"/>
              </w:rPr>
              <w:t>Informe de seguimiento de progreso</w:t>
            </w:r>
          </w:p>
        </w:tc>
        <w:tc>
          <w:tcPr>
            <w:tcW w:w="360" w:type="dxa"/>
            <w:shd w:val="clear" w:color="auto" w:fill="auto"/>
          </w:tcPr>
          <w:p w14:paraId="1AAD313F" w14:textId="383C1F8B" w:rsidR="007A1D93" w:rsidRPr="000D11CA" w:rsidRDefault="007A1D93" w:rsidP="00092737">
            <w:pPr>
              <w:spacing w:after="0" w:line="288" w:lineRule="auto"/>
              <w:rPr>
                <w:rFonts w:ascii="Arial" w:hAnsi="Arial" w:cs="Arial"/>
                <w:sz w:val="18"/>
                <w:szCs w:val="18"/>
              </w:rPr>
            </w:pPr>
            <w:r w:rsidRPr="000D11CA">
              <w:rPr>
                <w:rFonts w:ascii="Arial" w:hAnsi="Arial" w:cs="Arial"/>
                <w:sz w:val="18"/>
                <w:szCs w:val="18"/>
              </w:rPr>
              <w:t>X</w:t>
            </w:r>
          </w:p>
        </w:tc>
        <w:tc>
          <w:tcPr>
            <w:tcW w:w="360" w:type="dxa"/>
            <w:shd w:val="clear" w:color="auto" w:fill="auto"/>
          </w:tcPr>
          <w:p w14:paraId="0146F381" w14:textId="5745EADC" w:rsidR="007A1D93" w:rsidRPr="000D11CA" w:rsidRDefault="007A1D93" w:rsidP="00092737">
            <w:pPr>
              <w:spacing w:after="0" w:line="288" w:lineRule="auto"/>
              <w:rPr>
                <w:rFonts w:ascii="Arial" w:hAnsi="Arial" w:cs="Arial"/>
                <w:sz w:val="18"/>
                <w:szCs w:val="18"/>
              </w:rPr>
            </w:pPr>
            <w:r w:rsidRPr="000D11CA">
              <w:rPr>
                <w:rFonts w:ascii="Arial" w:hAnsi="Arial" w:cs="Arial"/>
                <w:sz w:val="18"/>
                <w:szCs w:val="18"/>
              </w:rPr>
              <w:t>X</w:t>
            </w:r>
          </w:p>
        </w:tc>
        <w:tc>
          <w:tcPr>
            <w:tcW w:w="360" w:type="dxa"/>
            <w:shd w:val="clear" w:color="auto" w:fill="auto"/>
          </w:tcPr>
          <w:p w14:paraId="19F83AC6" w14:textId="1EAEFF88" w:rsidR="007A1D93" w:rsidRPr="000D11CA" w:rsidRDefault="007A1D93" w:rsidP="00092737">
            <w:pPr>
              <w:spacing w:after="0" w:line="288" w:lineRule="auto"/>
              <w:rPr>
                <w:rFonts w:ascii="Arial" w:hAnsi="Arial" w:cs="Arial"/>
                <w:sz w:val="18"/>
                <w:szCs w:val="18"/>
              </w:rPr>
            </w:pPr>
            <w:r w:rsidRPr="000D11CA">
              <w:rPr>
                <w:rFonts w:ascii="Arial" w:hAnsi="Arial" w:cs="Arial"/>
                <w:sz w:val="18"/>
                <w:szCs w:val="18"/>
              </w:rPr>
              <w:t>X</w:t>
            </w:r>
          </w:p>
        </w:tc>
        <w:tc>
          <w:tcPr>
            <w:tcW w:w="360" w:type="dxa"/>
            <w:shd w:val="clear" w:color="auto" w:fill="auto"/>
          </w:tcPr>
          <w:p w14:paraId="62F381C7" w14:textId="6266A205" w:rsidR="007A1D93" w:rsidRPr="000D11CA" w:rsidRDefault="007A1D93" w:rsidP="00092737">
            <w:pPr>
              <w:spacing w:after="0" w:line="288" w:lineRule="auto"/>
              <w:rPr>
                <w:rFonts w:ascii="Arial" w:hAnsi="Arial" w:cs="Arial"/>
                <w:sz w:val="18"/>
                <w:szCs w:val="18"/>
              </w:rPr>
            </w:pPr>
          </w:p>
        </w:tc>
        <w:tc>
          <w:tcPr>
            <w:tcW w:w="450" w:type="dxa"/>
          </w:tcPr>
          <w:p w14:paraId="5D998732" w14:textId="0E6149CB"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X</w:t>
            </w:r>
          </w:p>
        </w:tc>
        <w:tc>
          <w:tcPr>
            <w:tcW w:w="450" w:type="dxa"/>
          </w:tcPr>
          <w:p w14:paraId="65E45E48" w14:textId="45589B01"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X</w:t>
            </w:r>
          </w:p>
        </w:tc>
        <w:tc>
          <w:tcPr>
            <w:tcW w:w="450" w:type="dxa"/>
          </w:tcPr>
          <w:p w14:paraId="0501D730" w14:textId="733F6048"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X</w:t>
            </w:r>
          </w:p>
        </w:tc>
        <w:tc>
          <w:tcPr>
            <w:tcW w:w="450" w:type="dxa"/>
          </w:tcPr>
          <w:p w14:paraId="27690DE7" w14:textId="51CDC208" w:rsidR="007A1D93" w:rsidRPr="000D11CA" w:rsidRDefault="007A1D93" w:rsidP="00092737">
            <w:pPr>
              <w:spacing w:after="0" w:line="288" w:lineRule="auto"/>
              <w:jc w:val="center"/>
              <w:rPr>
                <w:rFonts w:ascii="Arial" w:hAnsi="Arial" w:cs="Arial"/>
                <w:sz w:val="18"/>
                <w:szCs w:val="18"/>
              </w:rPr>
            </w:pPr>
          </w:p>
        </w:tc>
        <w:tc>
          <w:tcPr>
            <w:tcW w:w="1800" w:type="dxa"/>
          </w:tcPr>
          <w:p w14:paraId="1EF0E7E3" w14:textId="1494B178"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BID, OE</w:t>
            </w:r>
          </w:p>
        </w:tc>
        <w:tc>
          <w:tcPr>
            <w:tcW w:w="1440" w:type="dxa"/>
          </w:tcPr>
          <w:p w14:paraId="1AFCB347" w14:textId="1D1DA115" w:rsidR="007A1D93" w:rsidRPr="000D11CA" w:rsidRDefault="007A1D93" w:rsidP="00092737">
            <w:pPr>
              <w:spacing w:after="0" w:line="288" w:lineRule="auto"/>
              <w:jc w:val="right"/>
              <w:rPr>
                <w:rFonts w:ascii="Arial" w:hAnsi="Arial" w:cs="Arial"/>
                <w:sz w:val="18"/>
                <w:szCs w:val="18"/>
              </w:rPr>
            </w:pPr>
            <w:r w:rsidRPr="000D11CA">
              <w:rPr>
                <w:rFonts w:ascii="Arial" w:hAnsi="Arial" w:cs="Arial"/>
                <w:sz w:val="18"/>
                <w:szCs w:val="18"/>
              </w:rPr>
              <w:t>0</w:t>
            </w:r>
          </w:p>
        </w:tc>
      </w:tr>
      <w:tr w:rsidR="007A1D93" w:rsidRPr="000D11CA" w14:paraId="08A12074" w14:textId="77777777" w:rsidTr="007A1D93">
        <w:trPr>
          <w:trHeight w:val="269"/>
        </w:trPr>
        <w:tc>
          <w:tcPr>
            <w:tcW w:w="3122" w:type="dxa"/>
          </w:tcPr>
          <w:p w14:paraId="2407FE96" w14:textId="3C256FC9" w:rsidR="007A1D93" w:rsidRPr="000D11CA" w:rsidRDefault="007A1D93" w:rsidP="00092737">
            <w:pPr>
              <w:spacing w:after="0" w:line="288" w:lineRule="auto"/>
              <w:rPr>
                <w:rFonts w:ascii="Arial" w:hAnsi="Arial" w:cs="Arial"/>
                <w:sz w:val="18"/>
                <w:szCs w:val="18"/>
              </w:rPr>
            </w:pPr>
            <w:r w:rsidRPr="000D11CA">
              <w:rPr>
                <w:rFonts w:ascii="Arial" w:hAnsi="Arial" w:cs="Arial"/>
                <w:sz w:val="18"/>
                <w:szCs w:val="18"/>
              </w:rPr>
              <w:t>Informes semestrales de progreso</w:t>
            </w:r>
          </w:p>
        </w:tc>
        <w:tc>
          <w:tcPr>
            <w:tcW w:w="360" w:type="dxa"/>
            <w:shd w:val="clear" w:color="auto" w:fill="auto"/>
          </w:tcPr>
          <w:p w14:paraId="61BE92C3" w14:textId="34FB856E" w:rsidR="007A1D93" w:rsidRPr="000D11CA" w:rsidRDefault="007A1D93" w:rsidP="00092737">
            <w:pPr>
              <w:spacing w:after="0" w:line="288" w:lineRule="auto"/>
              <w:rPr>
                <w:rFonts w:ascii="Arial" w:hAnsi="Arial" w:cs="Arial"/>
                <w:sz w:val="18"/>
                <w:szCs w:val="18"/>
              </w:rPr>
            </w:pPr>
          </w:p>
        </w:tc>
        <w:tc>
          <w:tcPr>
            <w:tcW w:w="360" w:type="dxa"/>
            <w:shd w:val="clear" w:color="auto" w:fill="auto"/>
          </w:tcPr>
          <w:p w14:paraId="67112D9C" w14:textId="304FCDC5" w:rsidR="007A1D93" w:rsidRPr="000D11CA" w:rsidRDefault="007A1D93" w:rsidP="00092737">
            <w:pPr>
              <w:spacing w:after="0" w:line="288" w:lineRule="auto"/>
              <w:rPr>
                <w:rFonts w:ascii="Arial" w:hAnsi="Arial" w:cs="Arial"/>
                <w:sz w:val="18"/>
                <w:szCs w:val="18"/>
              </w:rPr>
            </w:pPr>
          </w:p>
        </w:tc>
        <w:tc>
          <w:tcPr>
            <w:tcW w:w="360" w:type="dxa"/>
            <w:shd w:val="clear" w:color="auto" w:fill="auto"/>
          </w:tcPr>
          <w:p w14:paraId="190FB3A8" w14:textId="77777777" w:rsidR="007A1D93" w:rsidRPr="000D11CA" w:rsidRDefault="007A1D93" w:rsidP="00092737">
            <w:pPr>
              <w:spacing w:after="0" w:line="288" w:lineRule="auto"/>
              <w:rPr>
                <w:rFonts w:ascii="Arial" w:hAnsi="Arial" w:cs="Arial"/>
                <w:sz w:val="18"/>
                <w:szCs w:val="18"/>
              </w:rPr>
            </w:pPr>
          </w:p>
        </w:tc>
        <w:tc>
          <w:tcPr>
            <w:tcW w:w="360" w:type="dxa"/>
            <w:shd w:val="clear" w:color="auto" w:fill="auto"/>
          </w:tcPr>
          <w:p w14:paraId="0A6C02C9" w14:textId="4941C2D2" w:rsidR="007A1D93" w:rsidRPr="000D11CA" w:rsidRDefault="007A1D93" w:rsidP="00092737">
            <w:pPr>
              <w:spacing w:after="0" w:line="288" w:lineRule="auto"/>
              <w:rPr>
                <w:rFonts w:ascii="Arial" w:hAnsi="Arial" w:cs="Arial"/>
                <w:sz w:val="18"/>
                <w:szCs w:val="18"/>
              </w:rPr>
            </w:pPr>
            <w:r w:rsidRPr="000D11CA">
              <w:rPr>
                <w:rFonts w:ascii="Arial" w:hAnsi="Arial" w:cs="Arial"/>
                <w:sz w:val="18"/>
                <w:szCs w:val="18"/>
              </w:rPr>
              <w:t>X</w:t>
            </w:r>
          </w:p>
        </w:tc>
        <w:tc>
          <w:tcPr>
            <w:tcW w:w="450" w:type="dxa"/>
          </w:tcPr>
          <w:p w14:paraId="2E54DC85" w14:textId="77777777" w:rsidR="007A1D93" w:rsidRPr="000D11CA" w:rsidRDefault="007A1D93" w:rsidP="00092737">
            <w:pPr>
              <w:spacing w:after="0" w:line="288" w:lineRule="auto"/>
              <w:jc w:val="center"/>
              <w:rPr>
                <w:rFonts w:ascii="Arial" w:hAnsi="Arial" w:cs="Arial"/>
                <w:sz w:val="18"/>
                <w:szCs w:val="18"/>
              </w:rPr>
            </w:pPr>
          </w:p>
        </w:tc>
        <w:tc>
          <w:tcPr>
            <w:tcW w:w="450" w:type="dxa"/>
          </w:tcPr>
          <w:p w14:paraId="089CB510" w14:textId="0C240626"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X</w:t>
            </w:r>
          </w:p>
        </w:tc>
        <w:tc>
          <w:tcPr>
            <w:tcW w:w="450" w:type="dxa"/>
          </w:tcPr>
          <w:p w14:paraId="7EDAC9A7" w14:textId="77777777" w:rsidR="007A1D93" w:rsidRPr="000D11CA" w:rsidRDefault="007A1D93" w:rsidP="00092737">
            <w:pPr>
              <w:spacing w:after="0" w:line="288" w:lineRule="auto"/>
              <w:jc w:val="center"/>
              <w:rPr>
                <w:rFonts w:ascii="Arial" w:hAnsi="Arial" w:cs="Arial"/>
                <w:sz w:val="18"/>
                <w:szCs w:val="18"/>
              </w:rPr>
            </w:pPr>
          </w:p>
        </w:tc>
        <w:tc>
          <w:tcPr>
            <w:tcW w:w="450" w:type="dxa"/>
          </w:tcPr>
          <w:p w14:paraId="6F3D9136" w14:textId="5D0CA8B5"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X</w:t>
            </w:r>
          </w:p>
        </w:tc>
        <w:tc>
          <w:tcPr>
            <w:tcW w:w="1800" w:type="dxa"/>
          </w:tcPr>
          <w:p w14:paraId="3081E024" w14:textId="4BF0C836"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OE</w:t>
            </w:r>
          </w:p>
        </w:tc>
        <w:tc>
          <w:tcPr>
            <w:tcW w:w="1440" w:type="dxa"/>
          </w:tcPr>
          <w:p w14:paraId="018080BA" w14:textId="14B95D13" w:rsidR="007A1D93" w:rsidRPr="000D11CA" w:rsidRDefault="007A1D93" w:rsidP="00092737">
            <w:pPr>
              <w:spacing w:after="0" w:line="288" w:lineRule="auto"/>
              <w:jc w:val="right"/>
              <w:rPr>
                <w:rFonts w:ascii="Arial" w:hAnsi="Arial" w:cs="Arial"/>
                <w:sz w:val="18"/>
                <w:szCs w:val="18"/>
              </w:rPr>
            </w:pPr>
            <w:r w:rsidRPr="000D11CA">
              <w:rPr>
                <w:rFonts w:ascii="Arial" w:hAnsi="Arial" w:cs="Arial"/>
                <w:sz w:val="18"/>
                <w:szCs w:val="18"/>
              </w:rPr>
              <w:t>0</w:t>
            </w:r>
          </w:p>
        </w:tc>
      </w:tr>
      <w:tr w:rsidR="007A1D93" w:rsidRPr="000D11CA" w14:paraId="64E5D77F" w14:textId="77777777" w:rsidTr="007A1D93">
        <w:trPr>
          <w:trHeight w:val="269"/>
        </w:trPr>
        <w:tc>
          <w:tcPr>
            <w:tcW w:w="3122" w:type="dxa"/>
          </w:tcPr>
          <w:p w14:paraId="15ECABDD" w14:textId="07728E4A" w:rsidR="007A1D93" w:rsidRPr="000D11CA" w:rsidRDefault="007A1D93" w:rsidP="00092737">
            <w:pPr>
              <w:spacing w:after="0" w:line="288" w:lineRule="auto"/>
              <w:rPr>
                <w:rFonts w:ascii="Arial" w:hAnsi="Arial" w:cs="Arial"/>
                <w:sz w:val="18"/>
                <w:szCs w:val="18"/>
                <w:lang w:val="es-ES"/>
              </w:rPr>
            </w:pPr>
            <w:r w:rsidRPr="000D11CA">
              <w:rPr>
                <w:rFonts w:ascii="Arial" w:hAnsi="Arial" w:cs="Arial"/>
                <w:sz w:val="18"/>
                <w:szCs w:val="18"/>
                <w:lang w:val="es-ES"/>
              </w:rPr>
              <w:t>Misiones o visitas de monitoreo</w:t>
            </w:r>
          </w:p>
        </w:tc>
        <w:tc>
          <w:tcPr>
            <w:tcW w:w="360" w:type="dxa"/>
            <w:shd w:val="clear" w:color="auto" w:fill="auto"/>
          </w:tcPr>
          <w:p w14:paraId="338A08AA" w14:textId="77777777" w:rsidR="007A1D93" w:rsidRPr="000D11CA" w:rsidRDefault="007A1D93" w:rsidP="00092737">
            <w:pPr>
              <w:spacing w:after="0" w:line="288" w:lineRule="auto"/>
              <w:rPr>
                <w:rFonts w:ascii="Arial" w:hAnsi="Arial" w:cs="Arial"/>
                <w:sz w:val="18"/>
                <w:szCs w:val="18"/>
                <w:lang w:val="es-ES"/>
              </w:rPr>
            </w:pPr>
          </w:p>
        </w:tc>
        <w:tc>
          <w:tcPr>
            <w:tcW w:w="360" w:type="dxa"/>
            <w:shd w:val="clear" w:color="auto" w:fill="auto"/>
          </w:tcPr>
          <w:p w14:paraId="517B3142" w14:textId="15A689D3" w:rsidR="007A1D93" w:rsidRPr="000D11CA" w:rsidRDefault="007A1D93" w:rsidP="00092737">
            <w:pPr>
              <w:spacing w:after="0" w:line="288" w:lineRule="auto"/>
              <w:rPr>
                <w:rFonts w:ascii="Arial" w:hAnsi="Arial" w:cs="Arial"/>
                <w:sz w:val="18"/>
                <w:szCs w:val="18"/>
                <w:lang w:val="es-ES"/>
              </w:rPr>
            </w:pPr>
            <w:r w:rsidRPr="000D11CA">
              <w:rPr>
                <w:rFonts w:ascii="Arial" w:hAnsi="Arial" w:cs="Arial"/>
                <w:sz w:val="18"/>
                <w:szCs w:val="18"/>
              </w:rPr>
              <w:t>X</w:t>
            </w:r>
          </w:p>
        </w:tc>
        <w:tc>
          <w:tcPr>
            <w:tcW w:w="360" w:type="dxa"/>
            <w:shd w:val="clear" w:color="auto" w:fill="auto"/>
          </w:tcPr>
          <w:p w14:paraId="7E1D8019" w14:textId="77777777" w:rsidR="007A1D93" w:rsidRPr="000D11CA" w:rsidRDefault="007A1D93" w:rsidP="00092737">
            <w:pPr>
              <w:spacing w:after="0" w:line="288" w:lineRule="auto"/>
              <w:rPr>
                <w:rFonts w:ascii="Arial" w:hAnsi="Arial" w:cs="Arial"/>
                <w:sz w:val="18"/>
                <w:szCs w:val="18"/>
                <w:lang w:val="es-ES"/>
              </w:rPr>
            </w:pPr>
          </w:p>
        </w:tc>
        <w:tc>
          <w:tcPr>
            <w:tcW w:w="360" w:type="dxa"/>
            <w:shd w:val="clear" w:color="auto" w:fill="auto"/>
          </w:tcPr>
          <w:p w14:paraId="4CC83817" w14:textId="310224C4" w:rsidR="007A1D93" w:rsidRPr="000D11CA" w:rsidRDefault="007A1D93" w:rsidP="00092737">
            <w:pPr>
              <w:spacing w:after="0" w:line="288" w:lineRule="auto"/>
              <w:rPr>
                <w:rFonts w:ascii="Arial" w:hAnsi="Arial" w:cs="Arial"/>
                <w:sz w:val="18"/>
                <w:szCs w:val="18"/>
                <w:lang w:val="es-ES"/>
              </w:rPr>
            </w:pPr>
            <w:r w:rsidRPr="000D11CA">
              <w:rPr>
                <w:rFonts w:ascii="Arial" w:hAnsi="Arial" w:cs="Arial"/>
                <w:sz w:val="18"/>
                <w:szCs w:val="18"/>
              </w:rPr>
              <w:t>X</w:t>
            </w:r>
          </w:p>
        </w:tc>
        <w:tc>
          <w:tcPr>
            <w:tcW w:w="450" w:type="dxa"/>
          </w:tcPr>
          <w:p w14:paraId="7534B37E" w14:textId="77777777" w:rsidR="007A1D93" w:rsidRPr="000D11CA" w:rsidRDefault="007A1D93" w:rsidP="00092737">
            <w:pPr>
              <w:spacing w:after="0" w:line="288" w:lineRule="auto"/>
              <w:jc w:val="center"/>
              <w:rPr>
                <w:rFonts w:ascii="Arial" w:hAnsi="Arial" w:cs="Arial"/>
                <w:sz w:val="18"/>
                <w:szCs w:val="18"/>
              </w:rPr>
            </w:pPr>
          </w:p>
        </w:tc>
        <w:tc>
          <w:tcPr>
            <w:tcW w:w="450" w:type="dxa"/>
          </w:tcPr>
          <w:p w14:paraId="01D6D726" w14:textId="3A494720"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X</w:t>
            </w:r>
          </w:p>
        </w:tc>
        <w:tc>
          <w:tcPr>
            <w:tcW w:w="450" w:type="dxa"/>
          </w:tcPr>
          <w:p w14:paraId="2A086F59" w14:textId="77777777" w:rsidR="007A1D93" w:rsidRPr="000D11CA" w:rsidRDefault="007A1D93" w:rsidP="00092737">
            <w:pPr>
              <w:spacing w:after="0" w:line="288" w:lineRule="auto"/>
              <w:jc w:val="center"/>
              <w:rPr>
                <w:rFonts w:ascii="Arial" w:hAnsi="Arial" w:cs="Arial"/>
                <w:sz w:val="18"/>
                <w:szCs w:val="18"/>
              </w:rPr>
            </w:pPr>
          </w:p>
        </w:tc>
        <w:tc>
          <w:tcPr>
            <w:tcW w:w="450" w:type="dxa"/>
          </w:tcPr>
          <w:p w14:paraId="42601FA1" w14:textId="283A5AE3"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X</w:t>
            </w:r>
          </w:p>
        </w:tc>
        <w:tc>
          <w:tcPr>
            <w:tcW w:w="1800" w:type="dxa"/>
          </w:tcPr>
          <w:p w14:paraId="03D89F44" w14:textId="2EE92C95"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BID, OE</w:t>
            </w:r>
          </w:p>
        </w:tc>
        <w:tc>
          <w:tcPr>
            <w:tcW w:w="1440" w:type="dxa"/>
          </w:tcPr>
          <w:p w14:paraId="28629712" w14:textId="03FEF0E4" w:rsidR="007A1D93" w:rsidRPr="000D11CA" w:rsidRDefault="007A1D93" w:rsidP="00092737">
            <w:pPr>
              <w:spacing w:after="0" w:line="288" w:lineRule="auto"/>
              <w:jc w:val="right"/>
              <w:rPr>
                <w:rFonts w:ascii="Arial" w:hAnsi="Arial" w:cs="Arial"/>
                <w:sz w:val="18"/>
                <w:szCs w:val="18"/>
              </w:rPr>
            </w:pPr>
            <w:r w:rsidRPr="000D11CA">
              <w:rPr>
                <w:rFonts w:ascii="Arial" w:hAnsi="Arial" w:cs="Arial"/>
                <w:sz w:val="18"/>
                <w:szCs w:val="18"/>
              </w:rPr>
              <w:t>5,000</w:t>
            </w:r>
          </w:p>
        </w:tc>
      </w:tr>
      <w:tr w:rsidR="007A1D93" w:rsidRPr="000D11CA" w14:paraId="36AB4AC4" w14:textId="77777777" w:rsidTr="007A1D93">
        <w:tc>
          <w:tcPr>
            <w:tcW w:w="3122" w:type="dxa"/>
          </w:tcPr>
          <w:p w14:paraId="608913E7" w14:textId="56DEE4F8" w:rsidR="007A1D93" w:rsidRPr="000D11CA" w:rsidRDefault="007A1D93" w:rsidP="00092737">
            <w:pPr>
              <w:spacing w:after="0" w:line="288" w:lineRule="auto"/>
              <w:rPr>
                <w:rFonts w:ascii="Arial" w:hAnsi="Arial" w:cs="Arial"/>
                <w:sz w:val="18"/>
                <w:szCs w:val="18"/>
              </w:rPr>
            </w:pPr>
            <w:r w:rsidRPr="000D11CA">
              <w:rPr>
                <w:rFonts w:ascii="Arial" w:hAnsi="Arial" w:cs="Arial"/>
                <w:sz w:val="18"/>
                <w:szCs w:val="18"/>
              </w:rPr>
              <w:t>Auditoría financiera</w:t>
            </w:r>
          </w:p>
        </w:tc>
        <w:tc>
          <w:tcPr>
            <w:tcW w:w="360" w:type="dxa"/>
            <w:shd w:val="clear" w:color="auto" w:fill="auto"/>
          </w:tcPr>
          <w:p w14:paraId="05CD6CEC" w14:textId="77777777" w:rsidR="007A1D93" w:rsidRPr="000D11CA" w:rsidRDefault="007A1D93" w:rsidP="00092737">
            <w:pPr>
              <w:spacing w:after="0" w:line="288" w:lineRule="auto"/>
              <w:rPr>
                <w:rFonts w:ascii="Arial" w:hAnsi="Arial" w:cs="Arial"/>
                <w:sz w:val="18"/>
                <w:szCs w:val="18"/>
              </w:rPr>
            </w:pPr>
          </w:p>
        </w:tc>
        <w:tc>
          <w:tcPr>
            <w:tcW w:w="360" w:type="dxa"/>
            <w:shd w:val="clear" w:color="auto" w:fill="auto"/>
          </w:tcPr>
          <w:p w14:paraId="34D851B5" w14:textId="77777777" w:rsidR="007A1D93" w:rsidRPr="000D11CA" w:rsidRDefault="007A1D93" w:rsidP="00092737">
            <w:pPr>
              <w:spacing w:after="0" w:line="288" w:lineRule="auto"/>
              <w:rPr>
                <w:rFonts w:ascii="Arial" w:hAnsi="Arial" w:cs="Arial"/>
                <w:sz w:val="18"/>
                <w:szCs w:val="18"/>
              </w:rPr>
            </w:pPr>
          </w:p>
        </w:tc>
        <w:tc>
          <w:tcPr>
            <w:tcW w:w="360" w:type="dxa"/>
            <w:shd w:val="clear" w:color="auto" w:fill="auto"/>
          </w:tcPr>
          <w:p w14:paraId="69C35A87" w14:textId="77777777" w:rsidR="007A1D93" w:rsidRPr="000D11CA" w:rsidRDefault="007A1D93" w:rsidP="00092737">
            <w:pPr>
              <w:spacing w:after="0" w:line="288" w:lineRule="auto"/>
              <w:rPr>
                <w:rFonts w:ascii="Arial" w:hAnsi="Arial" w:cs="Arial"/>
                <w:sz w:val="18"/>
                <w:szCs w:val="18"/>
              </w:rPr>
            </w:pPr>
          </w:p>
        </w:tc>
        <w:tc>
          <w:tcPr>
            <w:tcW w:w="360" w:type="dxa"/>
            <w:shd w:val="clear" w:color="auto" w:fill="auto"/>
          </w:tcPr>
          <w:p w14:paraId="0674DBB7" w14:textId="0209DAD7" w:rsidR="007A1D93" w:rsidRPr="000D11CA" w:rsidRDefault="007A1D93" w:rsidP="00092737">
            <w:pPr>
              <w:spacing w:after="0" w:line="288" w:lineRule="auto"/>
              <w:rPr>
                <w:rFonts w:ascii="Arial" w:hAnsi="Arial" w:cs="Arial"/>
                <w:sz w:val="18"/>
                <w:szCs w:val="18"/>
              </w:rPr>
            </w:pPr>
          </w:p>
        </w:tc>
        <w:tc>
          <w:tcPr>
            <w:tcW w:w="450" w:type="dxa"/>
          </w:tcPr>
          <w:p w14:paraId="42ED1E37" w14:textId="77777777" w:rsidR="007A1D93" w:rsidRPr="000D11CA" w:rsidRDefault="007A1D93" w:rsidP="00092737">
            <w:pPr>
              <w:spacing w:after="0" w:line="288" w:lineRule="auto"/>
              <w:jc w:val="center"/>
              <w:rPr>
                <w:rFonts w:ascii="Arial" w:hAnsi="Arial" w:cs="Arial"/>
                <w:sz w:val="18"/>
                <w:szCs w:val="18"/>
              </w:rPr>
            </w:pPr>
          </w:p>
        </w:tc>
        <w:tc>
          <w:tcPr>
            <w:tcW w:w="450" w:type="dxa"/>
          </w:tcPr>
          <w:p w14:paraId="1DAD065D" w14:textId="77777777" w:rsidR="007A1D93" w:rsidRPr="000D11CA" w:rsidRDefault="007A1D93" w:rsidP="00092737">
            <w:pPr>
              <w:spacing w:after="0" w:line="288" w:lineRule="auto"/>
              <w:jc w:val="center"/>
              <w:rPr>
                <w:rFonts w:ascii="Arial" w:hAnsi="Arial" w:cs="Arial"/>
                <w:sz w:val="18"/>
                <w:szCs w:val="18"/>
              </w:rPr>
            </w:pPr>
          </w:p>
        </w:tc>
        <w:tc>
          <w:tcPr>
            <w:tcW w:w="450" w:type="dxa"/>
          </w:tcPr>
          <w:p w14:paraId="11D9E439" w14:textId="77777777" w:rsidR="007A1D93" w:rsidRPr="000D11CA" w:rsidRDefault="007A1D93" w:rsidP="00092737">
            <w:pPr>
              <w:spacing w:after="0" w:line="288" w:lineRule="auto"/>
              <w:jc w:val="center"/>
              <w:rPr>
                <w:rFonts w:ascii="Arial" w:hAnsi="Arial" w:cs="Arial"/>
                <w:sz w:val="18"/>
                <w:szCs w:val="18"/>
              </w:rPr>
            </w:pPr>
          </w:p>
        </w:tc>
        <w:tc>
          <w:tcPr>
            <w:tcW w:w="450" w:type="dxa"/>
          </w:tcPr>
          <w:p w14:paraId="6A08211D" w14:textId="1E91300D" w:rsidR="007A1D93" w:rsidRPr="000D11CA" w:rsidRDefault="007A1D93" w:rsidP="00092737">
            <w:pPr>
              <w:spacing w:after="0" w:line="288" w:lineRule="auto"/>
              <w:jc w:val="center"/>
              <w:rPr>
                <w:rFonts w:ascii="Arial" w:hAnsi="Arial" w:cs="Arial"/>
                <w:sz w:val="18"/>
                <w:szCs w:val="18"/>
              </w:rPr>
            </w:pPr>
          </w:p>
        </w:tc>
        <w:tc>
          <w:tcPr>
            <w:tcW w:w="1800" w:type="dxa"/>
          </w:tcPr>
          <w:p w14:paraId="231FAD32" w14:textId="331C918A"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OE</w:t>
            </w:r>
          </w:p>
        </w:tc>
        <w:tc>
          <w:tcPr>
            <w:tcW w:w="1440" w:type="dxa"/>
          </w:tcPr>
          <w:p w14:paraId="11440B3E" w14:textId="496ECA4A" w:rsidR="007A1D93" w:rsidRPr="000D11CA" w:rsidRDefault="00242D15" w:rsidP="00092737">
            <w:pPr>
              <w:spacing w:after="0" w:line="288" w:lineRule="auto"/>
              <w:jc w:val="right"/>
              <w:rPr>
                <w:rFonts w:ascii="Arial" w:hAnsi="Arial" w:cs="Arial"/>
                <w:sz w:val="18"/>
                <w:szCs w:val="18"/>
              </w:rPr>
            </w:pPr>
            <w:r>
              <w:rPr>
                <w:rFonts w:ascii="Arial" w:hAnsi="Arial" w:cs="Arial"/>
                <w:sz w:val="18"/>
                <w:szCs w:val="18"/>
              </w:rPr>
              <w:t>20</w:t>
            </w:r>
            <w:r w:rsidR="007A1D93" w:rsidRPr="000D11CA">
              <w:rPr>
                <w:rFonts w:ascii="Arial" w:hAnsi="Arial" w:cs="Arial"/>
                <w:sz w:val="18"/>
                <w:szCs w:val="18"/>
              </w:rPr>
              <w:t>0,000</w:t>
            </w:r>
          </w:p>
        </w:tc>
      </w:tr>
      <w:tr w:rsidR="007A1D93" w:rsidRPr="000D11CA" w14:paraId="0CE1FBE5" w14:textId="77777777" w:rsidTr="007A1D93">
        <w:tc>
          <w:tcPr>
            <w:tcW w:w="3122" w:type="dxa"/>
          </w:tcPr>
          <w:p w14:paraId="42FCFB86" w14:textId="48595B0A" w:rsidR="007A1D93" w:rsidRPr="000D11CA" w:rsidRDefault="007A1D93" w:rsidP="00092737">
            <w:pPr>
              <w:spacing w:after="0" w:line="288" w:lineRule="auto"/>
              <w:rPr>
                <w:rFonts w:ascii="Arial" w:hAnsi="Arial" w:cs="Arial"/>
                <w:sz w:val="18"/>
                <w:szCs w:val="18"/>
                <w:lang w:val="es-ES_tradnl"/>
              </w:rPr>
            </w:pPr>
            <w:r w:rsidRPr="000D11CA">
              <w:rPr>
                <w:rFonts w:ascii="Arial" w:hAnsi="Arial" w:cs="Arial"/>
                <w:sz w:val="18"/>
                <w:szCs w:val="18"/>
                <w:lang w:val="es-ES_tradnl"/>
              </w:rPr>
              <w:t>Revisión de operaciones / evaluación de procesos</w:t>
            </w:r>
          </w:p>
        </w:tc>
        <w:tc>
          <w:tcPr>
            <w:tcW w:w="360" w:type="dxa"/>
            <w:shd w:val="clear" w:color="auto" w:fill="auto"/>
          </w:tcPr>
          <w:p w14:paraId="7E4A2CBA" w14:textId="77777777" w:rsidR="007A1D93" w:rsidRPr="000D11CA" w:rsidRDefault="007A1D93" w:rsidP="00092737">
            <w:pPr>
              <w:spacing w:after="0" w:line="288" w:lineRule="auto"/>
              <w:rPr>
                <w:rFonts w:ascii="Arial" w:hAnsi="Arial" w:cs="Arial"/>
                <w:sz w:val="18"/>
                <w:szCs w:val="18"/>
                <w:lang w:val="es-ES_tradnl"/>
              </w:rPr>
            </w:pPr>
          </w:p>
        </w:tc>
        <w:tc>
          <w:tcPr>
            <w:tcW w:w="360" w:type="dxa"/>
            <w:shd w:val="clear" w:color="auto" w:fill="auto"/>
          </w:tcPr>
          <w:p w14:paraId="7EA2CEBB" w14:textId="77777777" w:rsidR="007A1D93" w:rsidRPr="000D11CA" w:rsidRDefault="007A1D93" w:rsidP="00092737">
            <w:pPr>
              <w:spacing w:after="0" w:line="288" w:lineRule="auto"/>
              <w:rPr>
                <w:rFonts w:ascii="Arial" w:hAnsi="Arial" w:cs="Arial"/>
                <w:sz w:val="18"/>
                <w:szCs w:val="18"/>
                <w:lang w:val="es-ES_tradnl"/>
              </w:rPr>
            </w:pPr>
          </w:p>
        </w:tc>
        <w:tc>
          <w:tcPr>
            <w:tcW w:w="360" w:type="dxa"/>
            <w:shd w:val="clear" w:color="auto" w:fill="auto"/>
          </w:tcPr>
          <w:p w14:paraId="46E1E32E" w14:textId="77777777" w:rsidR="007A1D93" w:rsidRPr="000D11CA" w:rsidRDefault="007A1D93" w:rsidP="00092737">
            <w:pPr>
              <w:spacing w:after="0" w:line="288" w:lineRule="auto"/>
              <w:rPr>
                <w:rFonts w:ascii="Arial" w:hAnsi="Arial" w:cs="Arial"/>
                <w:sz w:val="18"/>
                <w:szCs w:val="18"/>
                <w:lang w:val="es-ES_tradnl"/>
              </w:rPr>
            </w:pPr>
          </w:p>
        </w:tc>
        <w:tc>
          <w:tcPr>
            <w:tcW w:w="360" w:type="dxa"/>
            <w:shd w:val="clear" w:color="auto" w:fill="auto"/>
          </w:tcPr>
          <w:p w14:paraId="62D5304E" w14:textId="77777777" w:rsidR="007A1D93" w:rsidRPr="000D11CA" w:rsidRDefault="007A1D93" w:rsidP="00092737">
            <w:pPr>
              <w:spacing w:after="0" w:line="288" w:lineRule="auto"/>
              <w:rPr>
                <w:rFonts w:ascii="Arial" w:hAnsi="Arial" w:cs="Arial"/>
                <w:sz w:val="18"/>
                <w:szCs w:val="18"/>
                <w:lang w:val="es-ES_tradnl"/>
              </w:rPr>
            </w:pPr>
          </w:p>
        </w:tc>
        <w:tc>
          <w:tcPr>
            <w:tcW w:w="450" w:type="dxa"/>
          </w:tcPr>
          <w:p w14:paraId="0A48F95E" w14:textId="77777777" w:rsidR="007A1D93" w:rsidRPr="00EB1A5F" w:rsidRDefault="007A1D93" w:rsidP="00092737">
            <w:pPr>
              <w:spacing w:after="0" w:line="288" w:lineRule="auto"/>
              <w:jc w:val="center"/>
              <w:rPr>
                <w:rFonts w:ascii="Arial" w:hAnsi="Arial" w:cs="Arial"/>
                <w:sz w:val="18"/>
                <w:szCs w:val="18"/>
                <w:lang w:val="es-ES_tradnl"/>
              </w:rPr>
            </w:pPr>
          </w:p>
        </w:tc>
        <w:tc>
          <w:tcPr>
            <w:tcW w:w="450" w:type="dxa"/>
          </w:tcPr>
          <w:p w14:paraId="2C932F57" w14:textId="77777777" w:rsidR="007A1D93" w:rsidRPr="00EB1A5F" w:rsidRDefault="007A1D93" w:rsidP="00092737">
            <w:pPr>
              <w:spacing w:after="0" w:line="288" w:lineRule="auto"/>
              <w:jc w:val="center"/>
              <w:rPr>
                <w:rFonts w:ascii="Arial" w:hAnsi="Arial" w:cs="Arial"/>
                <w:sz w:val="18"/>
                <w:szCs w:val="18"/>
                <w:lang w:val="es-ES_tradnl"/>
              </w:rPr>
            </w:pPr>
          </w:p>
        </w:tc>
        <w:tc>
          <w:tcPr>
            <w:tcW w:w="450" w:type="dxa"/>
          </w:tcPr>
          <w:p w14:paraId="258BEC2E" w14:textId="77777777" w:rsidR="007A1D93" w:rsidRPr="00EB1A5F" w:rsidRDefault="007A1D93" w:rsidP="00092737">
            <w:pPr>
              <w:spacing w:after="0" w:line="288" w:lineRule="auto"/>
              <w:jc w:val="center"/>
              <w:rPr>
                <w:rFonts w:ascii="Arial" w:hAnsi="Arial" w:cs="Arial"/>
                <w:sz w:val="18"/>
                <w:szCs w:val="18"/>
                <w:lang w:val="es-ES_tradnl"/>
              </w:rPr>
            </w:pPr>
          </w:p>
        </w:tc>
        <w:tc>
          <w:tcPr>
            <w:tcW w:w="450" w:type="dxa"/>
          </w:tcPr>
          <w:p w14:paraId="1578CC34" w14:textId="75F6708E" w:rsidR="007A1D93" w:rsidRPr="00EB1A5F" w:rsidRDefault="007A1D93" w:rsidP="00092737">
            <w:pPr>
              <w:spacing w:after="0" w:line="288" w:lineRule="auto"/>
              <w:jc w:val="center"/>
              <w:rPr>
                <w:rFonts w:ascii="Arial" w:hAnsi="Arial" w:cs="Arial"/>
                <w:sz w:val="18"/>
                <w:szCs w:val="18"/>
                <w:lang w:val="es-ES_tradnl"/>
              </w:rPr>
            </w:pPr>
          </w:p>
        </w:tc>
        <w:tc>
          <w:tcPr>
            <w:tcW w:w="1800" w:type="dxa"/>
          </w:tcPr>
          <w:p w14:paraId="15BA493F" w14:textId="3CF4C6BB"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OE</w:t>
            </w:r>
          </w:p>
        </w:tc>
        <w:tc>
          <w:tcPr>
            <w:tcW w:w="1440" w:type="dxa"/>
          </w:tcPr>
          <w:p w14:paraId="2698C23E" w14:textId="34141A8F" w:rsidR="007A1D93" w:rsidRPr="000D11CA" w:rsidRDefault="007A1D93" w:rsidP="00092737">
            <w:pPr>
              <w:spacing w:after="0" w:line="288" w:lineRule="auto"/>
              <w:jc w:val="right"/>
              <w:rPr>
                <w:rFonts w:ascii="Arial" w:hAnsi="Arial" w:cs="Arial"/>
                <w:sz w:val="18"/>
                <w:szCs w:val="18"/>
              </w:rPr>
            </w:pPr>
            <w:r w:rsidRPr="000D11CA">
              <w:rPr>
                <w:rFonts w:ascii="Arial" w:hAnsi="Arial" w:cs="Arial"/>
                <w:sz w:val="18"/>
                <w:szCs w:val="18"/>
              </w:rPr>
              <w:t>15,000</w:t>
            </w:r>
          </w:p>
        </w:tc>
      </w:tr>
      <w:tr w:rsidR="007A1D93" w:rsidRPr="000D11CA" w14:paraId="7D27329D" w14:textId="77777777" w:rsidTr="007A1D93">
        <w:tc>
          <w:tcPr>
            <w:tcW w:w="3122" w:type="dxa"/>
          </w:tcPr>
          <w:p w14:paraId="5890391B" w14:textId="76DB3015" w:rsidR="007A1D93" w:rsidRPr="000D11CA" w:rsidRDefault="007A1D93" w:rsidP="00092737">
            <w:pPr>
              <w:spacing w:after="0" w:line="288" w:lineRule="auto"/>
              <w:rPr>
                <w:rFonts w:ascii="Arial" w:hAnsi="Arial" w:cs="Arial"/>
                <w:sz w:val="18"/>
                <w:szCs w:val="18"/>
                <w:lang w:val="es-ES_tradnl"/>
              </w:rPr>
            </w:pPr>
            <w:r w:rsidRPr="000D11CA">
              <w:rPr>
                <w:rFonts w:ascii="Arial" w:hAnsi="Arial" w:cs="Arial"/>
                <w:sz w:val="18"/>
                <w:szCs w:val="18"/>
                <w:lang w:val="es-ES_tradnl"/>
              </w:rPr>
              <w:t>Taller de cierre de proyecto</w:t>
            </w:r>
          </w:p>
        </w:tc>
        <w:tc>
          <w:tcPr>
            <w:tcW w:w="360" w:type="dxa"/>
            <w:shd w:val="clear" w:color="auto" w:fill="auto"/>
          </w:tcPr>
          <w:p w14:paraId="2FEBA956" w14:textId="77777777" w:rsidR="007A1D93" w:rsidRPr="000D11CA" w:rsidRDefault="007A1D93" w:rsidP="00092737">
            <w:pPr>
              <w:spacing w:after="0" w:line="288" w:lineRule="auto"/>
              <w:rPr>
                <w:rFonts w:ascii="Arial" w:hAnsi="Arial" w:cs="Arial"/>
                <w:sz w:val="18"/>
                <w:szCs w:val="18"/>
                <w:lang w:val="es-ES_tradnl"/>
              </w:rPr>
            </w:pPr>
          </w:p>
        </w:tc>
        <w:tc>
          <w:tcPr>
            <w:tcW w:w="360" w:type="dxa"/>
            <w:shd w:val="clear" w:color="auto" w:fill="auto"/>
          </w:tcPr>
          <w:p w14:paraId="7ECC0AA0" w14:textId="77777777" w:rsidR="007A1D93" w:rsidRPr="000D11CA" w:rsidRDefault="007A1D93" w:rsidP="00092737">
            <w:pPr>
              <w:spacing w:after="0" w:line="288" w:lineRule="auto"/>
              <w:rPr>
                <w:rFonts w:ascii="Arial" w:hAnsi="Arial" w:cs="Arial"/>
                <w:sz w:val="18"/>
                <w:szCs w:val="18"/>
                <w:lang w:val="es-ES_tradnl"/>
              </w:rPr>
            </w:pPr>
          </w:p>
        </w:tc>
        <w:tc>
          <w:tcPr>
            <w:tcW w:w="360" w:type="dxa"/>
            <w:shd w:val="clear" w:color="auto" w:fill="auto"/>
          </w:tcPr>
          <w:p w14:paraId="74C099C7" w14:textId="77777777" w:rsidR="007A1D93" w:rsidRPr="000D11CA" w:rsidRDefault="007A1D93" w:rsidP="00092737">
            <w:pPr>
              <w:spacing w:after="0" w:line="288" w:lineRule="auto"/>
              <w:rPr>
                <w:rFonts w:ascii="Arial" w:hAnsi="Arial" w:cs="Arial"/>
                <w:sz w:val="18"/>
                <w:szCs w:val="18"/>
                <w:lang w:val="es-ES_tradnl"/>
              </w:rPr>
            </w:pPr>
          </w:p>
        </w:tc>
        <w:tc>
          <w:tcPr>
            <w:tcW w:w="360" w:type="dxa"/>
            <w:shd w:val="clear" w:color="auto" w:fill="auto"/>
          </w:tcPr>
          <w:p w14:paraId="1BD858A9" w14:textId="77777777" w:rsidR="007A1D93" w:rsidRPr="000D11CA" w:rsidRDefault="007A1D93" w:rsidP="00092737">
            <w:pPr>
              <w:spacing w:after="0" w:line="288" w:lineRule="auto"/>
              <w:rPr>
                <w:rFonts w:ascii="Arial" w:hAnsi="Arial" w:cs="Arial"/>
                <w:sz w:val="18"/>
                <w:szCs w:val="18"/>
                <w:lang w:val="es-ES_tradnl"/>
              </w:rPr>
            </w:pPr>
          </w:p>
        </w:tc>
        <w:tc>
          <w:tcPr>
            <w:tcW w:w="450" w:type="dxa"/>
          </w:tcPr>
          <w:p w14:paraId="20F06766" w14:textId="77777777" w:rsidR="007A1D93" w:rsidRPr="00EB1A5F" w:rsidRDefault="007A1D93" w:rsidP="00092737">
            <w:pPr>
              <w:spacing w:after="0" w:line="288" w:lineRule="auto"/>
              <w:jc w:val="center"/>
              <w:rPr>
                <w:rFonts w:ascii="Arial" w:hAnsi="Arial" w:cs="Arial"/>
                <w:sz w:val="18"/>
                <w:szCs w:val="18"/>
                <w:lang w:val="es-ES_tradnl"/>
              </w:rPr>
            </w:pPr>
          </w:p>
        </w:tc>
        <w:tc>
          <w:tcPr>
            <w:tcW w:w="450" w:type="dxa"/>
          </w:tcPr>
          <w:p w14:paraId="41BB6CC7" w14:textId="77777777" w:rsidR="007A1D93" w:rsidRPr="00EB1A5F" w:rsidRDefault="007A1D93" w:rsidP="00092737">
            <w:pPr>
              <w:spacing w:after="0" w:line="288" w:lineRule="auto"/>
              <w:jc w:val="center"/>
              <w:rPr>
                <w:rFonts w:ascii="Arial" w:hAnsi="Arial" w:cs="Arial"/>
                <w:sz w:val="18"/>
                <w:szCs w:val="18"/>
                <w:lang w:val="es-ES_tradnl"/>
              </w:rPr>
            </w:pPr>
          </w:p>
        </w:tc>
        <w:tc>
          <w:tcPr>
            <w:tcW w:w="450" w:type="dxa"/>
          </w:tcPr>
          <w:p w14:paraId="4E48D506" w14:textId="77777777" w:rsidR="007A1D93" w:rsidRPr="00EB1A5F" w:rsidRDefault="007A1D93" w:rsidP="00092737">
            <w:pPr>
              <w:spacing w:after="0" w:line="288" w:lineRule="auto"/>
              <w:jc w:val="center"/>
              <w:rPr>
                <w:rFonts w:ascii="Arial" w:hAnsi="Arial" w:cs="Arial"/>
                <w:sz w:val="18"/>
                <w:szCs w:val="18"/>
                <w:lang w:val="es-ES_tradnl"/>
              </w:rPr>
            </w:pPr>
          </w:p>
        </w:tc>
        <w:tc>
          <w:tcPr>
            <w:tcW w:w="450" w:type="dxa"/>
          </w:tcPr>
          <w:p w14:paraId="634D4C98" w14:textId="7AF1950F" w:rsidR="007A1D93" w:rsidRPr="00EB1A5F" w:rsidRDefault="007A1D93" w:rsidP="00092737">
            <w:pPr>
              <w:spacing w:after="0" w:line="288" w:lineRule="auto"/>
              <w:jc w:val="center"/>
              <w:rPr>
                <w:rFonts w:ascii="Arial" w:hAnsi="Arial" w:cs="Arial"/>
                <w:sz w:val="18"/>
                <w:szCs w:val="18"/>
                <w:lang w:val="es-ES_tradnl"/>
              </w:rPr>
            </w:pPr>
          </w:p>
        </w:tc>
        <w:tc>
          <w:tcPr>
            <w:tcW w:w="1800" w:type="dxa"/>
          </w:tcPr>
          <w:p w14:paraId="794E0580" w14:textId="3F3B5C36" w:rsidR="007A1D93" w:rsidRPr="000D11CA" w:rsidRDefault="007A1D93" w:rsidP="00092737">
            <w:pPr>
              <w:spacing w:after="0" w:line="288" w:lineRule="auto"/>
              <w:jc w:val="center"/>
              <w:rPr>
                <w:rFonts w:ascii="Arial" w:hAnsi="Arial" w:cs="Arial"/>
                <w:sz w:val="18"/>
                <w:szCs w:val="18"/>
              </w:rPr>
            </w:pPr>
            <w:r w:rsidRPr="000D11CA">
              <w:rPr>
                <w:rFonts w:ascii="Arial" w:hAnsi="Arial" w:cs="Arial"/>
                <w:sz w:val="18"/>
                <w:szCs w:val="18"/>
              </w:rPr>
              <w:t>BID</w:t>
            </w:r>
          </w:p>
        </w:tc>
        <w:tc>
          <w:tcPr>
            <w:tcW w:w="1440" w:type="dxa"/>
          </w:tcPr>
          <w:p w14:paraId="4135FFED" w14:textId="5E059529" w:rsidR="007A1D93" w:rsidRPr="000D11CA" w:rsidRDefault="007A1D93" w:rsidP="00092737">
            <w:pPr>
              <w:spacing w:after="0" w:line="288" w:lineRule="auto"/>
              <w:jc w:val="right"/>
              <w:rPr>
                <w:rFonts w:ascii="Arial" w:hAnsi="Arial" w:cs="Arial"/>
                <w:sz w:val="18"/>
                <w:szCs w:val="18"/>
              </w:rPr>
            </w:pPr>
            <w:r w:rsidRPr="000D11CA">
              <w:rPr>
                <w:rFonts w:ascii="Arial" w:hAnsi="Arial" w:cs="Arial"/>
                <w:sz w:val="18"/>
                <w:szCs w:val="18"/>
              </w:rPr>
              <w:t>2,000</w:t>
            </w:r>
          </w:p>
        </w:tc>
      </w:tr>
    </w:tbl>
    <w:p w14:paraId="3743A3B3" w14:textId="44BADA69" w:rsidR="00D20C0D" w:rsidRPr="000D11CA" w:rsidRDefault="00B74B07" w:rsidP="000D11CA">
      <w:pPr>
        <w:spacing w:before="120" w:after="0" w:line="288" w:lineRule="auto"/>
        <w:ind w:left="-259" w:hanging="187"/>
        <w:jc w:val="both"/>
        <w:rPr>
          <w:rFonts w:ascii="Arial" w:hAnsi="Arial" w:cs="Arial"/>
          <w:sz w:val="18"/>
          <w:szCs w:val="18"/>
          <w:lang w:val="es-ES_tradnl"/>
        </w:rPr>
      </w:pPr>
      <w:r w:rsidRPr="000D11CA">
        <w:rPr>
          <w:rFonts w:ascii="Arial" w:hAnsi="Arial" w:cs="Arial"/>
          <w:sz w:val="18"/>
          <w:szCs w:val="18"/>
          <w:lang w:val="es-ES_tradnl"/>
        </w:rPr>
        <w:t xml:space="preserve">* Se determinará con el jefe de equipo el momento oportuno para elaborar el PEP y POA en el primer año de </w:t>
      </w:r>
      <w:r w:rsidR="00A42DC2" w:rsidRPr="000D11CA">
        <w:rPr>
          <w:rFonts w:ascii="Arial" w:hAnsi="Arial" w:cs="Arial"/>
          <w:sz w:val="18"/>
          <w:szCs w:val="18"/>
          <w:lang w:val="es-ES_tradnl"/>
        </w:rPr>
        <w:t>ejecución.</w:t>
      </w:r>
      <w:r w:rsidR="00100748">
        <w:rPr>
          <w:rFonts w:ascii="Arial" w:hAnsi="Arial" w:cs="Arial"/>
          <w:sz w:val="18"/>
          <w:szCs w:val="18"/>
          <w:lang w:val="es-ES_tradnl"/>
        </w:rPr>
        <w:t xml:space="preserve"> La fuente serán fondos de supervisión y</w:t>
      </w:r>
      <w:r w:rsidR="00242D15">
        <w:rPr>
          <w:rFonts w:ascii="Arial" w:hAnsi="Arial" w:cs="Arial"/>
          <w:sz w:val="18"/>
          <w:szCs w:val="18"/>
          <w:lang w:val="es-ES_tradnl"/>
        </w:rPr>
        <w:t xml:space="preserve"> administrativos;</w:t>
      </w:r>
      <w:r w:rsidR="00100748">
        <w:rPr>
          <w:rFonts w:ascii="Arial" w:hAnsi="Arial" w:cs="Arial"/>
          <w:sz w:val="18"/>
          <w:szCs w:val="18"/>
          <w:lang w:val="es-ES_tradnl"/>
        </w:rPr>
        <w:t xml:space="preserve"> para la auditoría fondos del préstamo</w:t>
      </w:r>
    </w:p>
    <w:p w14:paraId="452BE6B1" w14:textId="77777777" w:rsidR="0079661E" w:rsidRDefault="00D20C0D" w:rsidP="005E7FFB">
      <w:pPr>
        <w:spacing w:after="0" w:line="288" w:lineRule="auto"/>
        <w:jc w:val="center"/>
        <w:rPr>
          <w:rFonts w:ascii="Arial" w:hAnsi="Arial" w:cs="Arial"/>
          <w:lang w:val="es-ES_tradnl"/>
        </w:rPr>
        <w:sectPr w:rsidR="0079661E" w:rsidSect="00190876">
          <w:pgSz w:w="12240" w:h="15840"/>
          <w:pgMar w:top="1440" w:right="1627" w:bottom="1440" w:left="1440" w:header="720" w:footer="720" w:gutter="0"/>
          <w:cols w:space="720"/>
          <w:docGrid w:linePitch="360"/>
        </w:sectPr>
      </w:pPr>
      <w:r w:rsidRPr="00B74B07">
        <w:rPr>
          <w:rFonts w:ascii="Arial" w:hAnsi="Arial" w:cs="Arial"/>
          <w:lang w:val="es-ES_tradnl"/>
        </w:rPr>
        <w:br w:type="page"/>
      </w:r>
    </w:p>
    <w:p w14:paraId="38EBE79D" w14:textId="1BC08E9D" w:rsidR="00D919E2" w:rsidRPr="006C1331" w:rsidRDefault="00D919E2" w:rsidP="005E7FFB">
      <w:pPr>
        <w:spacing w:after="0" w:line="288" w:lineRule="auto"/>
        <w:jc w:val="center"/>
        <w:rPr>
          <w:rFonts w:ascii="Arial" w:hAnsi="Arial" w:cs="Arial"/>
          <w:b/>
          <w:bCs/>
          <w:lang w:val="es-ES_tradnl"/>
        </w:rPr>
      </w:pPr>
      <w:r w:rsidRPr="006C1331">
        <w:rPr>
          <w:rFonts w:ascii="Arial" w:hAnsi="Arial" w:cs="Arial"/>
          <w:b/>
          <w:bCs/>
          <w:lang w:val="es-ES_tradnl"/>
        </w:rPr>
        <w:lastRenderedPageBreak/>
        <w:t>Tabl</w:t>
      </w:r>
      <w:r w:rsidR="00B102DD" w:rsidRPr="006C1331">
        <w:rPr>
          <w:rFonts w:ascii="Arial" w:hAnsi="Arial" w:cs="Arial"/>
          <w:b/>
          <w:bCs/>
          <w:lang w:val="es-ES_tradnl"/>
        </w:rPr>
        <w:t>a</w:t>
      </w:r>
      <w:r w:rsidRPr="006C1331">
        <w:rPr>
          <w:rFonts w:ascii="Arial" w:hAnsi="Arial" w:cs="Arial"/>
          <w:b/>
          <w:bCs/>
          <w:lang w:val="es-ES_tradnl"/>
        </w:rPr>
        <w:t xml:space="preserve"> </w:t>
      </w:r>
      <w:r w:rsidR="0015541E" w:rsidRPr="006C1331">
        <w:rPr>
          <w:rFonts w:ascii="Arial" w:hAnsi="Arial" w:cs="Arial"/>
          <w:b/>
          <w:bCs/>
          <w:lang w:val="es-ES_tradnl"/>
        </w:rPr>
        <w:t>4</w:t>
      </w:r>
    </w:p>
    <w:p w14:paraId="02EF3125" w14:textId="4398EFB7" w:rsidR="004078EC" w:rsidRPr="006C1331" w:rsidRDefault="001F6C6F" w:rsidP="004078EC">
      <w:pPr>
        <w:spacing w:after="0" w:line="240" w:lineRule="auto"/>
        <w:ind w:left="1080" w:hanging="1155"/>
        <w:jc w:val="center"/>
        <w:textAlignment w:val="baseline"/>
        <w:rPr>
          <w:rFonts w:ascii="Segoe UI" w:eastAsia="Times New Roman" w:hAnsi="Segoe UI" w:cs="Segoe UI"/>
          <w:b/>
          <w:bCs/>
          <w:sz w:val="18"/>
          <w:szCs w:val="18"/>
          <w:lang w:val="es-ES_tradnl"/>
        </w:rPr>
      </w:pPr>
      <w:r w:rsidRPr="006C1331">
        <w:rPr>
          <w:rFonts w:ascii="Arial" w:eastAsia="Times New Roman" w:hAnsi="Arial" w:cs="Arial"/>
          <w:b/>
          <w:bCs/>
          <w:sz w:val="20"/>
          <w:szCs w:val="20"/>
          <w:lang w:val="es-ES_tradnl"/>
        </w:rPr>
        <w:t>Indicadores de producto</w:t>
      </w:r>
    </w:p>
    <w:p w14:paraId="67C2DB91" w14:textId="77777777" w:rsidR="0099224C" w:rsidRPr="006504BB" w:rsidRDefault="0099224C" w:rsidP="0099224C">
      <w:pPr>
        <w:jc w:val="center"/>
        <w:textAlignment w:val="baseline"/>
        <w:rPr>
          <w:rFonts w:asciiTheme="minorHAnsi" w:hAnsiTheme="minorHAnsi" w:cstheme="minorBidi"/>
          <w:lang w:val="es-ES_tradnl"/>
        </w:rPr>
      </w:pPr>
    </w:p>
    <w:tbl>
      <w:tblPr>
        <w:tblW w:w="8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0"/>
        <w:gridCol w:w="2340"/>
      </w:tblGrid>
      <w:tr w:rsidR="006C1331" w:rsidRPr="006C1331" w14:paraId="20058022" w14:textId="77777777" w:rsidTr="006C1331">
        <w:trPr>
          <w:trHeight w:val="435"/>
        </w:trPr>
        <w:tc>
          <w:tcPr>
            <w:tcW w:w="6650" w:type="dxa"/>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14:paraId="63B4B239" w14:textId="08DC52F2" w:rsidR="006C1331" w:rsidRPr="006C1331" w:rsidRDefault="006C1331" w:rsidP="006C1331">
            <w:pPr>
              <w:spacing w:before="40" w:after="40" w:line="240" w:lineRule="auto"/>
              <w:jc w:val="center"/>
              <w:textAlignment w:val="baseline"/>
              <w:rPr>
                <w:rFonts w:ascii="Arial" w:hAnsi="Arial" w:cs="Arial"/>
                <w:b/>
                <w:bCs/>
                <w:sz w:val="20"/>
                <w:szCs w:val="20"/>
                <w:lang w:val="es-ES"/>
              </w:rPr>
            </w:pPr>
            <w:r>
              <w:rPr>
                <w:rFonts w:ascii="Arial" w:hAnsi="Arial" w:cs="Arial"/>
                <w:b/>
                <w:bCs/>
                <w:sz w:val="20"/>
                <w:szCs w:val="20"/>
                <w:lang w:val="es-ES"/>
              </w:rPr>
              <w:t>Descripción</w:t>
            </w:r>
          </w:p>
        </w:tc>
        <w:tc>
          <w:tcPr>
            <w:tcW w:w="2340" w:type="dxa"/>
            <w:tcBorders>
              <w:top w:val="single" w:sz="8" w:space="0" w:color="auto"/>
              <w:left w:val="nil"/>
              <w:bottom w:val="single" w:sz="8" w:space="0" w:color="auto"/>
              <w:right w:val="single" w:sz="8" w:space="0" w:color="auto"/>
            </w:tcBorders>
            <w:shd w:val="clear" w:color="auto" w:fill="8DB3E2" w:themeFill="text2" w:themeFillTint="66"/>
            <w:vAlign w:val="center"/>
          </w:tcPr>
          <w:p w14:paraId="2626227B" w14:textId="088A05C6" w:rsidR="006C1331" w:rsidRPr="006C1331" w:rsidRDefault="006C1331" w:rsidP="006C1331">
            <w:pPr>
              <w:spacing w:before="40" w:after="40" w:line="240" w:lineRule="auto"/>
              <w:jc w:val="center"/>
              <w:textAlignment w:val="baseline"/>
              <w:rPr>
                <w:rFonts w:ascii="Arial" w:hAnsi="Arial" w:cs="Arial"/>
                <w:b/>
                <w:bCs/>
                <w:sz w:val="20"/>
                <w:szCs w:val="20"/>
              </w:rPr>
            </w:pPr>
            <w:r>
              <w:rPr>
                <w:rFonts w:ascii="Arial" w:hAnsi="Arial" w:cs="Arial"/>
                <w:b/>
                <w:bCs/>
                <w:sz w:val="20"/>
                <w:szCs w:val="20"/>
              </w:rPr>
              <w:t>Monto US$</w:t>
            </w:r>
          </w:p>
        </w:tc>
      </w:tr>
      <w:tr w:rsidR="0099224C" w:rsidRPr="006C1331" w14:paraId="1FA3E951" w14:textId="77777777" w:rsidTr="006C1331">
        <w:trPr>
          <w:trHeight w:val="435"/>
        </w:trPr>
        <w:tc>
          <w:tcPr>
            <w:tcW w:w="6650" w:type="dxa"/>
            <w:tcBorders>
              <w:top w:val="single" w:sz="8" w:space="0" w:color="auto"/>
              <w:left w:val="single" w:sz="8" w:space="0" w:color="auto"/>
              <w:bottom w:val="single" w:sz="8" w:space="0" w:color="auto"/>
              <w:right w:val="single" w:sz="8" w:space="0" w:color="auto"/>
            </w:tcBorders>
            <w:vAlign w:val="center"/>
            <w:hideMark/>
          </w:tcPr>
          <w:p w14:paraId="396E2923" w14:textId="0F9589B2" w:rsidR="0099224C" w:rsidRPr="006C1331" w:rsidRDefault="009A7681" w:rsidP="006C1331">
            <w:pPr>
              <w:spacing w:before="40" w:after="40" w:line="240" w:lineRule="auto"/>
              <w:textAlignment w:val="baseline"/>
              <w:rPr>
                <w:rFonts w:ascii="Arial" w:hAnsi="Arial" w:cs="Arial"/>
                <w:b/>
                <w:bCs/>
                <w:sz w:val="20"/>
                <w:szCs w:val="20"/>
                <w:lang w:val="es-ES_tradnl"/>
              </w:rPr>
            </w:pPr>
            <w:r w:rsidRPr="006C1331">
              <w:rPr>
                <w:rFonts w:ascii="Arial" w:hAnsi="Arial" w:cs="Arial"/>
                <w:b/>
                <w:bCs/>
                <w:sz w:val="20"/>
                <w:szCs w:val="20"/>
                <w:lang w:val="es-ES"/>
              </w:rPr>
              <w:t>Subc</w:t>
            </w:r>
            <w:r w:rsidRPr="006C1331" w:rsidDel="00566A3D">
              <w:rPr>
                <w:rFonts w:ascii="Arial" w:hAnsi="Arial" w:cs="Arial"/>
                <w:b/>
                <w:bCs/>
                <w:sz w:val="20"/>
                <w:szCs w:val="20"/>
                <w:lang w:val="es-ES"/>
              </w:rPr>
              <w:t xml:space="preserve">omponente </w:t>
            </w:r>
            <w:r w:rsidRPr="006C1331">
              <w:rPr>
                <w:rFonts w:ascii="Arial" w:hAnsi="Arial" w:cs="Arial"/>
                <w:b/>
                <w:bCs/>
                <w:sz w:val="20"/>
                <w:szCs w:val="20"/>
                <w:lang w:val="es-ES"/>
              </w:rPr>
              <w:t>1.1</w:t>
            </w:r>
            <w:r w:rsidRPr="006C1331" w:rsidDel="00566A3D">
              <w:rPr>
                <w:rFonts w:ascii="Arial" w:hAnsi="Arial" w:cs="Arial"/>
                <w:b/>
                <w:bCs/>
                <w:sz w:val="20"/>
                <w:szCs w:val="20"/>
                <w:lang w:val="es-ES"/>
              </w:rPr>
              <w:t xml:space="preserve">. </w:t>
            </w:r>
            <w:r w:rsidRPr="006C1331">
              <w:rPr>
                <w:rFonts w:ascii="Arial" w:hAnsi="Arial" w:cs="Arial"/>
                <w:b/>
                <w:bCs/>
                <w:sz w:val="20"/>
                <w:szCs w:val="20"/>
                <w:lang w:val="es-ES"/>
              </w:rPr>
              <w:t>Protección de poblaciones vulnerables mediante el uso de programas de transferencias monetarias existentes</w:t>
            </w:r>
          </w:p>
        </w:tc>
        <w:tc>
          <w:tcPr>
            <w:tcW w:w="2340" w:type="dxa"/>
            <w:tcBorders>
              <w:top w:val="single" w:sz="8" w:space="0" w:color="auto"/>
              <w:left w:val="nil"/>
              <w:bottom w:val="single" w:sz="8" w:space="0" w:color="auto"/>
              <w:right w:val="single" w:sz="8" w:space="0" w:color="auto"/>
            </w:tcBorders>
            <w:vAlign w:val="center"/>
            <w:hideMark/>
          </w:tcPr>
          <w:p w14:paraId="522CE6ED" w14:textId="6C8548E3" w:rsidR="0099224C" w:rsidRPr="006C1331" w:rsidRDefault="00F844E1" w:rsidP="006C1331">
            <w:pPr>
              <w:spacing w:before="40" w:after="40" w:line="240" w:lineRule="auto"/>
              <w:jc w:val="center"/>
              <w:textAlignment w:val="baseline"/>
              <w:rPr>
                <w:rFonts w:ascii="Arial" w:hAnsi="Arial" w:cs="Arial"/>
                <w:b/>
                <w:bCs/>
                <w:sz w:val="20"/>
                <w:szCs w:val="20"/>
              </w:rPr>
            </w:pPr>
            <w:r w:rsidRPr="006C1331">
              <w:rPr>
                <w:rFonts w:ascii="Arial" w:hAnsi="Arial" w:cs="Arial"/>
                <w:b/>
                <w:bCs/>
                <w:sz w:val="20"/>
                <w:szCs w:val="20"/>
              </w:rPr>
              <w:t>$</w:t>
            </w:r>
            <w:r w:rsidR="00917F53" w:rsidRPr="35D87D65">
              <w:rPr>
                <w:rFonts w:ascii="Arial" w:hAnsi="Arial" w:cs="Arial"/>
                <w:b/>
                <w:bCs/>
                <w:sz w:val="20"/>
                <w:szCs w:val="20"/>
              </w:rPr>
              <w:t>4</w:t>
            </w:r>
            <w:r w:rsidR="00074681" w:rsidRPr="35D87D65">
              <w:rPr>
                <w:rFonts w:ascii="Arial" w:hAnsi="Arial" w:cs="Arial"/>
                <w:b/>
                <w:bCs/>
                <w:sz w:val="20"/>
                <w:szCs w:val="20"/>
              </w:rPr>
              <w:t>05</w:t>
            </w:r>
            <w:r w:rsidR="3B356BD8" w:rsidRPr="35D87D65">
              <w:rPr>
                <w:rFonts w:ascii="Arial" w:hAnsi="Arial" w:cs="Arial"/>
                <w:b/>
                <w:bCs/>
                <w:sz w:val="20"/>
                <w:szCs w:val="20"/>
              </w:rPr>
              <w:t>.</w:t>
            </w:r>
            <w:r w:rsidR="000C45D0" w:rsidRPr="35D87D65">
              <w:rPr>
                <w:rFonts w:ascii="Arial" w:hAnsi="Arial" w:cs="Arial"/>
                <w:b/>
                <w:bCs/>
                <w:sz w:val="20"/>
                <w:szCs w:val="20"/>
              </w:rPr>
              <w:t>3</w:t>
            </w:r>
            <w:r w:rsidR="00074681" w:rsidRPr="35D87D65">
              <w:rPr>
                <w:rFonts w:ascii="Arial" w:hAnsi="Arial" w:cs="Arial"/>
                <w:b/>
                <w:bCs/>
                <w:sz w:val="20"/>
                <w:szCs w:val="20"/>
              </w:rPr>
              <w:t>00</w:t>
            </w:r>
            <w:r w:rsidR="2F23BC9B" w:rsidRPr="35D87D65">
              <w:rPr>
                <w:rFonts w:ascii="Arial" w:hAnsi="Arial" w:cs="Arial"/>
                <w:b/>
                <w:bCs/>
                <w:sz w:val="20"/>
                <w:szCs w:val="20"/>
              </w:rPr>
              <w:t>.</w:t>
            </w:r>
            <w:r w:rsidR="00074681" w:rsidRPr="006C1331">
              <w:rPr>
                <w:rFonts w:ascii="Arial" w:hAnsi="Arial" w:cs="Arial"/>
                <w:b/>
                <w:bCs/>
                <w:sz w:val="20"/>
                <w:szCs w:val="20"/>
              </w:rPr>
              <w:t>000</w:t>
            </w:r>
            <w:r w:rsidR="0099224C" w:rsidRPr="006C1331">
              <w:rPr>
                <w:rFonts w:ascii="Arial" w:hAnsi="Arial" w:cs="Arial"/>
                <w:b/>
                <w:bCs/>
                <w:sz w:val="20"/>
                <w:szCs w:val="20"/>
              </w:rPr>
              <w:t> </w:t>
            </w:r>
          </w:p>
        </w:tc>
      </w:tr>
      <w:tr w:rsidR="0099224C" w:rsidRPr="006C1331" w14:paraId="48156057" w14:textId="77777777" w:rsidTr="006C1331">
        <w:trPr>
          <w:trHeight w:val="525"/>
        </w:trPr>
        <w:tc>
          <w:tcPr>
            <w:tcW w:w="6650" w:type="dxa"/>
            <w:tcBorders>
              <w:top w:val="nil"/>
              <w:left w:val="single" w:sz="8" w:space="0" w:color="auto"/>
              <w:bottom w:val="single" w:sz="8" w:space="0" w:color="auto"/>
              <w:right w:val="single" w:sz="8" w:space="0" w:color="auto"/>
            </w:tcBorders>
            <w:vAlign w:val="center"/>
            <w:hideMark/>
          </w:tcPr>
          <w:p w14:paraId="6E3A8C62" w14:textId="36E5EC29" w:rsidR="0099224C" w:rsidRPr="006C1331" w:rsidRDefault="0061441C" w:rsidP="006C1331">
            <w:pPr>
              <w:spacing w:before="40" w:after="40" w:line="240" w:lineRule="auto"/>
              <w:textAlignment w:val="baseline"/>
              <w:rPr>
                <w:rFonts w:ascii="Arial" w:hAnsi="Arial" w:cs="Arial"/>
                <w:sz w:val="20"/>
                <w:szCs w:val="20"/>
                <w:lang w:val="es-ES_tradnl"/>
              </w:rPr>
            </w:pPr>
            <w:r w:rsidRPr="006C1331">
              <w:rPr>
                <w:rFonts w:ascii="Arial" w:hAnsi="Arial" w:cs="Arial"/>
                <w:sz w:val="20"/>
                <w:szCs w:val="20"/>
                <w:lang w:val="es-ES_tradnl"/>
              </w:rPr>
              <w:t>Transferencias extraordinarias (Canasta Familiar) a beneficiari</w:t>
            </w:r>
            <w:r w:rsidR="00C47B79" w:rsidRPr="006C1331">
              <w:rPr>
                <w:rFonts w:ascii="Arial" w:hAnsi="Arial" w:cs="Arial"/>
                <w:sz w:val="20"/>
                <w:szCs w:val="20"/>
                <w:lang w:val="es-ES_tradnl"/>
              </w:rPr>
              <w:t>o</w:t>
            </w:r>
            <w:r w:rsidRPr="006C1331">
              <w:rPr>
                <w:rFonts w:ascii="Arial" w:hAnsi="Arial" w:cs="Arial"/>
                <w:sz w:val="20"/>
                <w:szCs w:val="20"/>
                <w:lang w:val="es-ES_tradnl"/>
              </w:rPr>
              <w:t xml:space="preserve">s </w:t>
            </w:r>
            <w:r w:rsidR="00D51495" w:rsidRPr="006C1331">
              <w:rPr>
                <w:rFonts w:ascii="Arial" w:hAnsi="Arial" w:cs="Arial"/>
                <w:sz w:val="20"/>
                <w:szCs w:val="20"/>
                <w:lang w:val="es-ES_tradnl"/>
              </w:rPr>
              <w:t xml:space="preserve">elegibles </w:t>
            </w:r>
            <w:r w:rsidRPr="006C1331">
              <w:rPr>
                <w:rFonts w:ascii="Arial" w:hAnsi="Arial" w:cs="Arial"/>
                <w:sz w:val="20"/>
                <w:szCs w:val="20"/>
                <w:lang w:val="es-ES_tradnl"/>
              </w:rPr>
              <w:t>de Renta Dignidad</w:t>
            </w:r>
            <w:r w:rsidR="00D51495" w:rsidRPr="006C1331">
              <w:rPr>
                <w:rFonts w:ascii="Arial" w:hAnsi="Arial" w:cs="Arial"/>
                <w:sz w:val="20"/>
                <w:szCs w:val="20"/>
                <w:lang w:val="es-ES_tradnl"/>
              </w:rPr>
              <w:t xml:space="preserve"> (que no reciben jubilación)</w:t>
            </w:r>
          </w:p>
        </w:tc>
        <w:tc>
          <w:tcPr>
            <w:tcW w:w="2340" w:type="dxa"/>
            <w:tcBorders>
              <w:top w:val="nil"/>
              <w:left w:val="nil"/>
              <w:bottom w:val="single" w:sz="8" w:space="0" w:color="auto"/>
              <w:right w:val="single" w:sz="8" w:space="0" w:color="auto"/>
            </w:tcBorders>
            <w:vAlign w:val="center"/>
            <w:hideMark/>
          </w:tcPr>
          <w:p w14:paraId="57288223" w14:textId="474CDE3A" w:rsidR="0099224C" w:rsidRPr="006C1331" w:rsidRDefault="0099224C" w:rsidP="006C1331">
            <w:pPr>
              <w:spacing w:before="40" w:after="40" w:line="240" w:lineRule="auto"/>
              <w:jc w:val="center"/>
              <w:textAlignment w:val="baseline"/>
              <w:rPr>
                <w:rFonts w:ascii="Arial" w:hAnsi="Arial" w:cs="Arial"/>
                <w:sz w:val="20"/>
                <w:szCs w:val="20"/>
              </w:rPr>
            </w:pPr>
            <w:r w:rsidRPr="00D66032">
              <w:rPr>
                <w:rFonts w:ascii="Arial" w:hAnsi="Arial" w:cs="Arial"/>
                <w:color w:val="000000" w:themeColor="text1"/>
                <w:sz w:val="20"/>
                <w:szCs w:val="20"/>
                <w:lang w:val="es-ES_tradnl"/>
              </w:rPr>
              <w:t> </w:t>
            </w:r>
            <w:r w:rsidRPr="00D66032">
              <w:rPr>
                <w:rFonts w:ascii="Arial" w:hAnsi="Arial" w:cs="Arial"/>
                <w:sz w:val="20"/>
                <w:szCs w:val="20"/>
                <w:lang w:val="es-ES_tradnl"/>
              </w:rPr>
              <w:t> </w:t>
            </w:r>
            <w:r w:rsidR="00504ABB" w:rsidRPr="006C1331">
              <w:rPr>
                <w:rFonts w:ascii="Arial" w:hAnsi="Arial" w:cs="Arial"/>
                <w:sz w:val="20"/>
                <w:szCs w:val="20"/>
              </w:rPr>
              <w:t>$</w:t>
            </w:r>
            <w:r w:rsidR="00AC225F" w:rsidRPr="006C1331">
              <w:rPr>
                <w:rFonts w:ascii="Arial" w:hAnsi="Arial" w:cs="Arial"/>
                <w:sz w:val="20"/>
                <w:szCs w:val="20"/>
              </w:rPr>
              <w:t>23</w:t>
            </w:r>
            <w:r w:rsidR="70C1F124" w:rsidRPr="35D87D65">
              <w:rPr>
                <w:rFonts w:ascii="Arial" w:hAnsi="Arial" w:cs="Arial"/>
                <w:sz w:val="20"/>
                <w:szCs w:val="20"/>
              </w:rPr>
              <w:t>.</w:t>
            </w:r>
            <w:r w:rsidR="00504ABB" w:rsidRPr="006C1331">
              <w:rPr>
                <w:rFonts w:ascii="Arial" w:hAnsi="Arial" w:cs="Arial"/>
                <w:sz w:val="20"/>
                <w:szCs w:val="20"/>
              </w:rPr>
              <w:t>000</w:t>
            </w:r>
            <w:r w:rsidR="2A6A8669" w:rsidRPr="35D87D65">
              <w:rPr>
                <w:rFonts w:ascii="Arial" w:hAnsi="Arial" w:cs="Arial"/>
                <w:sz w:val="20"/>
                <w:szCs w:val="20"/>
              </w:rPr>
              <w:t>.</w:t>
            </w:r>
            <w:r w:rsidR="00504ABB" w:rsidRPr="006C1331">
              <w:rPr>
                <w:rFonts w:ascii="Arial" w:hAnsi="Arial" w:cs="Arial"/>
                <w:sz w:val="20"/>
                <w:szCs w:val="20"/>
              </w:rPr>
              <w:t>000</w:t>
            </w:r>
          </w:p>
        </w:tc>
      </w:tr>
      <w:tr w:rsidR="0099224C" w:rsidRPr="006C1331" w14:paraId="78FA6DC1" w14:textId="77777777" w:rsidTr="006C1331">
        <w:trPr>
          <w:trHeight w:val="600"/>
        </w:trPr>
        <w:tc>
          <w:tcPr>
            <w:tcW w:w="6650" w:type="dxa"/>
            <w:tcBorders>
              <w:top w:val="nil"/>
              <w:left w:val="single" w:sz="8" w:space="0" w:color="auto"/>
              <w:bottom w:val="single" w:sz="8" w:space="0" w:color="auto"/>
              <w:right w:val="single" w:sz="8" w:space="0" w:color="auto"/>
            </w:tcBorders>
            <w:vAlign w:val="center"/>
            <w:hideMark/>
          </w:tcPr>
          <w:p w14:paraId="771DCB75" w14:textId="3A31E527" w:rsidR="0099224C" w:rsidRPr="006C1331" w:rsidRDefault="00C47B79" w:rsidP="006C1331">
            <w:pPr>
              <w:spacing w:before="40" w:after="40" w:line="240" w:lineRule="auto"/>
              <w:textAlignment w:val="baseline"/>
              <w:rPr>
                <w:rFonts w:ascii="Arial" w:hAnsi="Arial" w:cs="Arial"/>
                <w:sz w:val="20"/>
                <w:szCs w:val="20"/>
                <w:lang w:val="es-ES_tradnl"/>
              </w:rPr>
            </w:pPr>
            <w:r w:rsidRPr="006C1331">
              <w:rPr>
                <w:rFonts w:ascii="Arial" w:hAnsi="Arial" w:cs="Arial"/>
                <w:sz w:val="20"/>
                <w:szCs w:val="20"/>
                <w:lang w:val="es-ES_tradnl"/>
              </w:rPr>
              <w:t>Transferencias regulares a beneficios elegibles de Renta Dignidad (que no reciben jublicación)</w:t>
            </w:r>
          </w:p>
        </w:tc>
        <w:tc>
          <w:tcPr>
            <w:tcW w:w="2340" w:type="dxa"/>
            <w:tcBorders>
              <w:top w:val="nil"/>
              <w:left w:val="nil"/>
              <w:bottom w:val="single" w:sz="8" w:space="0" w:color="auto"/>
              <w:right w:val="single" w:sz="8" w:space="0" w:color="auto"/>
            </w:tcBorders>
            <w:vAlign w:val="center"/>
            <w:hideMark/>
          </w:tcPr>
          <w:p w14:paraId="4D13503F" w14:textId="57818758" w:rsidR="0099224C" w:rsidRPr="006C1331" w:rsidRDefault="00AC225F" w:rsidP="006C1331">
            <w:pPr>
              <w:spacing w:before="40" w:after="40" w:line="240" w:lineRule="auto"/>
              <w:jc w:val="center"/>
              <w:textAlignment w:val="baseline"/>
              <w:rPr>
                <w:rFonts w:ascii="Arial" w:hAnsi="Arial" w:cs="Arial"/>
                <w:sz w:val="20"/>
                <w:szCs w:val="20"/>
              </w:rPr>
            </w:pPr>
            <w:r w:rsidRPr="35D87D65">
              <w:rPr>
                <w:rFonts w:ascii="Arial" w:hAnsi="Arial" w:cs="Arial"/>
                <w:color w:val="000000" w:themeColor="text1"/>
                <w:sz w:val="20"/>
                <w:szCs w:val="20"/>
              </w:rPr>
              <w:t>$</w:t>
            </w:r>
            <w:r w:rsidR="000C45D0" w:rsidRPr="35D87D65">
              <w:rPr>
                <w:rFonts w:ascii="Arial" w:hAnsi="Arial" w:cs="Arial"/>
                <w:color w:val="000000" w:themeColor="text1"/>
                <w:sz w:val="20"/>
                <w:szCs w:val="20"/>
              </w:rPr>
              <w:t>3</w:t>
            </w:r>
            <w:r w:rsidRPr="35D87D65">
              <w:rPr>
                <w:rFonts w:ascii="Arial" w:hAnsi="Arial" w:cs="Arial"/>
                <w:color w:val="000000" w:themeColor="text1"/>
                <w:sz w:val="20"/>
                <w:szCs w:val="20"/>
              </w:rPr>
              <w:t>82</w:t>
            </w:r>
            <w:r w:rsidR="134E416D" w:rsidRPr="35D87D65">
              <w:rPr>
                <w:rFonts w:ascii="Arial" w:hAnsi="Arial" w:cs="Arial"/>
                <w:color w:val="000000" w:themeColor="text1"/>
                <w:sz w:val="20"/>
                <w:szCs w:val="20"/>
              </w:rPr>
              <w:t>.</w:t>
            </w:r>
            <w:r w:rsidR="000C45D0" w:rsidRPr="35D87D65">
              <w:rPr>
                <w:rFonts w:ascii="Arial" w:hAnsi="Arial" w:cs="Arial"/>
                <w:color w:val="000000" w:themeColor="text1"/>
                <w:sz w:val="20"/>
                <w:szCs w:val="20"/>
              </w:rPr>
              <w:t>3</w:t>
            </w:r>
            <w:r w:rsidRPr="35D87D65">
              <w:rPr>
                <w:rFonts w:ascii="Arial" w:hAnsi="Arial" w:cs="Arial"/>
                <w:color w:val="000000" w:themeColor="text1"/>
                <w:sz w:val="20"/>
                <w:szCs w:val="20"/>
              </w:rPr>
              <w:t>00</w:t>
            </w:r>
            <w:r w:rsidR="56B732FD" w:rsidRPr="35D87D65">
              <w:rPr>
                <w:rFonts w:ascii="Arial" w:hAnsi="Arial" w:cs="Arial"/>
                <w:color w:val="000000" w:themeColor="text1"/>
                <w:sz w:val="20"/>
                <w:szCs w:val="20"/>
              </w:rPr>
              <w:t>.</w:t>
            </w:r>
            <w:r w:rsidRPr="35D87D65">
              <w:rPr>
                <w:rFonts w:ascii="Arial" w:hAnsi="Arial" w:cs="Arial"/>
                <w:color w:val="000000" w:themeColor="text1"/>
                <w:sz w:val="20"/>
                <w:szCs w:val="20"/>
              </w:rPr>
              <w:t>000</w:t>
            </w:r>
            <w:r w:rsidR="0099224C" w:rsidRPr="35D87D65">
              <w:rPr>
                <w:rFonts w:ascii="Arial" w:hAnsi="Arial" w:cs="Arial"/>
                <w:color w:val="000000" w:themeColor="text1"/>
                <w:sz w:val="20"/>
                <w:szCs w:val="20"/>
              </w:rPr>
              <w:t> </w:t>
            </w:r>
            <w:r w:rsidR="0099224C" w:rsidRPr="006C1331">
              <w:rPr>
                <w:rFonts w:ascii="Arial" w:hAnsi="Arial" w:cs="Arial"/>
                <w:sz w:val="20"/>
                <w:szCs w:val="20"/>
              </w:rPr>
              <w:t> </w:t>
            </w:r>
          </w:p>
        </w:tc>
      </w:tr>
      <w:tr w:rsidR="0099224C" w:rsidRPr="006C1331" w14:paraId="44145C24" w14:textId="77777777" w:rsidTr="006C1331">
        <w:trPr>
          <w:trHeight w:val="465"/>
        </w:trPr>
        <w:tc>
          <w:tcPr>
            <w:tcW w:w="6650" w:type="dxa"/>
            <w:tcBorders>
              <w:top w:val="nil"/>
              <w:left w:val="single" w:sz="8" w:space="0" w:color="auto"/>
              <w:bottom w:val="single" w:sz="8" w:space="0" w:color="auto"/>
              <w:right w:val="single" w:sz="8" w:space="0" w:color="auto"/>
            </w:tcBorders>
            <w:vAlign w:val="center"/>
            <w:hideMark/>
          </w:tcPr>
          <w:p w14:paraId="29069735" w14:textId="3CD9FE30" w:rsidR="0099224C" w:rsidRPr="006C1331" w:rsidRDefault="007E6DB1" w:rsidP="006C1331">
            <w:pPr>
              <w:spacing w:before="40" w:after="40" w:line="240" w:lineRule="auto"/>
              <w:jc w:val="both"/>
              <w:textAlignment w:val="baseline"/>
              <w:rPr>
                <w:rFonts w:ascii="Arial" w:hAnsi="Arial" w:cs="Arial"/>
                <w:b/>
                <w:bCs/>
                <w:sz w:val="20"/>
                <w:szCs w:val="20"/>
                <w:highlight w:val="yellow"/>
                <w:lang w:val="es-ES_tradnl"/>
              </w:rPr>
            </w:pPr>
            <w:r w:rsidRPr="006C1331">
              <w:rPr>
                <w:rFonts w:ascii="Arial" w:hAnsi="Arial" w:cs="Arial"/>
                <w:b/>
                <w:bCs/>
                <w:sz w:val="20"/>
                <w:szCs w:val="20"/>
                <w:lang w:val="es-ES_tradnl"/>
              </w:rPr>
              <w:t>Subcomponente 1.2. Protección para apoyar el consumo básico de electricidad de la población vulnerable.</w:t>
            </w:r>
          </w:p>
        </w:tc>
        <w:tc>
          <w:tcPr>
            <w:tcW w:w="2340" w:type="dxa"/>
            <w:tcBorders>
              <w:top w:val="nil"/>
              <w:left w:val="nil"/>
              <w:bottom w:val="single" w:sz="8" w:space="0" w:color="auto"/>
              <w:right w:val="single" w:sz="8" w:space="0" w:color="auto"/>
            </w:tcBorders>
            <w:vAlign w:val="center"/>
            <w:hideMark/>
          </w:tcPr>
          <w:p w14:paraId="7CE3A3EB" w14:textId="5D3F8957" w:rsidR="0099224C" w:rsidRPr="006C1331" w:rsidRDefault="00AC225F" w:rsidP="006C1331">
            <w:pPr>
              <w:spacing w:before="40" w:after="40" w:line="240" w:lineRule="auto"/>
              <w:jc w:val="center"/>
              <w:textAlignment w:val="baseline"/>
              <w:rPr>
                <w:rFonts w:ascii="Arial" w:hAnsi="Arial" w:cs="Arial"/>
                <w:b/>
                <w:bCs/>
                <w:sz w:val="20"/>
                <w:szCs w:val="20"/>
              </w:rPr>
            </w:pPr>
            <w:r w:rsidRPr="006C1331">
              <w:rPr>
                <w:rFonts w:ascii="Arial" w:hAnsi="Arial" w:cs="Arial"/>
                <w:b/>
                <w:bCs/>
                <w:sz w:val="20"/>
                <w:szCs w:val="20"/>
              </w:rPr>
              <w:t>$</w:t>
            </w:r>
            <w:r w:rsidR="000F6A56" w:rsidRPr="006C1331">
              <w:rPr>
                <w:rFonts w:ascii="Arial" w:hAnsi="Arial" w:cs="Arial"/>
                <w:b/>
                <w:bCs/>
                <w:sz w:val="20"/>
                <w:szCs w:val="20"/>
              </w:rPr>
              <w:t>44</w:t>
            </w:r>
            <w:r w:rsidR="40985243" w:rsidRPr="35D87D65">
              <w:rPr>
                <w:rFonts w:ascii="Arial" w:hAnsi="Arial" w:cs="Arial"/>
                <w:b/>
                <w:bCs/>
                <w:sz w:val="20"/>
                <w:szCs w:val="20"/>
              </w:rPr>
              <w:t>.</w:t>
            </w:r>
            <w:r w:rsidR="000F6A56" w:rsidRPr="006C1331">
              <w:rPr>
                <w:rFonts w:ascii="Arial" w:hAnsi="Arial" w:cs="Arial"/>
                <w:b/>
                <w:bCs/>
                <w:sz w:val="20"/>
                <w:szCs w:val="20"/>
              </w:rPr>
              <w:t>500</w:t>
            </w:r>
            <w:r w:rsidR="668EEDCA" w:rsidRPr="35D87D65">
              <w:rPr>
                <w:rFonts w:ascii="Arial" w:hAnsi="Arial" w:cs="Arial"/>
                <w:b/>
                <w:bCs/>
                <w:sz w:val="20"/>
                <w:szCs w:val="20"/>
              </w:rPr>
              <w:t>.</w:t>
            </w:r>
            <w:r w:rsidR="000F6A56" w:rsidRPr="006C1331">
              <w:rPr>
                <w:rFonts w:ascii="Arial" w:hAnsi="Arial" w:cs="Arial"/>
                <w:b/>
                <w:bCs/>
                <w:sz w:val="20"/>
                <w:szCs w:val="20"/>
              </w:rPr>
              <w:t>000</w:t>
            </w:r>
          </w:p>
        </w:tc>
      </w:tr>
      <w:tr w:rsidR="0099224C" w:rsidRPr="006C1331" w14:paraId="6B10947B" w14:textId="77777777" w:rsidTr="006C1331">
        <w:trPr>
          <w:trHeight w:val="600"/>
        </w:trPr>
        <w:tc>
          <w:tcPr>
            <w:tcW w:w="6650" w:type="dxa"/>
            <w:tcBorders>
              <w:top w:val="nil"/>
              <w:left w:val="single" w:sz="8" w:space="0" w:color="auto"/>
              <w:bottom w:val="single" w:sz="8" w:space="0" w:color="auto"/>
              <w:right w:val="single" w:sz="8" w:space="0" w:color="auto"/>
            </w:tcBorders>
            <w:vAlign w:val="center"/>
            <w:hideMark/>
          </w:tcPr>
          <w:p w14:paraId="5C1FAEF6" w14:textId="137D0575" w:rsidR="0099224C" w:rsidRPr="006C1331" w:rsidRDefault="000F6A56" w:rsidP="006C1331">
            <w:pPr>
              <w:spacing w:before="40" w:after="40" w:line="240" w:lineRule="auto"/>
              <w:jc w:val="both"/>
              <w:textAlignment w:val="baseline"/>
              <w:rPr>
                <w:rFonts w:ascii="Arial" w:hAnsi="Arial" w:cs="Arial"/>
                <w:sz w:val="20"/>
                <w:szCs w:val="20"/>
                <w:highlight w:val="yellow"/>
                <w:lang w:val="es-ES_tradnl"/>
              </w:rPr>
            </w:pPr>
            <w:r w:rsidRPr="006C1331">
              <w:rPr>
                <w:rFonts w:ascii="Arial" w:hAnsi="Arial" w:cs="Arial"/>
                <w:sz w:val="20"/>
                <w:szCs w:val="20"/>
                <w:lang w:val="es-ES_tradnl"/>
              </w:rPr>
              <w:t xml:space="preserve">Producto 1.2.1 </w:t>
            </w:r>
            <w:r w:rsidR="00BA1954" w:rsidRPr="006C1331">
              <w:rPr>
                <w:rFonts w:ascii="Arial" w:hAnsi="Arial" w:cs="Arial"/>
                <w:sz w:val="20"/>
                <w:szCs w:val="20"/>
                <w:lang w:val="es-ES_tradnl"/>
              </w:rPr>
              <w:t>Consumidores de la categoría domiciliaria y/o residencial de electricidad que reciben apoyo total al consumo eléctrico.</w:t>
            </w:r>
          </w:p>
        </w:tc>
        <w:tc>
          <w:tcPr>
            <w:tcW w:w="2340" w:type="dxa"/>
            <w:tcBorders>
              <w:top w:val="nil"/>
              <w:left w:val="nil"/>
              <w:bottom w:val="single" w:sz="8" w:space="0" w:color="auto"/>
              <w:right w:val="single" w:sz="8" w:space="0" w:color="auto"/>
            </w:tcBorders>
            <w:vAlign w:val="center"/>
            <w:hideMark/>
          </w:tcPr>
          <w:p w14:paraId="4688040F" w14:textId="7BDB992E" w:rsidR="0099224C" w:rsidRPr="006C1331" w:rsidRDefault="0099224C" w:rsidP="006C1331">
            <w:pPr>
              <w:spacing w:before="40" w:after="40" w:line="240" w:lineRule="auto"/>
              <w:jc w:val="center"/>
              <w:textAlignment w:val="baseline"/>
              <w:rPr>
                <w:rFonts w:ascii="Arial" w:hAnsi="Arial" w:cs="Arial"/>
                <w:sz w:val="20"/>
                <w:szCs w:val="20"/>
              </w:rPr>
            </w:pPr>
            <w:r w:rsidRPr="00D66032">
              <w:rPr>
                <w:rFonts w:ascii="Arial" w:hAnsi="Arial" w:cs="Arial"/>
                <w:color w:val="000000" w:themeColor="text1"/>
                <w:sz w:val="20"/>
                <w:szCs w:val="20"/>
                <w:lang w:val="es-ES_tradnl"/>
              </w:rPr>
              <w:t> </w:t>
            </w:r>
            <w:r w:rsidRPr="00D66032">
              <w:rPr>
                <w:rFonts w:ascii="Arial" w:hAnsi="Arial" w:cs="Arial"/>
                <w:sz w:val="20"/>
                <w:szCs w:val="20"/>
                <w:lang w:val="es-ES_tradnl"/>
              </w:rPr>
              <w:t> </w:t>
            </w:r>
            <w:r w:rsidR="00AC225F" w:rsidRPr="006C1331">
              <w:rPr>
                <w:rFonts w:ascii="Arial" w:hAnsi="Arial" w:cs="Arial"/>
                <w:sz w:val="20"/>
                <w:szCs w:val="20"/>
              </w:rPr>
              <w:t>$</w:t>
            </w:r>
            <w:r w:rsidR="000F6A56" w:rsidRPr="006C1331">
              <w:rPr>
                <w:rFonts w:ascii="Arial" w:hAnsi="Arial" w:cs="Arial"/>
                <w:sz w:val="20"/>
                <w:szCs w:val="20"/>
              </w:rPr>
              <w:t>44</w:t>
            </w:r>
            <w:r w:rsidR="63FD2DB0" w:rsidRPr="35D87D65">
              <w:rPr>
                <w:rFonts w:ascii="Arial" w:hAnsi="Arial" w:cs="Arial"/>
                <w:sz w:val="20"/>
                <w:szCs w:val="20"/>
              </w:rPr>
              <w:t>.</w:t>
            </w:r>
            <w:r w:rsidR="000F6A56" w:rsidRPr="006C1331">
              <w:rPr>
                <w:rFonts w:ascii="Arial" w:hAnsi="Arial" w:cs="Arial"/>
                <w:sz w:val="20"/>
                <w:szCs w:val="20"/>
              </w:rPr>
              <w:t>500</w:t>
            </w:r>
            <w:r w:rsidR="3AF2B7CA" w:rsidRPr="35D87D65">
              <w:rPr>
                <w:rFonts w:ascii="Arial" w:hAnsi="Arial" w:cs="Arial"/>
                <w:sz w:val="20"/>
                <w:szCs w:val="20"/>
              </w:rPr>
              <w:t>.</w:t>
            </w:r>
            <w:r w:rsidR="000F6A56" w:rsidRPr="006C1331">
              <w:rPr>
                <w:rFonts w:ascii="Arial" w:hAnsi="Arial" w:cs="Arial"/>
                <w:sz w:val="20"/>
                <w:szCs w:val="20"/>
              </w:rPr>
              <w:t>000</w:t>
            </w:r>
          </w:p>
        </w:tc>
      </w:tr>
      <w:tr w:rsidR="0099224C" w:rsidRPr="006C1331" w14:paraId="32629B2C" w14:textId="77777777" w:rsidTr="006C1331">
        <w:trPr>
          <w:trHeight w:val="385"/>
        </w:trPr>
        <w:tc>
          <w:tcPr>
            <w:tcW w:w="6650" w:type="dxa"/>
            <w:tcBorders>
              <w:top w:val="nil"/>
              <w:left w:val="single" w:sz="8" w:space="0" w:color="auto"/>
              <w:bottom w:val="single" w:sz="8" w:space="0" w:color="auto"/>
              <w:right w:val="single" w:sz="8" w:space="0" w:color="auto"/>
            </w:tcBorders>
            <w:vAlign w:val="center"/>
            <w:hideMark/>
          </w:tcPr>
          <w:p w14:paraId="758B1509" w14:textId="10E1D268" w:rsidR="0099224C" w:rsidRPr="006C1331" w:rsidRDefault="00106DB1" w:rsidP="006C1331">
            <w:pPr>
              <w:spacing w:before="40" w:after="40" w:line="240" w:lineRule="auto"/>
              <w:textAlignment w:val="baseline"/>
              <w:rPr>
                <w:rFonts w:ascii="Arial" w:hAnsi="Arial" w:cs="Arial"/>
                <w:b/>
                <w:bCs/>
                <w:sz w:val="20"/>
                <w:szCs w:val="20"/>
              </w:rPr>
            </w:pPr>
            <w:r w:rsidRPr="006C1331">
              <w:rPr>
                <w:rFonts w:ascii="Arial" w:hAnsi="Arial" w:cs="Arial"/>
                <w:b/>
                <w:bCs/>
                <w:color w:val="000000"/>
                <w:sz w:val="20"/>
                <w:szCs w:val="20"/>
              </w:rPr>
              <w:t>A</w:t>
            </w:r>
            <w:r w:rsidR="0060033F">
              <w:rPr>
                <w:rFonts w:ascii="Arial" w:hAnsi="Arial" w:cs="Arial"/>
                <w:b/>
                <w:bCs/>
                <w:color w:val="000000"/>
                <w:sz w:val="20"/>
                <w:szCs w:val="20"/>
              </w:rPr>
              <w:t>uditoría</w:t>
            </w:r>
            <w:r w:rsidR="0099224C" w:rsidRPr="006C1331">
              <w:rPr>
                <w:rFonts w:ascii="Arial" w:hAnsi="Arial" w:cs="Arial"/>
                <w:b/>
                <w:bCs/>
                <w:sz w:val="20"/>
                <w:szCs w:val="20"/>
              </w:rPr>
              <w:t> </w:t>
            </w:r>
          </w:p>
        </w:tc>
        <w:tc>
          <w:tcPr>
            <w:tcW w:w="2340" w:type="dxa"/>
            <w:tcBorders>
              <w:top w:val="nil"/>
              <w:left w:val="nil"/>
              <w:bottom w:val="single" w:sz="8" w:space="0" w:color="auto"/>
              <w:right w:val="single" w:sz="8" w:space="0" w:color="auto"/>
            </w:tcBorders>
            <w:vAlign w:val="center"/>
            <w:hideMark/>
          </w:tcPr>
          <w:p w14:paraId="73B2EE08" w14:textId="406E23DF" w:rsidR="0099224C" w:rsidRPr="006C1331" w:rsidRDefault="00AC225F" w:rsidP="006C1331">
            <w:pPr>
              <w:spacing w:before="40" w:after="40" w:line="240" w:lineRule="auto"/>
              <w:jc w:val="center"/>
              <w:textAlignment w:val="baseline"/>
              <w:rPr>
                <w:rFonts w:ascii="Arial" w:hAnsi="Arial" w:cs="Arial"/>
                <w:b/>
                <w:bCs/>
                <w:sz w:val="20"/>
                <w:szCs w:val="20"/>
              </w:rPr>
            </w:pPr>
            <w:r w:rsidRPr="35D87D65">
              <w:rPr>
                <w:rFonts w:ascii="Arial" w:hAnsi="Arial" w:cs="Arial"/>
                <w:b/>
                <w:color w:val="000000" w:themeColor="text1"/>
                <w:sz w:val="20"/>
                <w:szCs w:val="20"/>
              </w:rPr>
              <w:t>$</w:t>
            </w:r>
            <w:r w:rsidR="000C45D0" w:rsidRPr="35D87D65">
              <w:rPr>
                <w:rFonts w:ascii="Arial" w:hAnsi="Arial" w:cs="Arial"/>
                <w:b/>
                <w:bCs/>
                <w:color w:val="000000" w:themeColor="text1"/>
                <w:sz w:val="20"/>
                <w:szCs w:val="20"/>
              </w:rPr>
              <w:t>2</w:t>
            </w:r>
            <w:r w:rsidR="00106DB1" w:rsidRPr="35D87D65">
              <w:rPr>
                <w:rFonts w:ascii="Arial" w:hAnsi="Arial" w:cs="Arial"/>
                <w:b/>
                <w:bCs/>
                <w:color w:val="000000" w:themeColor="text1"/>
                <w:sz w:val="20"/>
                <w:szCs w:val="20"/>
              </w:rPr>
              <w:t>00</w:t>
            </w:r>
            <w:r w:rsidR="164BA371" w:rsidRPr="35D87D65">
              <w:rPr>
                <w:rFonts w:ascii="Arial" w:hAnsi="Arial" w:cs="Arial"/>
                <w:b/>
                <w:bCs/>
                <w:color w:val="000000" w:themeColor="text1"/>
                <w:sz w:val="20"/>
                <w:szCs w:val="20"/>
              </w:rPr>
              <w:t>.</w:t>
            </w:r>
            <w:r w:rsidR="00106DB1" w:rsidRPr="35D87D65">
              <w:rPr>
                <w:rFonts w:ascii="Arial" w:hAnsi="Arial" w:cs="Arial"/>
                <w:b/>
                <w:color w:val="000000" w:themeColor="text1"/>
                <w:sz w:val="20"/>
                <w:szCs w:val="20"/>
              </w:rPr>
              <w:t>000</w:t>
            </w:r>
          </w:p>
        </w:tc>
      </w:tr>
      <w:tr w:rsidR="0099224C" w:rsidRPr="006C1331" w14:paraId="1128508C" w14:textId="77777777" w:rsidTr="006C1331">
        <w:trPr>
          <w:trHeight w:val="420"/>
        </w:trPr>
        <w:tc>
          <w:tcPr>
            <w:tcW w:w="665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CBA843A" w14:textId="77777777" w:rsidR="0099224C" w:rsidRPr="006C1331" w:rsidRDefault="0099224C" w:rsidP="006C1331">
            <w:pPr>
              <w:spacing w:before="40" w:after="40" w:line="240" w:lineRule="auto"/>
              <w:textAlignment w:val="baseline"/>
              <w:rPr>
                <w:rFonts w:ascii="Arial" w:hAnsi="Arial" w:cs="Arial"/>
                <w:b/>
                <w:bCs/>
                <w:sz w:val="20"/>
                <w:szCs w:val="20"/>
              </w:rPr>
            </w:pPr>
            <w:r w:rsidRPr="006C1331">
              <w:rPr>
                <w:rFonts w:ascii="Arial" w:hAnsi="Arial" w:cs="Arial"/>
                <w:b/>
                <w:bCs/>
                <w:color w:val="000000"/>
                <w:sz w:val="20"/>
                <w:szCs w:val="20"/>
              </w:rPr>
              <w:t>Total</w:t>
            </w:r>
            <w:r w:rsidRPr="006C1331">
              <w:rPr>
                <w:rFonts w:ascii="Arial" w:hAnsi="Arial" w:cs="Arial"/>
                <w:b/>
                <w:bCs/>
                <w:sz w:val="20"/>
                <w:szCs w:val="20"/>
              </w:rPr>
              <w:t> </w:t>
            </w:r>
          </w:p>
        </w:tc>
        <w:tc>
          <w:tcPr>
            <w:tcW w:w="2340" w:type="dxa"/>
            <w:tcBorders>
              <w:top w:val="nil"/>
              <w:left w:val="nil"/>
              <w:bottom w:val="single" w:sz="8" w:space="0" w:color="auto"/>
              <w:right w:val="single" w:sz="8" w:space="0" w:color="auto"/>
            </w:tcBorders>
            <w:shd w:val="clear" w:color="auto" w:fill="D9D9D9" w:themeFill="background1" w:themeFillShade="D9"/>
            <w:vAlign w:val="center"/>
            <w:hideMark/>
          </w:tcPr>
          <w:p w14:paraId="2A6F76AB" w14:textId="10383D3F" w:rsidR="0099224C" w:rsidRPr="006C1331" w:rsidRDefault="00AC225F" w:rsidP="006C1331">
            <w:pPr>
              <w:spacing w:before="40" w:after="40" w:line="240" w:lineRule="auto"/>
              <w:jc w:val="center"/>
              <w:textAlignment w:val="baseline"/>
              <w:rPr>
                <w:rFonts w:ascii="Arial" w:hAnsi="Arial" w:cs="Arial"/>
                <w:b/>
                <w:bCs/>
                <w:sz w:val="20"/>
                <w:szCs w:val="20"/>
              </w:rPr>
            </w:pPr>
            <w:r w:rsidRPr="006C1331">
              <w:rPr>
                <w:rFonts w:ascii="Arial" w:hAnsi="Arial" w:cs="Arial"/>
                <w:b/>
                <w:bCs/>
                <w:sz w:val="20"/>
                <w:szCs w:val="20"/>
              </w:rPr>
              <w:t>$</w:t>
            </w:r>
            <w:r w:rsidR="000C45D0" w:rsidRPr="35D87D65">
              <w:rPr>
                <w:rFonts w:ascii="Arial" w:hAnsi="Arial" w:cs="Arial"/>
                <w:b/>
                <w:bCs/>
                <w:sz w:val="20"/>
                <w:szCs w:val="20"/>
              </w:rPr>
              <w:t>4</w:t>
            </w:r>
            <w:r w:rsidRPr="35D87D65">
              <w:rPr>
                <w:rFonts w:ascii="Arial" w:hAnsi="Arial" w:cs="Arial"/>
                <w:b/>
                <w:bCs/>
                <w:sz w:val="20"/>
                <w:szCs w:val="20"/>
              </w:rPr>
              <w:t>50</w:t>
            </w:r>
            <w:r w:rsidR="5D161A5D" w:rsidRPr="35D87D65">
              <w:rPr>
                <w:rFonts w:ascii="Arial" w:hAnsi="Arial" w:cs="Arial"/>
                <w:b/>
                <w:bCs/>
                <w:sz w:val="20"/>
                <w:szCs w:val="20"/>
              </w:rPr>
              <w:t>.</w:t>
            </w:r>
            <w:r w:rsidRPr="006C1331">
              <w:rPr>
                <w:rFonts w:ascii="Arial" w:hAnsi="Arial" w:cs="Arial"/>
                <w:b/>
                <w:bCs/>
                <w:sz w:val="20"/>
                <w:szCs w:val="20"/>
              </w:rPr>
              <w:t>000</w:t>
            </w:r>
            <w:r w:rsidR="21011B57" w:rsidRPr="35D87D65">
              <w:rPr>
                <w:rFonts w:ascii="Arial" w:hAnsi="Arial" w:cs="Arial"/>
                <w:b/>
                <w:bCs/>
                <w:sz w:val="20"/>
                <w:szCs w:val="20"/>
              </w:rPr>
              <w:t>.</w:t>
            </w:r>
            <w:r w:rsidRPr="006C1331">
              <w:rPr>
                <w:rFonts w:ascii="Arial" w:hAnsi="Arial" w:cs="Arial"/>
                <w:b/>
                <w:bCs/>
                <w:sz w:val="20"/>
                <w:szCs w:val="20"/>
              </w:rPr>
              <w:t>000</w:t>
            </w:r>
            <w:r w:rsidR="0099224C" w:rsidRPr="006C1331">
              <w:rPr>
                <w:rFonts w:ascii="Arial" w:hAnsi="Arial" w:cs="Arial"/>
                <w:b/>
                <w:bCs/>
                <w:sz w:val="20"/>
                <w:szCs w:val="20"/>
              </w:rPr>
              <w:t> </w:t>
            </w:r>
          </w:p>
        </w:tc>
      </w:tr>
    </w:tbl>
    <w:p w14:paraId="52A6B6D7" w14:textId="77777777" w:rsidR="0099224C" w:rsidRPr="006C1331" w:rsidRDefault="0099224C" w:rsidP="0099224C">
      <w:pPr>
        <w:rPr>
          <w:rFonts w:ascii="Arial" w:eastAsiaTheme="minorHAnsi" w:hAnsi="Arial" w:cs="Arial"/>
        </w:rPr>
      </w:pPr>
    </w:p>
    <w:p w14:paraId="0D54071A" w14:textId="77777777" w:rsidR="004078EC" w:rsidRDefault="004078EC" w:rsidP="004078EC"/>
    <w:p w14:paraId="2E09E73C" w14:textId="77777777" w:rsidR="001B5186" w:rsidRPr="00892764" w:rsidRDefault="001B5186" w:rsidP="004964DC">
      <w:pPr>
        <w:spacing w:after="0" w:line="288" w:lineRule="auto"/>
        <w:jc w:val="both"/>
        <w:rPr>
          <w:rFonts w:ascii="Arial" w:hAnsi="Arial" w:cs="Arial"/>
        </w:rPr>
        <w:sectPr w:rsidR="001B5186" w:rsidRPr="00892764" w:rsidSect="00190876">
          <w:pgSz w:w="12240" w:h="15840"/>
          <w:pgMar w:top="1440" w:right="1627" w:bottom="1440" w:left="1440" w:header="720" w:footer="720" w:gutter="0"/>
          <w:cols w:space="720"/>
          <w:docGrid w:linePitch="360"/>
        </w:sectPr>
      </w:pPr>
    </w:p>
    <w:p w14:paraId="7A89E456" w14:textId="3BE55EE2" w:rsidR="001B5186" w:rsidRPr="00892764" w:rsidRDefault="001B5186" w:rsidP="003130AD">
      <w:pPr>
        <w:pStyle w:val="ColorfulList-Accent11"/>
        <w:numPr>
          <w:ilvl w:val="1"/>
          <w:numId w:val="4"/>
        </w:numPr>
        <w:spacing w:after="0" w:line="288" w:lineRule="auto"/>
        <w:ind w:left="540" w:hanging="540"/>
        <w:jc w:val="both"/>
        <w:rPr>
          <w:rFonts w:ascii="Arial" w:hAnsi="Arial" w:cs="Arial"/>
          <w:b/>
        </w:rPr>
      </w:pPr>
      <w:r w:rsidRPr="00892764">
        <w:rPr>
          <w:rFonts w:ascii="Arial" w:hAnsi="Arial" w:cs="Arial"/>
          <w:b/>
        </w:rPr>
        <w:lastRenderedPageBreak/>
        <w:t>Evalua</w:t>
      </w:r>
      <w:r w:rsidR="00D64401">
        <w:rPr>
          <w:rFonts w:ascii="Arial" w:hAnsi="Arial" w:cs="Arial"/>
          <w:b/>
        </w:rPr>
        <w:t>ción</w:t>
      </w:r>
    </w:p>
    <w:p w14:paraId="0A96E7AC" w14:textId="41BAC275" w:rsidR="00071C8C" w:rsidRPr="00AC7335" w:rsidRDefault="00AC7335" w:rsidP="006C1331">
      <w:pPr>
        <w:pStyle w:val="ColorfulList-Accent11"/>
        <w:spacing w:before="120" w:after="120" w:line="240" w:lineRule="auto"/>
        <w:ind w:left="0"/>
        <w:contextualSpacing w:val="0"/>
        <w:jc w:val="both"/>
        <w:rPr>
          <w:rFonts w:ascii="Arial" w:hAnsi="Arial" w:cs="Arial"/>
          <w:color w:val="000000"/>
          <w:lang w:val="es-ES_tradnl"/>
        </w:rPr>
      </w:pPr>
      <w:r w:rsidRPr="00AC7335">
        <w:rPr>
          <w:rFonts w:ascii="Arial" w:hAnsi="Arial" w:cs="Arial"/>
          <w:color w:val="000000"/>
          <w:lang w:val="es-ES_tradnl"/>
        </w:rPr>
        <w:t>E</w:t>
      </w:r>
      <w:r w:rsidR="00071C8C" w:rsidRPr="00071C8C">
        <w:rPr>
          <w:rFonts w:ascii="Arial" w:hAnsi="Arial" w:cs="Arial"/>
          <w:color w:val="000000"/>
          <w:lang w:val="es-ES_tradnl"/>
        </w:rPr>
        <w:t xml:space="preserve">sta sección presenta el plan de evaluación, incluidas las principales preguntas de evaluación, </w:t>
      </w:r>
      <w:r w:rsidR="00535EBE">
        <w:rPr>
          <w:rFonts w:ascii="Arial" w:hAnsi="Arial" w:cs="Arial"/>
          <w:color w:val="000000"/>
          <w:lang w:val="es-ES_tradnl"/>
        </w:rPr>
        <w:t>el conocimiento existente sobre la evidencia de las intervenciones</w:t>
      </w:r>
      <w:r w:rsidR="00071C8C" w:rsidRPr="00071C8C">
        <w:rPr>
          <w:rFonts w:ascii="Arial" w:hAnsi="Arial" w:cs="Arial"/>
          <w:color w:val="000000"/>
          <w:lang w:val="es-ES_tradnl"/>
        </w:rPr>
        <w:t xml:space="preserve">, los indicadores de evaluación y la metodología. </w:t>
      </w:r>
      <w:r w:rsidR="00071C8C" w:rsidRPr="00AC7335">
        <w:rPr>
          <w:rFonts w:ascii="Arial" w:hAnsi="Arial" w:cs="Arial"/>
          <w:color w:val="000000"/>
          <w:lang w:val="es-ES_tradnl"/>
        </w:rPr>
        <w:t>Dada la novedad de la enfermedad</w:t>
      </w:r>
      <w:r w:rsidR="001C30B9">
        <w:rPr>
          <w:rFonts w:ascii="Arial" w:hAnsi="Arial" w:cs="Arial"/>
          <w:color w:val="000000"/>
          <w:lang w:val="es-ES_tradnl"/>
        </w:rPr>
        <w:t xml:space="preserve"> y la magnitud de la crisis económica que se </w:t>
      </w:r>
      <w:r w:rsidR="00D4084A">
        <w:rPr>
          <w:rFonts w:ascii="Arial" w:hAnsi="Arial" w:cs="Arial"/>
          <w:color w:val="000000"/>
          <w:lang w:val="es-ES_tradnl"/>
        </w:rPr>
        <w:t>prevé</w:t>
      </w:r>
      <w:r w:rsidR="00071C8C" w:rsidRPr="00AC7335">
        <w:rPr>
          <w:rFonts w:ascii="Arial" w:hAnsi="Arial" w:cs="Arial"/>
          <w:color w:val="000000"/>
          <w:lang w:val="es-ES_tradnl"/>
        </w:rPr>
        <w:t xml:space="preserve">, el plan de evaluación </w:t>
      </w:r>
      <w:r w:rsidR="003E26E9">
        <w:rPr>
          <w:rFonts w:ascii="Arial" w:hAnsi="Arial" w:cs="Arial"/>
          <w:color w:val="000000"/>
          <w:lang w:val="es-ES_tradnl"/>
        </w:rPr>
        <w:t>busca</w:t>
      </w:r>
      <w:r w:rsidR="00071C8C" w:rsidRPr="00AC7335">
        <w:rPr>
          <w:rFonts w:ascii="Arial" w:hAnsi="Arial" w:cs="Arial"/>
          <w:color w:val="000000"/>
          <w:lang w:val="es-ES_tradnl"/>
        </w:rPr>
        <w:t xml:space="preserve"> </w:t>
      </w:r>
      <w:r w:rsidR="00D4084A">
        <w:rPr>
          <w:rFonts w:ascii="Arial" w:hAnsi="Arial" w:cs="Arial"/>
          <w:color w:val="000000"/>
          <w:lang w:val="es-ES_tradnl"/>
        </w:rPr>
        <w:t>aportar para llenar</w:t>
      </w:r>
      <w:r w:rsidR="00071C8C" w:rsidRPr="00AC7335">
        <w:rPr>
          <w:rFonts w:ascii="Arial" w:hAnsi="Arial" w:cs="Arial"/>
          <w:color w:val="000000"/>
          <w:lang w:val="es-ES_tradnl"/>
        </w:rPr>
        <w:t xml:space="preserve"> los vacíos de conocimiento relacionados con la determinación de si la intervención fue efectiva para lograr sus objetivos específicos. La evaluación de la operación contribuirá a reunir lecciones sobre la idoneidad de la respuesta del Banco </w:t>
      </w:r>
      <w:r w:rsidR="00AE6187">
        <w:rPr>
          <w:rFonts w:ascii="Arial" w:hAnsi="Arial" w:cs="Arial"/>
          <w:color w:val="000000"/>
          <w:lang w:val="es-ES_tradnl"/>
        </w:rPr>
        <w:t xml:space="preserve">y de los instrumentos de protección a poblaciones vulnerables en la región para responder </w:t>
      </w:r>
      <w:r w:rsidR="00071C8C" w:rsidRPr="00AC7335">
        <w:rPr>
          <w:rFonts w:ascii="Arial" w:hAnsi="Arial" w:cs="Arial"/>
          <w:color w:val="000000"/>
          <w:lang w:val="es-ES_tradnl"/>
        </w:rPr>
        <w:t>a la pandemia de COVID-19.</w:t>
      </w:r>
    </w:p>
    <w:p w14:paraId="43164149" w14:textId="3F7DFFEC" w:rsidR="00071C8C" w:rsidRPr="00AC7335" w:rsidRDefault="00071C8C" w:rsidP="006C1331">
      <w:pPr>
        <w:pStyle w:val="ColorfulList-Accent11"/>
        <w:spacing w:before="120" w:after="120" w:line="240" w:lineRule="auto"/>
        <w:ind w:left="0"/>
        <w:contextualSpacing w:val="0"/>
        <w:jc w:val="both"/>
        <w:rPr>
          <w:rFonts w:ascii="Arial" w:hAnsi="Arial" w:cs="Arial"/>
          <w:color w:val="000000"/>
          <w:lang w:val="es-ES_tradnl"/>
        </w:rPr>
      </w:pPr>
      <w:r w:rsidRPr="00AC7335">
        <w:rPr>
          <w:rFonts w:ascii="Arial" w:hAnsi="Arial" w:cs="Arial"/>
          <w:color w:val="000000"/>
          <w:lang w:val="es-ES_tradnl"/>
        </w:rPr>
        <w:t xml:space="preserve">El plan de evaluación del proyecto consiste en: (i) una evaluación </w:t>
      </w:r>
      <w:r w:rsidR="005C4839">
        <w:rPr>
          <w:rFonts w:ascii="Arial" w:hAnsi="Arial" w:cs="Arial"/>
          <w:color w:val="000000"/>
          <w:lang w:val="es-ES_tradnl"/>
        </w:rPr>
        <w:t>antes y después</w:t>
      </w:r>
      <w:r w:rsidRPr="00AC7335">
        <w:rPr>
          <w:rFonts w:ascii="Arial" w:hAnsi="Arial" w:cs="Arial"/>
          <w:color w:val="000000"/>
          <w:lang w:val="es-ES_tradnl"/>
        </w:rPr>
        <w:t xml:space="preserve"> que utiliza información de series de tiempo </w:t>
      </w:r>
      <w:r w:rsidR="005C4839">
        <w:rPr>
          <w:rFonts w:ascii="Arial" w:hAnsi="Arial" w:cs="Arial"/>
          <w:color w:val="000000"/>
          <w:lang w:val="es-ES_tradnl"/>
        </w:rPr>
        <w:t xml:space="preserve">que estén </w:t>
      </w:r>
      <w:r w:rsidRPr="00AC7335">
        <w:rPr>
          <w:rFonts w:ascii="Arial" w:hAnsi="Arial" w:cs="Arial"/>
          <w:color w:val="000000"/>
          <w:lang w:val="es-ES_tradnl"/>
        </w:rPr>
        <w:t>disponibles sobre los resultados e indicadores de impacto</w:t>
      </w:r>
      <w:r w:rsidR="005C4839">
        <w:rPr>
          <w:rFonts w:ascii="Arial" w:hAnsi="Arial" w:cs="Arial"/>
          <w:color w:val="000000"/>
          <w:lang w:val="es-ES_tradnl"/>
        </w:rPr>
        <w:t xml:space="preserve"> incluidos en la matriz de resultados</w:t>
      </w:r>
      <w:r w:rsidR="00FB4C19">
        <w:rPr>
          <w:rFonts w:ascii="Arial" w:hAnsi="Arial" w:cs="Arial"/>
          <w:color w:val="000000"/>
          <w:lang w:val="es-ES_tradnl"/>
        </w:rPr>
        <w:t xml:space="preserve"> y</w:t>
      </w:r>
      <w:r w:rsidRPr="00AC7335">
        <w:rPr>
          <w:rFonts w:ascii="Arial" w:hAnsi="Arial" w:cs="Arial"/>
          <w:color w:val="000000"/>
          <w:lang w:val="es-ES_tradnl"/>
        </w:rPr>
        <w:t xml:space="preserve"> (ii) una revisión de la teoría del cambio de la intervención, respaldada por evidencia relevante de la efectividad de intervenciones similares en contextos comparables</w:t>
      </w:r>
      <w:r w:rsidR="00FB4C19">
        <w:rPr>
          <w:rFonts w:ascii="Arial" w:hAnsi="Arial" w:cs="Arial"/>
          <w:color w:val="000000"/>
          <w:lang w:val="es-ES_tradnl"/>
        </w:rPr>
        <w:t xml:space="preserve">. También se plantea de manera complementaria y opcional </w:t>
      </w:r>
      <w:r w:rsidRPr="00AC7335">
        <w:rPr>
          <w:rFonts w:ascii="Arial" w:hAnsi="Arial" w:cs="Arial"/>
          <w:color w:val="000000"/>
          <w:lang w:val="es-ES_tradnl"/>
        </w:rPr>
        <w:t xml:space="preserve"> un</w:t>
      </w:r>
      <w:r w:rsidR="00E91719">
        <w:rPr>
          <w:rFonts w:ascii="Arial" w:hAnsi="Arial" w:cs="Arial"/>
          <w:color w:val="000000"/>
          <w:lang w:val="es-ES_tradnl"/>
        </w:rPr>
        <w:t xml:space="preserve"> análisis </w:t>
      </w:r>
      <w:r w:rsidR="005F7D3B">
        <w:rPr>
          <w:rFonts w:ascii="Arial" w:hAnsi="Arial" w:cs="Arial"/>
          <w:color w:val="000000"/>
          <w:lang w:val="es-ES_tradnl"/>
        </w:rPr>
        <w:t>del consumo de electricidad</w:t>
      </w:r>
      <w:r w:rsidR="00084520">
        <w:rPr>
          <w:rFonts w:ascii="Arial" w:hAnsi="Arial" w:cs="Arial"/>
          <w:color w:val="000000"/>
          <w:lang w:val="es-ES_tradnl"/>
        </w:rPr>
        <w:t xml:space="preserve"> de los hogares que reciben apoyo para cubrir la factura de electricidad</w:t>
      </w:r>
      <w:r w:rsidR="005F7D3B">
        <w:rPr>
          <w:rFonts w:ascii="Arial" w:hAnsi="Arial" w:cs="Arial"/>
          <w:color w:val="000000"/>
          <w:lang w:val="es-ES_tradnl"/>
        </w:rPr>
        <w:t xml:space="preserve">, antes, durante y después de la emergencia sanitaria, </w:t>
      </w:r>
      <w:r w:rsidR="00A477B4">
        <w:rPr>
          <w:rFonts w:ascii="Arial" w:hAnsi="Arial" w:cs="Arial"/>
          <w:color w:val="000000"/>
          <w:lang w:val="es-ES_tradnl"/>
        </w:rPr>
        <w:t xml:space="preserve">para determinar </w:t>
      </w:r>
      <w:r w:rsidR="00267377">
        <w:rPr>
          <w:rFonts w:ascii="Arial" w:hAnsi="Arial" w:cs="Arial"/>
          <w:color w:val="000000"/>
          <w:lang w:val="es-ES_tradnl"/>
        </w:rPr>
        <w:t xml:space="preserve">el acceso </w:t>
      </w:r>
      <w:r w:rsidR="00C40881">
        <w:rPr>
          <w:rFonts w:ascii="Arial" w:hAnsi="Arial" w:cs="Arial"/>
          <w:color w:val="000000"/>
          <w:lang w:val="es-ES_tradnl"/>
        </w:rPr>
        <w:t>y uso</w:t>
      </w:r>
      <w:r w:rsidR="00BA4613">
        <w:rPr>
          <w:rFonts w:ascii="Arial" w:hAnsi="Arial" w:cs="Arial"/>
          <w:color w:val="000000"/>
          <w:lang w:val="es-ES_tradnl"/>
        </w:rPr>
        <w:t xml:space="preserve">. </w:t>
      </w:r>
    </w:p>
    <w:p w14:paraId="6470733B" w14:textId="35CFF5BC" w:rsidR="001B5186" w:rsidRPr="003E2741" w:rsidRDefault="003E2741" w:rsidP="006C1331">
      <w:pPr>
        <w:pStyle w:val="ColorfulList-Accent11"/>
        <w:numPr>
          <w:ilvl w:val="0"/>
          <w:numId w:val="7"/>
        </w:numPr>
        <w:spacing w:before="120" w:after="120" w:line="240" w:lineRule="auto"/>
        <w:ind w:left="540" w:hanging="540"/>
        <w:contextualSpacing w:val="0"/>
        <w:jc w:val="both"/>
        <w:rPr>
          <w:rFonts w:ascii="Arial" w:hAnsi="Arial" w:cs="Arial"/>
          <w:b/>
          <w:lang w:val="es-ES_tradnl"/>
        </w:rPr>
      </w:pPr>
      <w:r w:rsidRPr="003E2741">
        <w:rPr>
          <w:rFonts w:ascii="Arial" w:hAnsi="Arial" w:cs="Arial"/>
          <w:b/>
          <w:lang w:val="es-ES_tradnl"/>
        </w:rPr>
        <w:t>Pregunta(s) principal(es) de la</w:t>
      </w:r>
      <w:r>
        <w:rPr>
          <w:rFonts w:ascii="Arial" w:hAnsi="Arial" w:cs="Arial"/>
          <w:b/>
          <w:lang w:val="es-ES_tradnl"/>
        </w:rPr>
        <w:t xml:space="preserve"> evaluación.</w:t>
      </w:r>
    </w:p>
    <w:p w14:paraId="106CB39C" w14:textId="64DD5A48" w:rsidR="001958A2" w:rsidRPr="001958A2" w:rsidRDefault="00BA4613" w:rsidP="006C1331">
      <w:pPr>
        <w:spacing w:before="120" w:after="120" w:line="240" w:lineRule="auto"/>
        <w:jc w:val="both"/>
        <w:textAlignment w:val="top"/>
        <w:rPr>
          <w:rStyle w:val="normaltextrun"/>
          <w:rFonts w:ascii="Arial" w:hAnsi="Arial" w:cs="Arial"/>
          <w:color w:val="000000"/>
          <w:shd w:val="clear" w:color="auto" w:fill="FFFFFF"/>
          <w:lang w:val="es-ES_tradnl"/>
        </w:rPr>
      </w:pPr>
      <w:r>
        <w:rPr>
          <w:rStyle w:val="normaltextrun"/>
          <w:rFonts w:ascii="Arial" w:hAnsi="Arial" w:cs="Arial"/>
          <w:color w:val="000000"/>
          <w:shd w:val="clear" w:color="auto" w:fill="FFFFFF"/>
          <w:lang w:val="es-ES_tradnl"/>
        </w:rPr>
        <w:t>Se</w:t>
      </w:r>
      <w:r w:rsidR="001958A2" w:rsidRPr="001958A2">
        <w:rPr>
          <w:rStyle w:val="normaltextrun"/>
          <w:rFonts w:ascii="Arial" w:hAnsi="Arial" w:cs="Arial"/>
          <w:color w:val="000000"/>
          <w:shd w:val="clear" w:color="auto" w:fill="FFFFFF"/>
          <w:lang w:val="es-ES_tradnl"/>
        </w:rPr>
        <w:t xml:space="preserve"> evaluará la contribución del programa a su objetivo específico</w:t>
      </w:r>
      <w:r w:rsidR="00AD254A">
        <w:rPr>
          <w:rFonts w:ascii="Arial" w:eastAsia="Times New Roman" w:hAnsi="Arial" w:cs="Arial"/>
          <w:color w:val="000000"/>
          <w:lang w:val="es-ES_tradnl"/>
        </w:rPr>
        <w:t>:</w:t>
      </w:r>
      <w:r w:rsidR="00AD254A" w:rsidRPr="006F2EFC">
        <w:rPr>
          <w:rFonts w:ascii="Arial" w:eastAsia="Times New Roman" w:hAnsi="Arial" w:cs="Arial"/>
          <w:color w:val="000000"/>
          <w:lang w:val="es-ES_tradnl"/>
        </w:rPr>
        <w:t xml:space="preserve"> </w:t>
      </w:r>
      <w:r w:rsidR="00AD254A" w:rsidRPr="00E47B78">
        <w:rPr>
          <w:rFonts w:ascii="Arial" w:eastAsia="Times New Roman" w:hAnsi="Arial" w:cs="Arial"/>
          <w:color w:val="000000"/>
          <w:lang w:val="es-ES_tradnl"/>
        </w:rPr>
        <w:t>apoyar niveles mínimos de ingreso</w:t>
      </w:r>
      <w:r w:rsidR="009C7093">
        <w:rPr>
          <w:rFonts w:ascii="Arial" w:eastAsia="Times New Roman" w:hAnsi="Arial" w:cs="Arial"/>
          <w:color w:val="000000"/>
          <w:lang w:val="es-ES_tradnl"/>
        </w:rPr>
        <w:t xml:space="preserve"> </w:t>
      </w:r>
      <w:r w:rsidR="00AD254A" w:rsidRPr="00E47B78">
        <w:rPr>
          <w:rFonts w:ascii="Arial" w:eastAsia="Times New Roman" w:hAnsi="Arial" w:cs="Arial"/>
          <w:color w:val="000000"/>
          <w:lang w:val="es-ES_tradnl"/>
        </w:rPr>
        <w:t>de personas afectadas por el coronavirus, en el periodo inmediato y durante la recuperación</w:t>
      </w:r>
      <w:r w:rsidR="002E0069">
        <w:rPr>
          <w:rFonts w:ascii="Arial" w:eastAsia="Times New Roman" w:hAnsi="Arial" w:cs="Arial"/>
          <w:color w:val="000000"/>
          <w:lang w:val="es-ES_tradnl"/>
        </w:rPr>
        <w:t>.</w:t>
      </w:r>
      <w:r w:rsidR="001958A2" w:rsidRPr="001958A2">
        <w:rPr>
          <w:rStyle w:val="normaltextrun"/>
          <w:rFonts w:ascii="Arial" w:hAnsi="Arial" w:cs="Arial"/>
          <w:color w:val="000000"/>
          <w:shd w:val="clear" w:color="auto" w:fill="FFFFFF"/>
          <w:lang w:val="es-ES_tradnl"/>
        </w:rPr>
        <w:t xml:space="preserve"> La principal pregunta de evaluación se puede formular como:</w:t>
      </w:r>
    </w:p>
    <w:p w14:paraId="05E743FF" w14:textId="48C6184A" w:rsidR="001958A2" w:rsidRDefault="001958A2" w:rsidP="006C1331">
      <w:pPr>
        <w:spacing w:before="120" w:after="120" w:line="240" w:lineRule="auto"/>
        <w:jc w:val="both"/>
        <w:textAlignment w:val="top"/>
        <w:rPr>
          <w:rStyle w:val="normaltextrun"/>
          <w:rFonts w:ascii="Arial" w:hAnsi="Arial" w:cs="Arial"/>
          <w:color w:val="000000"/>
          <w:shd w:val="clear" w:color="auto" w:fill="FFFFFF"/>
          <w:lang w:val="es-ES_tradnl"/>
        </w:rPr>
      </w:pPr>
      <w:r w:rsidRPr="001958A2">
        <w:rPr>
          <w:rStyle w:val="normaltextrun"/>
          <w:rFonts w:ascii="Arial" w:hAnsi="Arial" w:cs="Arial"/>
          <w:color w:val="000000"/>
          <w:shd w:val="clear" w:color="auto" w:fill="FFFFFF"/>
          <w:lang w:val="es-ES_tradnl"/>
        </w:rPr>
        <w:t>• ¿</w:t>
      </w:r>
      <w:r w:rsidR="00007F0A">
        <w:rPr>
          <w:rStyle w:val="normaltextrun"/>
          <w:rFonts w:ascii="Arial" w:hAnsi="Arial" w:cs="Arial"/>
          <w:color w:val="000000"/>
          <w:shd w:val="clear" w:color="auto" w:fill="FFFFFF"/>
          <w:lang w:val="es-ES_tradnl"/>
        </w:rPr>
        <w:t>Se alcanzaron</w:t>
      </w:r>
      <w:r w:rsidR="00025A0F">
        <w:rPr>
          <w:rStyle w:val="normaltextrun"/>
          <w:rFonts w:ascii="Arial" w:hAnsi="Arial" w:cs="Arial"/>
          <w:color w:val="000000"/>
          <w:shd w:val="clear" w:color="auto" w:fill="FFFFFF"/>
          <w:lang w:val="es-ES_tradnl"/>
        </w:rPr>
        <w:t xml:space="preserve"> las metas de cobertura de las transferencias y apoyos asociados con la respuesta al COVID-19?</w:t>
      </w:r>
    </w:p>
    <w:p w14:paraId="14283F78" w14:textId="55B495DD" w:rsidR="001958A2" w:rsidRPr="001958A2" w:rsidRDefault="001958A2" w:rsidP="006C1331">
      <w:pPr>
        <w:spacing w:before="120" w:after="120" w:line="240" w:lineRule="auto"/>
        <w:jc w:val="both"/>
        <w:textAlignment w:val="top"/>
        <w:rPr>
          <w:rStyle w:val="normaltextrun"/>
          <w:rFonts w:ascii="Arial" w:hAnsi="Arial" w:cs="Arial"/>
          <w:color w:val="000000"/>
          <w:shd w:val="clear" w:color="auto" w:fill="FFFFFF"/>
          <w:lang w:val="es-ES_tradnl"/>
        </w:rPr>
      </w:pPr>
      <w:r w:rsidRPr="001958A2">
        <w:rPr>
          <w:rStyle w:val="normaltextrun"/>
          <w:rFonts w:ascii="Arial" w:hAnsi="Arial" w:cs="Arial"/>
          <w:color w:val="000000"/>
          <w:shd w:val="clear" w:color="auto" w:fill="FFFFFF"/>
          <w:lang w:val="es-ES_tradnl"/>
        </w:rPr>
        <w:t xml:space="preserve">• ¿Cuál es </w:t>
      </w:r>
      <w:r w:rsidR="00007F0A">
        <w:rPr>
          <w:rStyle w:val="normaltextrun"/>
          <w:rFonts w:ascii="Arial" w:hAnsi="Arial" w:cs="Arial"/>
          <w:color w:val="000000"/>
          <w:shd w:val="clear" w:color="auto" w:fill="FFFFFF"/>
          <w:lang w:val="es-ES_tradnl"/>
        </w:rPr>
        <w:t>la contribución del programa para alcanzar estas metas</w:t>
      </w:r>
      <w:r w:rsidRPr="001958A2">
        <w:rPr>
          <w:rStyle w:val="normaltextrun"/>
          <w:rFonts w:ascii="Arial" w:hAnsi="Arial" w:cs="Arial"/>
          <w:color w:val="000000"/>
          <w:shd w:val="clear" w:color="auto" w:fill="FFFFFF"/>
          <w:lang w:val="es-ES_tradnl"/>
        </w:rPr>
        <w:t>?</w:t>
      </w:r>
    </w:p>
    <w:p w14:paraId="1FB1A042" w14:textId="71E3197A" w:rsidR="001958A2" w:rsidRPr="001958A2" w:rsidRDefault="006F7B43" w:rsidP="006C1331">
      <w:pPr>
        <w:spacing w:before="120" w:after="120" w:line="240" w:lineRule="auto"/>
        <w:jc w:val="both"/>
        <w:textAlignment w:val="top"/>
        <w:rPr>
          <w:rStyle w:val="normaltextrun"/>
          <w:rFonts w:ascii="Arial" w:hAnsi="Arial" w:cs="Arial"/>
          <w:color w:val="000000"/>
          <w:shd w:val="clear" w:color="auto" w:fill="FFFFFF"/>
          <w:lang w:val="es-ES_tradnl"/>
        </w:rPr>
      </w:pPr>
      <w:r>
        <w:rPr>
          <w:rStyle w:val="normaltextrun"/>
          <w:rFonts w:ascii="Arial" w:hAnsi="Arial" w:cs="Arial"/>
          <w:color w:val="000000"/>
          <w:shd w:val="clear" w:color="auto" w:fill="FFFFFF"/>
          <w:lang w:val="es-ES_tradnl"/>
        </w:rPr>
        <w:t xml:space="preserve">En la medida de lo posible, </w:t>
      </w:r>
      <w:r w:rsidR="00FB4C19">
        <w:rPr>
          <w:rStyle w:val="normaltextrun"/>
          <w:rFonts w:ascii="Arial" w:hAnsi="Arial" w:cs="Arial"/>
          <w:color w:val="000000"/>
          <w:shd w:val="clear" w:color="auto" w:fill="FFFFFF"/>
          <w:lang w:val="es-ES_tradnl"/>
        </w:rPr>
        <w:t xml:space="preserve">aunque no como parte de la evaluación del proyecto, </w:t>
      </w:r>
      <w:r w:rsidR="00204D46">
        <w:rPr>
          <w:rStyle w:val="normaltextrun"/>
          <w:rFonts w:ascii="Arial" w:hAnsi="Arial" w:cs="Arial"/>
          <w:color w:val="000000"/>
          <w:shd w:val="clear" w:color="auto" w:fill="FFFFFF"/>
          <w:lang w:val="es-ES_tradnl"/>
        </w:rPr>
        <w:t>de manera complementaria a la implementación del programa s</w:t>
      </w:r>
      <w:r w:rsidR="00977D45">
        <w:rPr>
          <w:rStyle w:val="normaltextrun"/>
          <w:rFonts w:ascii="Arial" w:hAnsi="Arial" w:cs="Arial"/>
          <w:color w:val="000000"/>
          <w:shd w:val="clear" w:color="auto" w:fill="FFFFFF"/>
          <w:lang w:val="es-ES_tradnl"/>
        </w:rPr>
        <w:t>e</w:t>
      </w:r>
      <w:r w:rsidR="00204D46">
        <w:rPr>
          <w:rStyle w:val="normaltextrun"/>
          <w:rFonts w:ascii="Arial" w:hAnsi="Arial" w:cs="Arial"/>
          <w:color w:val="000000"/>
          <w:shd w:val="clear" w:color="auto" w:fill="FFFFFF"/>
          <w:lang w:val="es-ES_tradnl"/>
        </w:rPr>
        <w:t xml:space="preserve"> analizarán aspectos como</w:t>
      </w:r>
      <w:r w:rsidR="00BA1C77">
        <w:rPr>
          <w:rStyle w:val="normaltextrun"/>
          <w:rFonts w:ascii="Arial" w:hAnsi="Arial" w:cs="Arial"/>
          <w:color w:val="000000"/>
          <w:shd w:val="clear" w:color="auto" w:fill="FFFFFF"/>
          <w:lang w:val="es-ES_tradnl"/>
        </w:rPr>
        <w:t>:</w:t>
      </w:r>
      <w:r w:rsidR="001958A2" w:rsidRPr="001958A2">
        <w:rPr>
          <w:rStyle w:val="normaltextrun"/>
          <w:rFonts w:ascii="Arial" w:hAnsi="Arial" w:cs="Arial"/>
          <w:color w:val="000000"/>
          <w:shd w:val="clear" w:color="auto" w:fill="FFFFFF"/>
          <w:lang w:val="es-ES_tradnl"/>
        </w:rPr>
        <w:t xml:space="preserve"> </w:t>
      </w:r>
      <w:r w:rsidR="00961250" w:rsidRPr="001958A2">
        <w:rPr>
          <w:rStyle w:val="normaltextrun"/>
          <w:rFonts w:ascii="Arial" w:hAnsi="Arial" w:cs="Arial"/>
          <w:color w:val="000000"/>
          <w:shd w:val="clear" w:color="auto" w:fill="FFFFFF"/>
          <w:lang w:val="es-ES_tradnl"/>
        </w:rPr>
        <w:t>¿</w:t>
      </w:r>
      <w:r w:rsidR="00961250">
        <w:rPr>
          <w:rStyle w:val="normaltextrun"/>
          <w:rFonts w:ascii="Arial" w:hAnsi="Arial" w:cs="Arial"/>
          <w:color w:val="000000"/>
          <w:shd w:val="clear" w:color="auto" w:fill="FFFFFF"/>
          <w:lang w:val="es-ES_tradnl"/>
        </w:rPr>
        <w:t>c</w:t>
      </w:r>
      <w:r w:rsidR="00961250" w:rsidRPr="001958A2">
        <w:rPr>
          <w:rStyle w:val="normaltextrun"/>
          <w:rFonts w:ascii="Arial" w:hAnsi="Arial" w:cs="Arial"/>
          <w:color w:val="000000"/>
          <w:shd w:val="clear" w:color="auto" w:fill="FFFFFF"/>
          <w:lang w:val="es-ES_tradnl"/>
        </w:rPr>
        <w:t xml:space="preserve">uál es la mejor manera de </w:t>
      </w:r>
      <w:r w:rsidR="00961250">
        <w:rPr>
          <w:rStyle w:val="normaltextrun"/>
          <w:rFonts w:ascii="Arial" w:hAnsi="Arial" w:cs="Arial"/>
          <w:color w:val="000000"/>
          <w:shd w:val="clear" w:color="auto" w:fill="FFFFFF"/>
          <w:lang w:val="es-ES_tradnl"/>
        </w:rPr>
        <w:t xml:space="preserve">entregar transferencias en el contexto de COVID-19 a distintas poblaciones? </w:t>
      </w:r>
      <w:r w:rsidR="001958A2" w:rsidRPr="001958A2">
        <w:rPr>
          <w:rStyle w:val="normaltextrun"/>
          <w:rFonts w:ascii="Arial" w:hAnsi="Arial" w:cs="Arial"/>
          <w:color w:val="000000"/>
          <w:shd w:val="clear" w:color="auto" w:fill="FFFFFF"/>
          <w:lang w:val="es-ES_tradnl"/>
        </w:rPr>
        <w:t>¿</w:t>
      </w:r>
      <w:r w:rsidR="00792662">
        <w:rPr>
          <w:rStyle w:val="normaltextrun"/>
          <w:rFonts w:ascii="Arial" w:hAnsi="Arial" w:cs="Arial"/>
          <w:color w:val="000000"/>
          <w:shd w:val="clear" w:color="auto" w:fill="FFFFFF"/>
          <w:lang w:val="es-ES_tradnl"/>
        </w:rPr>
        <w:t>C</w:t>
      </w:r>
      <w:r w:rsidR="001958A2" w:rsidRPr="001958A2">
        <w:rPr>
          <w:rStyle w:val="normaltextrun"/>
          <w:rFonts w:ascii="Arial" w:hAnsi="Arial" w:cs="Arial"/>
          <w:color w:val="000000"/>
          <w:shd w:val="clear" w:color="auto" w:fill="FFFFFF"/>
          <w:lang w:val="es-ES_tradnl"/>
        </w:rPr>
        <w:t>ómo pueden comunicarse los mensajes de cambio de comportamiento de una manera más efectiva</w:t>
      </w:r>
      <w:r w:rsidR="006A7219">
        <w:rPr>
          <w:rStyle w:val="normaltextrun"/>
          <w:rFonts w:ascii="Arial" w:hAnsi="Arial" w:cs="Arial"/>
          <w:color w:val="000000"/>
          <w:shd w:val="clear" w:color="auto" w:fill="FFFFFF"/>
          <w:lang w:val="es-ES_tradnl"/>
        </w:rPr>
        <w:t xml:space="preserve"> a la</w:t>
      </w:r>
      <w:r w:rsidR="00E75F10">
        <w:rPr>
          <w:rStyle w:val="normaltextrun"/>
          <w:rFonts w:ascii="Arial" w:hAnsi="Arial" w:cs="Arial"/>
          <w:color w:val="000000"/>
          <w:shd w:val="clear" w:color="auto" w:fill="FFFFFF"/>
          <w:lang w:val="es-ES_tradnl"/>
        </w:rPr>
        <w:t>s</w:t>
      </w:r>
      <w:r w:rsidR="006A7219">
        <w:rPr>
          <w:rStyle w:val="normaltextrun"/>
          <w:rFonts w:ascii="Arial" w:hAnsi="Arial" w:cs="Arial"/>
          <w:color w:val="000000"/>
          <w:shd w:val="clear" w:color="auto" w:fill="FFFFFF"/>
          <w:lang w:val="es-ES_tradnl"/>
        </w:rPr>
        <w:t xml:space="preserve"> distintas poblaciones </w:t>
      </w:r>
      <w:r w:rsidR="00965F1F">
        <w:rPr>
          <w:rStyle w:val="normaltextrun"/>
          <w:rFonts w:ascii="Arial" w:hAnsi="Arial" w:cs="Arial"/>
          <w:color w:val="000000"/>
          <w:shd w:val="clear" w:color="auto" w:fill="FFFFFF"/>
          <w:lang w:val="es-ES_tradnl"/>
        </w:rPr>
        <w:t>y de acuerdo con las diversas intervenciones</w:t>
      </w:r>
      <w:r w:rsidR="001958A2" w:rsidRPr="001958A2">
        <w:rPr>
          <w:rStyle w:val="normaltextrun"/>
          <w:rFonts w:ascii="Arial" w:hAnsi="Arial" w:cs="Arial"/>
          <w:color w:val="000000"/>
          <w:shd w:val="clear" w:color="auto" w:fill="FFFFFF"/>
          <w:lang w:val="es-ES_tradnl"/>
        </w:rPr>
        <w:t>?</w:t>
      </w:r>
      <w:r w:rsidR="00BA1C77">
        <w:rPr>
          <w:rStyle w:val="normaltextrun"/>
          <w:rFonts w:ascii="Arial" w:hAnsi="Arial" w:cs="Arial"/>
          <w:color w:val="000000"/>
          <w:shd w:val="clear" w:color="auto" w:fill="FFFFFF"/>
          <w:lang w:val="es-ES_tradnl"/>
        </w:rPr>
        <w:t xml:space="preserve"> </w:t>
      </w:r>
      <w:r w:rsidR="00CD5736">
        <w:rPr>
          <w:rStyle w:val="normaltextrun"/>
          <w:rFonts w:ascii="Arial" w:hAnsi="Arial" w:cs="Arial"/>
          <w:color w:val="000000"/>
          <w:shd w:val="clear" w:color="auto" w:fill="FFFFFF"/>
          <w:lang w:val="es-ES_tradnl"/>
        </w:rPr>
        <w:t xml:space="preserve">Esto se desarrollará a partir de las medidas descritas en el párrafo </w:t>
      </w:r>
      <w:r w:rsidR="00CA44B2">
        <w:rPr>
          <w:rStyle w:val="normaltextrun"/>
          <w:rFonts w:ascii="Arial" w:hAnsi="Arial" w:cs="Arial"/>
          <w:color w:val="000000"/>
          <w:shd w:val="clear" w:color="auto" w:fill="FFFFFF"/>
          <w:lang w:val="es-ES_tradnl"/>
        </w:rPr>
        <w:t>2.4 sobre consideraciones asociadas a los riesgos de desarrollo.</w:t>
      </w:r>
    </w:p>
    <w:p w14:paraId="069DE8FB" w14:textId="4DC3B0B7" w:rsidR="001B5186" w:rsidRPr="00584512" w:rsidRDefault="00584512" w:rsidP="006C1331">
      <w:pPr>
        <w:pStyle w:val="ColorfulList-Accent11"/>
        <w:numPr>
          <w:ilvl w:val="0"/>
          <w:numId w:val="7"/>
        </w:numPr>
        <w:spacing w:before="120" w:after="120" w:line="240" w:lineRule="auto"/>
        <w:ind w:left="540" w:hanging="540"/>
        <w:contextualSpacing w:val="0"/>
        <w:jc w:val="both"/>
        <w:rPr>
          <w:rFonts w:ascii="Arial" w:hAnsi="Arial" w:cs="Arial"/>
          <w:b/>
          <w:bCs/>
          <w:lang w:val="es-ES_tradnl"/>
        </w:rPr>
      </w:pPr>
      <w:r w:rsidRPr="00584512">
        <w:rPr>
          <w:rFonts w:ascii="Arial" w:hAnsi="Arial" w:cs="Arial"/>
          <w:b/>
          <w:bCs/>
          <w:lang w:val="es-ES_tradnl"/>
        </w:rPr>
        <w:t>Conocimiento existente (evaluaciones previas, análisis económico ex ante)</w:t>
      </w:r>
    </w:p>
    <w:p w14:paraId="498A61D0" w14:textId="6D69773C" w:rsidR="00240A56" w:rsidRDefault="00240A56" w:rsidP="006C1331">
      <w:pPr>
        <w:pStyle w:val="ColorfulList-Accent11"/>
        <w:spacing w:before="120" w:after="120" w:line="240" w:lineRule="auto"/>
        <w:ind w:left="0"/>
        <w:contextualSpacing w:val="0"/>
        <w:jc w:val="both"/>
        <w:rPr>
          <w:rFonts w:ascii="Arial" w:eastAsia="Times New Roman" w:hAnsi="Arial" w:cs="Arial"/>
          <w:bCs/>
          <w:color w:val="000000"/>
          <w:lang w:val="es-ES_tradnl"/>
        </w:rPr>
      </w:pPr>
      <w:r>
        <w:rPr>
          <w:rFonts w:ascii="Arial" w:eastAsia="Times New Roman" w:hAnsi="Arial" w:cs="Arial"/>
          <w:bCs/>
          <w:color w:val="000000"/>
          <w:lang w:val="es-ES_tradnl"/>
        </w:rPr>
        <w:t>En esta sección se presenta información sobre la evidencia de intervenciones de protección social para apoyar a las p</w:t>
      </w:r>
      <w:r w:rsidRPr="006C1331">
        <w:rPr>
          <w:rFonts w:ascii="Arial" w:eastAsia="Times New Roman" w:hAnsi="Arial" w:cs="Arial"/>
          <w:bCs/>
          <w:color w:val="000000"/>
          <w:lang w:val="es-ES_tradnl"/>
        </w:rPr>
        <w:t>oblaciones vulnerables. Como referencia adicional, se refiere a los enlaces del documento de proyecto sobre Renta Dignidad</w:t>
      </w:r>
      <w:r w:rsidR="006A2D71">
        <w:rPr>
          <w:rStyle w:val="FootnoteReference"/>
          <w:rFonts w:ascii="Arial" w:eastAsia="Times New Roman" w:hAnsi="Arial" w:cs="Arial"/>
          <w:bCs/>
          <w:color w:val="000000"/>
          <w:lang w:val="es-ES_tradnl"/>
        </w:rPr>
        <w:footnoteReference w:id="17"/>
      </w:r>
      <w:r w:rsidRPr="006C1331">
        <w:rPr>
          <w:rFonts w:ascii="Arial" w:eastAsia="Times New Roman" w:hAnsi="Arial" w:cs="Arial"/>
          <w:bCs/>
          <w:color w:val="000000"/>
          <w:lang w:val="es-ES_tradnl"/>
        </w:rPr>
        <w:t xml:space="preserve"> y sobre Ingresos, consumo de electricidad y población vulnerable en Bolivia.</w:t>
      </w:r>
      <w:r w:rsidR="005817B8">
        <w:rPr>
          <w:rStyle w:val="FootnoteReference"/>
          <w:rFonts w:ascii="Arial" w:eastAsia="Times New Roman" w:hAnsi="Arial" w:cs="Arial"/>
          <w:bCs/>
          <w:color w:val="000000"/>
          <w:lang w:val="es-ES_tradnl"/>
        </w:rPr>
        <w:footnoteReference w:id="18"/>
      </w:r>
    </w:p>
    <w:p w14:paraId="12D7DBD4" w14:textId="3939CBD0" w:rsidR="004909FD" w:rsidRPr="00584512" w:rsidRDefault="004909FD" w:rsidP="006C1331">
      <w:pPr>
        <w:spacing w:before="120" w:after="120" w:line="240" w:lineRule="auto"/>
        <w:jc w:val="both"/>
        <w:textAlignment w:val="top"/>
        <w:rPr>
          <w:rFonts w:ascii="Arial" w:eastAsia="Times New Roman" w:hAnsi="Arial" w:cs="Arial"/>
          <w:color w:val="000000"/>
          <w:u w:val="single"/>
          <w:lang w:val="es-ES_tradnl"/>
        </w:rPr>
      </w:pPr>
      <w:r w:rsidRPr="00584512">
        <w:rPr>
          <w:rFonts w:ascii="Arial" w:eastAsia="Times New Roman" w:hAnsi="Arial" w:cs="Arial"/>
          <w:color w:val="000000"/>
          <w:u w:val="single"/>
          <w:lang w:val="es-ES_tradnl"/>
        </w:rPr>
        <w:t>Evidencia</w:t>
      </w:r>
      <w:r>
        <w:rPr>
          <w:rFonts w:ascii="Arial" w:eastAsia="Times New Roman" w:hAnsi="Arial" w:cs="Arial"/>
          <w:color w:val="000000"/>
          <w:u w:val="single"/>
          <w:lang w:val="es-ES_tradnl"/>
        </w:rPr>
        <w:t xml:space="preserve"> intervenciones de protección social para poblaciones vulnerables</w:t>
      </w:r>
    </w:p>
    <w:p w14:paraId="64219952" w14:textId="467B6C6A" w:rsidR="00855EB7" w:rsidRPr="00C83E6F" w:rsidRDefault="00855EB7" w:rsidP="006C1331">
      <w:pPr>
        <w:autoSpaceDE w:val="0"/>
        <w:autoSpaceDN w:val="0"/>
        <w:adjustRightInd w:val="0"/>
        <w:spacing w:before="120" w:after="120" w:line="240" w:lineRule="auto"/>
        <w:jc w:val="both"/>
        <w:rPr>
          <w:rFonts w:ascii="Arial" w:hAnsi="Arial" w:cs="Arial"/>
          <w:lang w:val="es-419"/>
        </w:rPr>
      </w:pPr>
      <w:r w:rsidRPr="00C83E6F">
        <w:rPr>
          <w:rFonts w:ascii="Arial" w:hAnsi="Arial" w:cs="Arial"/>
          <w:lang w:val="es-419"/>
        </w:rPr>
        <w:lastRenderedPageBreak/>
        <w:t>Existe amplio consenso que, para responder a la emergencia impuesta por el coronavirus, serán necesarias políticas compensatorias de gran escala, con mecanismos de focalización y ejecución acordes de la mano de medidas de distanciamiento social para reducir el riesgo de contagio. Se ha demostrado en estudios previos que las medidas de distanciamiento social en escuelas y lugar de trabajo reduce o disminuye la transmisión de virus</w:t>
      </w:r>
      <w:r w:rsidRPr="00C83E6F">
        <w:rPr>
          <w:rStyle w:val="FootnoteReference"/>
          <w:rFonts w:ascii="Arial" w:hAnsi="Arial" w:cs="Arial"/>
          <w:lang w:val="es-419"/>
        </w:rPr>
        <w:footnoteReference w:id="19"/>
      </w:r>
      <w:r w:rsidRPr="00C83E6F">
        <w:rPr>
          <w:rFonts w:ascii="Arial" w:hAnsi="Arial" w:cs="Arial"/>
          <w:lang w:val="es-419"/>
        </w:rPr>
        <w:t>. A esto se suma la recomendación de medidas de higiene preventivas</w:t>
      </w:r>
      <w:r w:rsidRPr="00C83E6F">
        <w:rPr>
          <w:rStyle w:val="FootnoteReference"/>
          <w:rFonts w:ascii="Arial" w:hAnsi="Arial" w:cs="Arial"/>
          <w:lang w:val="es-419"/>
        </w:rPr>
        <w:footnoteReference w:id="20"/>
      </w:r>
      <w:r w:rsidRPr="00C83E6F">
        <w:rPr>
          <w:rFonts w:ascii="Arial" w:hAnsi="Arial" w:cs="Arial"/>
          <w:lang w:val="es-419"/>
        </w:rPr>
        <w:t>. Un documento elaborado por Chang et al (2020)</w:t>
      </w:r>
      <w:r w:rsidRPr="00C83E6F">
        <w:rPr>
          <w:rFonts w:ascii="Arial" w:hAnsi="Arial" w:cs="Arial"/>
        </w:rPr>
        <w:footnoteReference w:id="21"/>
      </w:r>
      <w:r w:rsidRPr="00C83E6F">
        <w:rPr>
          <w:rFonts w:ascii="Arial" w:hAnsi="Arial" w:cs="Arial"/>
          <w:lang w:val="es-419"/>
        </w:rPr>
        <w:t xml:space="preserve"> sobre evidencia en Australia sugiere que las medidas de distanciamiento social no son efectivas cuando el acatamiento es del 70% o menos ya que no contribuye al control de la epidemia. Pero si el acatamiento supera el 80% se observa una reducción en la incidencia y prevalencia del virus. Más allá de estas medias se necesita una respuesta amplia desde el área de protección social con el objetivo </w:t>
      </w:r>
      <w:r w:rsidR="00977D45">
        <w:rPr>
          <w:rFonts w:ascii="Arial" w:hAnsi="Arial" w:cs="Arial"/>
          <w:lang w:val="es-419"/>
        </w:rPr>
        <w:t>de</w:t>
      </w:r>
      <w:r w:rsidRPr="00C83E6F">
        <w:rPr>
          <w:rFonts w:ascii="Arial" w:hAnsi="Arial" w:cs="Arial"/>
          <w:lang w:val="es-419"/>
        </w:rPr>
        <w:t xml:space="preserve"> mantener la capacidad de consumo de personas cuyo ingreso se ve disminuido, directa o indirectamente, por contraer el COVID-19, por las medidas de distanciamiento social (etapa de emergencia) y por la contracción de la economía (etapa de crisis y recuperación), considerando la necesidad de realizar ajustes razonables pertinentes grupos más vulnerables como los adultos mayores, discapacitados y seguir un enfoque diferencial para pueblos indígenas y afrodescendientes. </w:t>
      </w:r>
    </w:p>
    <w:p w14:paraId="45722EA5" w14:textId="1820F466" w:rsidR="00855EB7" w:rsidRPr="00C83E6F" w:rsidRDefault="00855EB7" w:rsidP="006C1331">
      <w:pPr>
        <w:autoSpaceDE w:val="0"/>
        <w:autoSpaceDN w:val="0"/>
        <w:adjustRightInd w:val="0"/>
        <w:spacing w:before="120" w:after="120" w:line="240" w:lineRule="auto"/>
        <w:jc w:val="both"/>
        <w:rPr>
          <w:rFonts w:ascii="Arial" w:hAnsi="Arial" w:cs="Arial"/>
          <w:lang w:val="es-419"/>
        </w:rPr>
      </w:pPr>
      <w:r w:rsidRPr="00C83E6F">
        <w:rPr>
          <w:rFonts w:ascii="Arial" w:hAnsi="Arial" w:cs="Arial"/>
          <w:lang w:val="es-419"/>
        </w:rPr>
        <w:t>El instrumento más directo son las transferencias económicas extraordinarias, pero hay otras medidas complementarias como la distribución directa de productos básicos o la moratoria en el pago de hipotecas o del pago de servicios domiciliarios como agua, luz, gas y teléfono. Para la respuesta inmediata, se propone expandir las transferencias monetarias de forma extraordinaria mediante la expansión de programas existentes o la creación de programas nuevos de emergencia con pagos excepcionales debido a la pandemia. Se han identificado los siguientes grupos: 1) las personas directamente afectadas por el COVID-19 y sus familias, 2)</w:t>
      </w:r>
      <w:r w:rsidR="00851953">
        <w:rPr>
          <w:rFonts w:ascii="Arial" w:hAnsi="Arial" w:cs="Arial"/>
          <w:lang w:val="es-419"/>
        </w:rPr>
        <w:t> </w:t>
      </w:r>
      <w:r w:rsidRPr="00C83E6F">
        <w:rPr>
          <w:rFonts w:ascii="Arial" w:hAnsi="Arial" w:cs="Arial"/>
          <w:lang w:val="es-419"/>
        </w:rPr>
        <w:t xml:space="preserve">a pobres y grupos vulnerables que pueden ser alcanzados a través de transferencias monetarias existentes; 3) a población vulnerable del sector informal o de bajos ingresos que no se encuentra en los padrones de la protección social. </w:t>
      </w:r>
    </w:p>
    <w:p w14:paraId="309B4B31" w14:textId="7BD687AE" w:rsidR="00855EB7" w:rsidRPr="00C83E6F" w:rsidRDefault="00855EB7" w:rsidP="006C1331">
      <w:pPr>
        <w:spacing w:before="120" w:after="120" w:line="240" w:lineRule="auto"/>
        <w:jc w:val="both"/>
        <w:rPr>
          <w:rFonts w:ascii="Arial" w:hAnsi="Arial" w:cs="Arial"/>
          <w:lang w:val="es-419"/>
        </w:rPr>
      </w:pPr>
      <w:r w:rsidRPr="00C83E6F">
        <w:rPr>
          <w:rFonts w:ascii="Arial" w:hAnsi="Arial" w:cs="Arial"/>
          <w:lang w:val="es-419"/>
        </w:rPr>
        <w:t>Los sistemas de protección social no han sido concebidos para gestionar los riesgos asociados a una pandemia como la de COVID-19 pero han desempeñado un rol importante en respuesta a emergencias y crisis que impactan de manera simultánea a una amplia parte de la población. Una revisión sistemática de experiencias dentro y fuera de la región encuentra que los programas de protección social no contributiva (como, transferencias monetarias y programas de empleo público) y contributiva (como seguro de desempleo y pensiones) (O’Brien, Holmes, Scott y Barca 2018</w:t>
      </w:r>
      <w:r w:rsidRPr="00C83E6F">
        <w:rPr>
          <w:rFonts w:ascii="Arial" w:hAnsi="Arial" w:cs="Arial"/>
          <w:lang w:val="es-419"/>
        </w:rPr>
        <w:footnoteReference w:id="22"/>
      </w:r>
      <w:r w:rsidRPr="00C83E6F">
        <w:rPr>
          <w:rFonts w:ascii="Arial" w:hAnsi="Arial" w:cs="Arial"/>
          <w:lang w:val="es-419"/>
        </w:rPr>
        <w:t>; Grosh et al 2014</w:t>
      </w:r>
      <w:r w:rsidRPr="00851953">
        <w:rPr>
          <w:rFonts w:ascii="Arial" w:hAnsi="Arial" w:cs="Arial"/>
          <w:vertAlign w:val="superscript"/>
          <w:lang w:val="es-419"/>
        </w:rPr>
        <w:footnoteReference w:id="23"/>
      </w:r>
      <w:r w:rsidRPr="00C83E6F">
        <w:rPr>
          <w:rFonts w:ascii="Arial" w:hAnsi="Arial" w:cs="Arial"/>
          <w:lang w:val="es-419"/>
        </w:rPr>
        <w:t xml:space="preserve">) han sido utilizadas para dar respuesta a emergencias. Dichas respuestas incluyen: </w:t>
      </w:r>
      <w:r w:rsidR="03263CDA" w:rsidRPr="00C83E6F">
        <w:rPr>
          <w:rFonts w:ascii="Arial" w:hAnsi="Arial" w:cs="Arial"/>
          <w:lang w:val="es-419"/>
        </w:rPr>
        <w:t>(</w:t>
      </w:r>
      <w:r w:rsidRPr="00C83E6F">
        <w:rPr>
          <w:rFonts w:ascii="Arial" w:hAnsi="Arial" w:cs="Arial"/>
          <w:lang w:val="es-419"/>
        </w:rPr>
        <w:t>i) modificar el diseño para adaptarse a la situación de emergencia (por ejemplo, simplificando procedimientos)</w:t>
      </w:r>
      <w:r w:rsidR="2C437452" w:rsidRPr="00C83E6F">
        <w:rPr>
          <w:rFonts w:ascii="Arial" w:hAnsi="Arial" w:cs="Arial"/>
          <w:lang w:val="es-419"/>
        </w:rPr>
        <w:t>;</w:t>
      </w:r>
      <w:r w:rsidRPr="00C83E6F">
        <w:rPr>
          <w:rFonts w:ascii="Arial" w:hAnsi="Arial" w:cs="Arial"/>
          <w:lang w:val="es-419"/>
        </w:rPr>
        <w:t xml:space="preserve"> </w:t>
      </w:r>
      <w:r w:rsidR="24CEE22C" w:rsidRPr="00C83E6F">
        <w:rPr>
          <w:rFonts w:ascii="Arial" w:hAnsi="Arial" w:cs="Arial"/>
          <w:lang w:val="es-419"/>
        </w:rPr>
        <w:t>(</w:t>
      </w:r>
      <w:r w:rsidRPr="00C83E6F">
        <w:rPr>
          <w:rFonts w:ascii="Arial" w:hAnsi="Arial" w:cs="Arial"/>
          <w:lang w:val="es-419"/>
        </w:rPr>
        <w:t>ii) tilizando la infraestructura como padrones de beneficiarios, mecanismos de focalización y medios de pago</w:t>
      </w:r>
      <w:r w:rsidR="33627002" w:rsidRPr="00C83E6F">
        <w:rPr>
          <w:rFonts w:ascii="Arial" w:hAnsi="Arial" w:cs="Arial"/>
          <w:lang w:val="es-419"/>
        </w:rPr>
        <w:t>;</w:t>
      </w:r>
      <w:r w:rsidRPr="00C83E6F">
        <w:rPr>
          <w:rFonts w:ascii="Arial" w:hAnsi="Arial" w:cs="Arial"/>
          <w:lang w:val="es-419"/>
        </w:rPr>
        <w:t xml:space="preserve"> y </w:t>
      </w:r>
      <w:r w:rsidR="1CA225F6" w:rsidRPr="00C83E6F">
        <w:rPr>
          <w:rFonts w:ascii="Arial" w:hAnsi="Arial" w:cs="Arial"/>
          <w:lang w:val="es-419"/>
        </w:rPr>
        <w:t>(</w:t>
      </w:r>
      <w:r w:rsidRPr="00C83E6F">
        <w:rPr>
          <w:rFonts w:ascii="Arial" w:hAnsi="Arial" w:cs="Arial"/>
          <w:lang w:val="es-419"/>
        </w:rPr>
        <w:t xml:space="preserve">iii) expandir los </w:t>
      </w:r>
      <w:r w:rsidRPr="00C83E6F">
        <w:rPr>
          <w:rFonts w:ascii="Arial" w:hAnsi="Arial" w:cs="Arial"/>
          <w:lang w:val="es-419"/>
        </w:rPr>
        <w:lastRenderedPageBreak/>
        <w:t>apoyos a través de diversas estrategias incluyendo aumentar los montos o adelantar pagos de programas existentes, así como incrementar la cobertura y crear nuevos programas temporales. Por ejemplo, en el caso de la crisis económica de 2008, la región de ALC entró bien dotada de programas de transferencias condicionadas y otros programas dirigidos a los pobres crónicos lo que le permitió dar respuesta de una manera rápida aumentando los montos de los beneficios; aunque no necesariamente estaban en condiciones de llegar a las personas que cayeron en pobreza como resultado de la crisis (Grosh et al 2014). Además, se ha documentado el uso de programas de protección social como transferencias condicionadas y pensiones no contributivas para situaciones de desastres que requieres respuestas inmediatas como a sismos, sequías y huracanes utilizando las estrategias de aumentar las transferencias, aprovechar los medios de pago existentes para canalizar apoyos extraordinarios, adelantando pagos y utilizando los padrones para identificar personas vulnerables (Beazley et al 2019</w:t>
      </w:r>
      <w:r w:rsidRPr="006C1331">
        <w:rPr>
          <w:rFonts w:ascii="Arial" w:hAnsi="Arial" w:cs="Arial"/>
          <w:vertAlign w:val="superscript"/>
          <w:lang w:val="es-419"/>
        </w:rPr>
        <w:footnoteReference w:id="24"/>
      </w:r>
      <w:r w:rsidRPr="00C83E6F">
        <w:rPr>
          <w:rFonts w:ascii="Arial" w:hAnsi="Arial" w:cs="Arial"/>
          <w:lang w:val="es-419"/>
        </w:rPr>
        <w:t>). </w:t>
      </w:r>
    </w:p>
    <w:p w14:paraId="3378F2FF" w14:textId="35C20493" w:rsidR="00855EB7" w:rsidRDefault="00855EB7" w:rsidP="006C1331">
      <w:pPr>
        <w:spacing w:before="120" w:after="120" w:line="240" w:lineRule="auto"/>
        <w:jc w:val="both"/>
        <w:rPr>
          <w:rFonts w:ascii="Arial" w:hAnsi="Arial" w:cs="Arial"/>
          <w:lang w:val="es-419"/>
        </w:rPr>
      </w:pPr>
      <w:r w:rsidRPr="00C83E6F">
        <w:rPr>
          <w:rFonts w:ascii="Arial" w:hAnsi="Arial" w:cs="Arial"/>
          <w:lang w:val="es-419"/>
        </w:rPr>
        <w:t>A nivel mundial Gentilini, Almenfi y Orton (2020)</w:t>
      </w:r>
      <w:r w:rsidRPr="00C83E6F">
        <w:rPr>
          <w:rFonts w:ascii="Arial" w:hAnsi="Arial" w:cs="Arial"/>
          <w:lang w:val="es-419"/>
        </w:rPr>
        <w:footnoteReference w:id="25"/>
      </w:r>
      <w:r w:rsidRPr="00C83E6F">
        <w:rPr>
          <w:rFonts w:ascii="Arial" w:hAnsi="Arial" w:cs="Arial"/>
          <w:lang w:val="es-419"/>
        </w:rPr>
        <w:t xml:space="preserve"> realizaron una revisión de lo que están haciendo los países para enfrentar el coronavirus. Se observa que hasta el momento 84 países han introducido o adaptado programas de protección social y empleo en respuesta a COVID-19. Entre las clases de intervenciones, la asistencia social (transferencias no contributivas) es la más utilizada (150 programas), seguida de acciones de seguridad social (91) e intervenciones en el mercado laboral del lado de la oferta (42). Dentro de la asistencia social, los programas de transferencia de efectivo son claramente la intervención más utilizada por los gobiernos (más de un tercio del total de programas). Un total de 58 países cuentan con esos programas, y 35 de ellos representan nuevas iniciativas introducidas específicamente como respuesta COVID-19. En los países que no han introducido nuevos programas, sino que han modificado las intervenciones preexistentes, tales modificaciones se llevan a cabo a través de seis estrategias básicas, a saber i) mayor cobertura (por ejemplo, Brasil), ii) mayores niveles de beneficios (China), iii) pagos anticipados (Indonesia), iv) simplificación de los requisitos administrativos (Reino Unido, Rumania), v) conectar esquemas de respuesta COVID en plataformas de entrega existentes (Pakistán, Jordania) y vi) proporcionar innovadores diseñar soluciones, como programas de alimentación escolar que entreguen alimentos directamente a los hogares de niños o puntos de distribución cercanos (Jamaica).</w:t>
      </w:r>
    </w:p>
    <w:p w14:paraId="4BF95A4B" w14:textId="75ACB9FA" w:rsidR="00C06375" w:rsidRPr="00996956" w:rsidRDefault="00996956" w:rsidP="006C1331">
      <w:pPr>
        <w:spacing w:before="120" w:after="120" w:line="240" w:lineRule="auto"/>
        <w:jc w:val="both"/>
        <w:textAlignment w:val="top"/>
        <w:rPr>
          <w:rFonts w:ascii="Arial" w:eastAsia="Times New Roman" w:hAnsi="Arial" w:cs="Arial"/>
          <w:color w:val="000000"/>
          <w:u w:val="single"/>
          <w:lang w:val="es-ES_tradnl"/>
        </w:rPr>
      </w:pPr>
      <w:r w:rsidRPr="00996956">
        <w:rPr>
          <w:rFonts w:ascii="Arial" w:eastAsia="Times New Roman" w:hAnsi="Arial" w:cs="Arial"/>
          <w:color w:val="000000"/>
          <w:u w:val="single"/>
          <w:lang w:val="es-ES_tradnl"/>
        </w:rPr>
        <w:t>Análisis Económic</w:t>
      </w:r>
      <w:r w:rsidR="004666FB">
        <w:rPr>
          <w:rFonts w:ascii="Arial" w:eastAsia="Times New Roman" w:hAnsi="Arial" w:cs="Arial"/>
          <w:color w:val="000000"/>
          <w:u w:val="single"/>
          <w:lang w:val="es-ES_tradnl"/>
        </w:rPr>
        <w:t>o</w:t>
      </w:r>
      <w:r w:rsidRPr="00996956">
        <w:rPr>
          <w:rFonts w:ascii="Arial" w:eastAsia="Times New Roman" w:hAnsi="Arial" w:cs="Arial"/>
          <w:color w:val="000000"/>
          <w:u w:val="single"/>
          <w:lang w:val="es-ES_tradnl"/>
        </w:rPr>
        <w:t xml:space="preserve"> </w:t>
      </w:r>
      <w:r w:rsidR="00C06375" w:rsidRPr="00996956">
        <w:rPr>
          <w:rFonts w:ascii="Arial" w:eastAsia="Times New Roman" w:hAnsi="Arial" w:cs="Arial"/>
          <w:color w:val="000000"/>
          <w:u w:val="single"/>
          <w:lang w:val="es-ES_tradnl"/>
        </w:rPr>
        <w:t xml:space="preserve">Ex-ante </w:t>
      </w:r>
    </w:p>
    <w:p w14:paraId="56749BD2" w14:textId="7947C498" w:rsidR="00C71509" w:rsidRPr="00F30598" w:rsidRDefault="008C42B6" w:rsidP="006C1331">
      <w:pPr>
        <w:spacing w:before="120" w:after="120" w:line="240" w:lineRule="auto"/>
        <w:jc w:val="both"/>
        <w:rPr>
          <w:rFonts w:ascii="Arial" w:eastAsia="Arial" w:hAnsi="Arial" w:cs="Arial"/>
          <w:lang w:val="es-ES_tradnl"/>
        </w:rPr>
      </w:pPr>
      <w:r w:rsidRPr="008C42B6">
        <w:rPr>
          <w:rFonts w:ascii="Arial" w:hAnsi="Arial" w:cs="Arial"/>
          <w:lang w:val="es-ES_tradnl"/>
        </w:rPr>
        <w:t>La justificación económica de las intervenciones aquí planteadas se basa en las vidas salvadas por la disminución de la tasa de contagio del COVID-19 resultado de la implementación de las medidas de distanciamiento social. La compensación de los ingresos de las personas pobres y vulnerables fren</w:t>
      </w:r>
      <w:r w:rsidR="00904B28">
        <w:rPr>
          <w:rFonts w:ascii="Arial" w:hAnsi="Arial" w:cs="Arial"/>
          <w:lang w:val="es-ES_tradnl"/>
        </w:rPr>
        <w:t>t</w:t>
      </w:r>
      <w:r w:rsidRPr="008C42B6">
        <w:rPr>
          <w:rFonts w:ascii="Arial" w:hAnsi="Arial" w:cs="Arial"/>
          <w:lang w:val="es-ES_tradnl"/>
        </w:rPr>
        <w:t>e al COVID-19 reforzará las medidas sanitarias, y permitirá a las familias mantener niveles mínimos de bienestar</w:t>
      </w:r>
      <w:r w:rsidR="007D0895">
        <w:rPr>
          <w:rFonts w:ascii="Arial" w:hAnsi="Arial" w:cs="Arial"/>
          <w:lang w:val="es-ES_tradnl"/>
        </w:rPr>
        <w:t xml:space="preserve">, con un efecto multiplicador en la economía aún en contextos de </w:t>
      </w:r>
      <w:r w:rsidR="00426FE5">
        <w:rPr>
          <w:rFonts w:ascii="Arial" w:hAnsi="Arial" w:cs="Arial"/>
          <w:lang w:val="es-ES_tradnl"/>
        </w:rPr>
        <w:t>crisis, permitiendo</w:t>
      </w:r>
      <w:r w:rsidR="007D0895">
        <w:rPr>
          <w:rFonts w:ascii="Arial" w:hAnsi="Arial" w:cs="Arial"/>
          <w:lang w:val="es-ES_tradnl"/>
        </w:rPr>
        <w:t xml:space="preserve"> suavizar el consumo de las familias</w:t>
      </w:r>
      <w:r w:rsidRPr="008C42B6">
        <w:rPr>
          <w:rFonts w:ascii="Arial" w:hAnsi="Arial" w:cs="Arial"/>
          <w:lang w:val="es-ES_tradnl"/>
        </w:rPr>
        <w:t xml:space="preserve">. </w:t>
      </w:r>
      <w:r w:rsidR="005D2720">
        <w:rPr>
          <w:rFonts w:ascii="Arial" w:hAnsi="Arial" w:cs="Arial"/>
          <w:lang w:val="es-ES_tradnl"/>
        </w:rPr>
        <w:t xml:space="preserve">El análisis económico general </w:t>
      </w:r>
      <w:r w:rsidR="00C71509" w:rsidRPr="00F30598">
        <w:rPr>
          <w:rFonts w:ascii="Arial" w:eastAsia="Arial" w:hAnsi="Arial" w:cs="Arial"/>
          <w:lang w:val="es-ES_tradnl"/>
        </w:rPr>
        <w:t xml:space="preserve">cuantifica beneficios de dos tipos asociados a las intervenciones contempladas en el prototipo. En primer lugar, y dado que varias de las intervenciones buscan transferir recursos a las familias vulnerables que están viendo afectados sus ingresos de manera significativa, se presentan los beneficios asociados al efecto multiplicador en la economía que tiene el gasto de las familias beneficiarias de transferencias, así como las ventajas de poder suavizar el patrón de consumo de las familias (modelado, siguiendo la literatura, a partir de evitar que los </w:t>
      </w:r>
      <w:r w:rsidR="00C71509" w:rsidRPr="00F30598">
        <w:rPr>
          <w:rFonts w:ascii="Arial" w:eastAsia="Arial" w:hAnsi="Arial" w:cs="Arial"/>
          <w:lang w:val="es-ES_tradnl"/>
        </w:rPr>
        <w:lastRenderedPageBreak/>
        <w:t>menores deban abandonar la escuela para apoyar a sus familias) . En segundo lugar, se presentan los beneficios asociados a la preservación del capital humano ante la crisis.</w:t>
      </w:r>
    </w:p>
    <w:p w14:paraId="7DFC6326" w14:textId="5D69350B" w:rsidR="00C71509" w:rsidRPr="008C42B6" w:rsidRDefault="00C71509" w:rsidP="006C1331">
      <w:pPr>
        <w:spacing w:before="120" w:after="120" w:line="240" w:lineRule="auto"/>
        <w:jc w:val="both"/>
        <w:rPr>
          <w:rFonts w:ascii="Arial" w:hAnsi="Arial" w:cs="Arial"/>
          <w:lang w:val="es-ES_tradnl"/>
        </w:rPr>
      </w:pPr>
      <w:r w:rsidRPr="00F30598">
        <w:rPr>
          <w:rFonts w:ascii="Arial" w:eastAsia="Arial" w:hAnsi="Arial" w:cs="Arial"/>
          <w:lang w:val="es-ES_tradnl"/>
        </w:rPr>
        <w:t xml:space="preserve">Para la presente operación, y dado que los apoyos consisten principalmente en transferencias a personas mayores de 60 años, </w:t>
      </w:r>
      <w:r>
        <w:rPr>
          <w:rFonts w:ascii="Arial" w:eastAsia="Arial" w:hAnsi="Arial" w:cs="Arial"/>
          <w:lang w:val="es-ES_tradnl"/>
        </w:rPr>
        <w:t xml:space="preserve">así como apoyos para cubrir las facturas de electricidad de familias con bajo consumo energético, </w:t>
      </w:r>
      <w:r w:rsidRPr="00F30598">
        <w:rPr>
          <w:rFonts w:ascii="Arial" w:eastAsia="Arial" w:hAnsi="Arial" w:cs="Arial"/>
          <w:lang w:val="es-ES_tradnl"/>
        </w:rPr>
        <w:t>únicamente se model</w:t>
      </w:r>
      <w:r w:rsidR="00904B28">
        <w:rPr>
          <w:rFonts w:ascii="Arial" w:eastAsia="Arial" w:hAnsi="Arial" w:cs="Arial"/>
          <w:lang w:val="es-ES_tradnl"/>
        </w:rPr>
        <w:t>ó</w:t>
      </w:r>
      <w:r w:rsidRPr="00F30598">
        <w:rPr>
          <w:rFonts w:ascii="Arial" w:eastAsia="Arial" w:hAnsi="Arial" w:cs="Arial"/>
          <w:lang w:val="es-ES_tradnl"/>
        </w:rPr>
        <w:t xml:space="preserve"> el impacto asociado el efecto multiplicador, que se detalla en el anexo en la sección correspondiente del anexo. E</w:t>
      </w:r>
      <w:r>
        <w:rPr>
          <w:rFonts w:ascii="Arial" w:eastAsia="Arial" w:hAnsi="Arial" w:cs="Arial"/>
          <w:lang w:val="es-ES_tradnl"/>
        </w:rPr>
        <w:t>sto debe considerarse como un análisis conservado</w:t>
      </w:r>
      <w:r w:rsidR="00E70275">
        <w:rPr>
          <w:rFonts w:ascii="Arial" w:eastAsia="Arial" w:hAnsi="Arial" w:cs="Arial"/>
          <w:lang w:val="es-ES_tradnl"/>
        </w:rPr>
        <w:t>r</w:t>
      </w:r>
      <w:r>
        <w:rPr>
          <w:rFonts w:ascii="Arial" w:eastAsia="Arial" w:hAnsi="Arial" w:cs="Arial"/>
          <w:lang w:val="es-ES_tradnl"/>
        </w:rPr>
        <w:t xml:space="preserve">, puesto que el objetivo último de reducir los contagios por coronavirus gracias al distanciamiento social, que es fortalecido con las transferencias, no está cuantificado aquí. No obstante, en el anexo </w:t>
      </w:r>
      <w:r w:rsidR="00174565">
        <w:rPr>
          <w:rFonts w:ascii="Arial" w:eastAsia="Arial" w:hAnsi="Arial" w:cs="Arial"/>
          <w:lang w:val="es-ES_tradnl"/>
        </w:rPr>
        <w:t>al análisis económico de l</w:t>
      </w:r>
      <w:r w:rsidR="004C55FD">
        <w:rPr>
          <w:rFonts w:ascii="Arial" w:eastAsia="Arial" w:hAnsi="Arial" w:cs="Arial"/>
          <w:lang w:val="es-ES_tradnl"/>
        </w:rPr>
        <w:t xml:space="preserve">a operación </w:t>
      </w:r>
      <w:r>
        <w:rPr>
          <w:rFonts w:ascii="Arial" w:eastAsia="Arial" w:hAnsi="Arial" w:cs="Arial"/>
          <w:lang w:val="es-ES_tradnl"/>
        </w:rPr>
        <w:t>se discuten estos beneficios adicionales</w:t>
      </w:r>
      <w:r w:rsidRPr="00F30598">
        <w:rPr>
          <w:rFonts w:ascii="Arial" w:eastAsia="Arial" w:hAnsi="Arial" w:cs="Arial"/>
          <w:lang w:val="es-ES_tradnl"/>
        </w:rPr>
        <w:t>.</w:t>
      </w:r>
    </w:p>
    <w:p w14:paraId="54B0B3C1" w14:textId="77F1852E" w:rsidR="004C55FD" w:rsidRDefault="00E07A38" w:rsidP="006C1331">
      <w:pPr>
        <w:pStyle w:val="ColorfulList-Accent11"/>
        <w:spacing w:before="120" w:after="120" w:line="240" w:lineRule="auto"/>
        <w:ind w:left="0"/>
        <w:contextualSpacing w:val="0"/>
        <w:jc w:val="both"/>
        <w:rPr>
          <w:rFonts w:ascii="Arial" w:hAnsi="Arial" w:cs="Arial"/>
          <w:b/>
          <w:lang w:val="es-ES"/>
        </w:rPr>
      </w:pPr>
      <w:r w:rsidRPr="35D87D65">
        <w:rPr>
          <w:rFonts w:ascii="Arial" w:hAnsi="Arial" w:cs="Arial"/>
          <w:lang w:val="es-ES"/>
        </w:rPr>
        <w:t>Con una tasa de descuento de 5%, el análisis muestra que el VPN de la operación es de US</w:t>
      </w:r>
      <w:r w:rsidR="4A447D9E" w:rsidRPr="35D87D65">
        <w:rPr>
          <w:rFonts w:ascii="Arial" w:hAnsi="Arial" w:cs="Arial"/>
          <w:lang w:val="es-ES"/>
        </w:rPr>
        <w:t>$</w:t>
      </w:r>
      <w:r w:rsidR="00E03975">
        <w:rPr>
          <w:rFonts w:ascii="Arial" w:hAnsi="Arial" w:cs="Arial"/>
          <w:lang w:val="es-ES"/>
        </w:rPr>
        <w:t>66,2</w:t>
      </w:r>
      <w:r w:rsidRPr="35D87D65">
        <w:rPr>
          <w:rFonts w:ascii="Arial" w:hAnsi="Arial" w:cs="Arial"/>
          <w:lang w:val="es-ES"/>
        </w:rPr>
        <w:t xml:space="preserve"> millones, con una razón beneficio/costo de 1,14 y una tasa interna de retorno de 15,</w:t>
      </w:r>
      <w:r w:rsidR="00B345A9">
        <w:rPr>
          <w:rFonts w:ascii="Arial" w:hAnsi="Arial" w:cs="Arial"/>
          <w:lang w:val="es-ES"/>
        </w:rPr>
        <w:t>51</w:t>
      </w:r>
      <w:r w:rsidRPr="35D87D65">
        <w:rPr>
          <w:rFonts w:ascii="Arial" w:hAnsi="Arial" w:cs="Arial"/>
          <w:lang w:val="es-ES"/>
        </w:rPr>
        <w:t>%. El VPN del subcomponente 1.1 es US</w:t>
      </w:r>
      <w:r w:rsidR="6E353ED2" w:rsidRPr="35D87D65">
        <w:rPr>
          <w:rFonts w:ascii="Arial" w:hAnsi="Arial" w:cs="Arial"/>
          <w:lang w:val="es-ES"/>
        </w:rPr>
        <w:t>$</w:t>
      </w:r>
      <w:r w:rsidR="00EB5A11">
        <w:rPr>
          <w:rFonts w:ascii="Arial" w:hAnsi="Arial" w:cs="Arial"/>
          <w:lang w:val="es-ES"/>
        </w:rPr>
        <w:t>5</w:t>
      </w:r>
      <w:r w:rsidR="0050610D">
        <w:rPr>
          <w:rFonts w:ascii="Arial" w:hAnsi="Arial" w:cs="Arial"/>
          <w:lang w:val="es-ES"/>
        </w:rPr>
        <w:t>9,0</w:t>
      </w:r>
      <w:r w:rsidRPr="35D87D65">
        <w:rPr>
          <w:rFonts w:ascii="Arial" w:hAnsi="Arial" w:cs="Arial"/>
          <w:lang w:val="es-ES"/>
        </w:rPr>
        <w:t xml:space="preserve"> millones y del subcomponente 1.2 es US</w:t>
      </w:r>
      <w:r w:rsidR="6E9B8D3E" w:rsidRPr="35D87D65">
        <w:rPr>
          <w:rFonts w:ascii="Arial" w:hAnsi="Arial" w:cs="Arial"/>
          <w:lang w:val="es-ES"/>
        </w:rPr>
        <w:t>$</w:t>
      </w:r>
      <w:r w:rsidRPr="35D87D65">
        <w:rPr>
          <w:rFonts w:ascii="Arial" w:hAnsi="Arial" w:cs="Arial"/>
          <w:lang w:val="es-ES"/>
        </w:rPr>
        <w:t>7,3 millones.  Los resultados son robustos análisis de sensibilidad, con una tasa de descuento de 12% el VPN es de US</w:t>
      </w:r>
      <w:r w:rsidR="5D1306EC" w:rsidRPr="35D87D65">
        <w:rPr>
          <w:rFonts w:ascii="Arial" w:hAnsi="Arial" w:cs="Arial"/>
          <w:lang w:val="es-ES"/>
        </w:rPr>
        <w:t>$</w:t>
      </w:r>
      <w:r w:rsidR="00123258">
        <w:rPr>
          <w:rFonts w:ascii="Arial" w:hAnsi="Arial" w:cs="Arial"/>
          <w:lang w:val="es-ES"/>
        </w:rPr>
        <w:t>6</w:t>
      </w:r>
      <w:r w:rsidRPr="35D87D65">
        <w:rPr>
          <w:rFonts w:ascii="Arial" w:hAnsi="Arial" w:cs="Arial"/>
          <w:lang w:val="es-ES"/>
        </w:rPr>
        <w:t>1,3 millones.</w:t>
      </w:r>
    </w:p>
    <w:p w14:paraId="7DD6BC34" w14:textId="712A7469" w:rsidR="001B5186" w:rsidRPr="00FA4CEB" w:rsidRDefault="00FA4CEB" w:rsidP="006C1331">
      <w:pPr>
        <w:pStyle w:val="ColorfulList-Accent11"/>
        <w:numPr>
          <w:ilvl w:val="0"/>
          <w:numId w:val="7"/>
        </w:numPr>
        <w:spacing w:before="120" w:after="120" w:line="240" w:lineRule="auto"/>
        <w:ind w:left="540" w:hanging="540"/>
        <w:contextualSpacing w:val="0"/>
        <w:jc w:val="both"/>
        <w:rPr>
          <w:rFonts w:ascii="Arial" w:hAnsi="Arial" w:cs="Arial"/>
          <w:b/>
          <w:lang w:val="es-ES_tradnl"/>
        </w:rPr>
      </w:pPr>
      <w:r w:rsidRPr="00FA4CEB">
        <w:rPr>
          <w:rFonts w:ascii="Arial" w:hAnsi="Arial" w:cs="Arial"/>
          <w:b/>
          <w:lang w:val="es-ES_tradnl"/>
        </w:rPr>
        <w:t>Indicadores clave de resultados y</w:t>
      </w:r>
      <w:r>
        <w:rPr>
          <w:rFonts w:ascii="Arial" w:hAnsi="Arial" w:cs="Arial"/>
          <w:b/>
          <w:lang w:val="es-ES_tradnl"/>
        </w:rPr>
        <w:t xml:space="preserve"> fuentes de información</w:t>
      </w:r>
    </w:p>
    <w:p w14:paraId="7F79B172" w14:textId="06B9CFEE" w:rsidR="00D050E8" w:rsidRPr="00D050E8" w:rsidRDefault="00D050E8" w:rsidP="006C1331">
      <w:pPr>
        <w:spacing w:before="120" w:after="120" w:line="240" w:lineRule="auto"/>
        <w:jc w:val="both"/>
        <w:textAlignment w:val="top"/>
        <w:rPr>
          <w:rFonts w:ascii="Arial" w:hAnsi="Arial" w:cs="Arial"/>
          <w:color w:val="000000"/>
          <w:lang w:val="es-ES_tradnl"/>
        </w:rPr>
      </w:pPr>
      <w:r w:rsidRPr="00D050E8">
        <w:rPr>
          <w:rFonts w:ascii="Arial" w:hAnsi="Arial" w:cs="Arial"/>
          <w:color w:val="000000"/>
          <w:lang w:val="es-ES_tradnl"/>
        </w:rPr>
        <w:t xml:space="preserve">Los indicadores clave para el análisis antes y después </w:t>
      </w:r>
      <w:r>
        <w:rPr>
          <w:rFonts w:ascii="Arial" w:hAnsi="Arial" w:cs="Arial"/>
          <w:color w:val="000000"/>
          <w:lang w:val="es-ES_tradnl"/>
        </w:rPr>
        <w:t xml:space="preserve">(pre / post) </w:t>
      </w:r>
      <w:r w:rsidRPr="00D050E8">
        <w:rPr>
          <w:rFonts w:ascii="Arial" w:hAnsi="Arial" w:cs="Arial"/>
          <w:color w:val="000000"/>
          <w:lang w:val="es-ES_tradnl"/>
        </w:rPr>
        <w:t>son los indicadores de resultados presentados en la Tabla 1. Dependiendo de la disponibilidad de datos, la evaluación también evaluará el efecto de la intervención en los indicadores de impacto final</w:t>
      </w:r>
      <w:r w:rsidR="00835D61">
        <w:rPr>
          <w:rFonts w:ascii="Arial" w:hAnsi="Arial" w:cs="Arial"/>
          <w:color w:val="000000"/>
          <w:lang w:val="es-ES_tradnl"/>
        </w:rPr>
        <w:t>. Para el indicador de ingreso de la población vulnerable, se plantea utilizar la Encuesta Nacional de Hogares</w:t>
      </w:r>
      <w:r w:rsidR="00E07A38" w:rsidRPr="00E07A38">
        <w:rPr>
          <w:rFonts w:ascii="Arial" w:hAnsi="Arial" w:cs="Arial"/>
          <w:color w:val="000000"/>
          <w:lang w:val="es-ES_tradnl"/>
        </w:rPr>
        <w:t xml:space="preserve"> </w:t>
      </w:r>
      <w:r w:rsidR="00E07A38">
        <w:rPr>
          <w:rFonts w:ascii="Arial" w:hAnsi="Arial" w:cs="Arial"/>
          <w:color w:val="000000"/>
          <w:lang w:val="es-ES_tradnl"/>
        </w:rPr>
        <w:t>que se realiza anualmente.</w:t>
      </w:r>
      <w:r w:rsidR="00835D61">
        <w:rPr>
          <w:rFonts w:ascii="Arial" w:hAnsi="Arial" w:cs="Arial"/>
          <w:color w:val="000000"/>
          <w:lang w:val="es-ES_tradnl"/>
        </w:rPr>
        <w:t xml:space="preserve"> Para el indicador de casos confirmados de COVID-19, se utilizarán los datos oficiales de la Organización </w:t>
      </w:r>
      <w:r w:rsidR="00851953">
        <w:rPr>
          <w:rFonts w:ascii="Arial" w:hAnsi="Arial" w:cs="Arial"/>
          <w:color w:val="000000"/>
          <w:lang w:val="es-ES_tradnl"/>
        </w:rPr>
        <w:t>Mundial</w:t>
      </w:r>
      <w:r w:rsidR="00835D61">
        <w:rPr>
          <w:rFonts w:ascii="Arial" w:hAnsi="Arial" w:cs="Arial"/>
          <w:color w:val="000000"/>
          <w:lang w:val="es-ES_tradnl"/>
        </w:rPr>
        <w:t xml:space="preserve"> de la Salud. </w:t>
      </w:r>
    </w:p>
    <w:p w14:paraId="470B631A" w14:textId="7E8EF003" w:rsidR="00E4390A" w:rsidRDefault="00D050E8" w:rsidP="006C1331">
      <w:pPr>
        <w:spacing w:before="120" w:after="120" w:line="240" w:lineRule="auto"/>
        <w:jc w:val="both"/>
        <w:rPr>
          <w:rFonts w:ascii="Arial" w:hAnsi="Arial" w:cs="Arial"/>
          <w:color w:val="000000"/>
          <w:lang w:val="es-ES_tradnl"/>
        </w:rPr>
      </w:pPr>
      <w:r w:rsidRPr="00D050E8">
        <w:rPr>
          <w:rFonts w:ascii="Arial" w:hAnsi="Arial" w:cs="Arial"/>
          <w:color w:val="000000"/>
          <w:lang w:val="es-ES_tradnl"/>
        </w:rPr>
        <w:t xml:space="preserve">Los datos para el análisis antes y después </w:t>
      </w:r>
      <w:r w:rsidR="00E07A38">
        <w:rPr>
          <w:rFonts w:ascii="Arial" w:hAnsi="Arial" w:cs="Arial"/>
          <w:color w:val="000000"/>
          <w:lang w:val="es-ES_tradnl"/>
        </w:rPr>
        <w:t xml:space="preserve">para los indicadores de resultado </w:t>
      </w:r>
      <w:r w:rsidRPr="00D050E8">
        <w:rPr>
          <w:rFonts w:ascii="Arial" w:hAnsi="Arial" w:cs="Arial"/>
          <w:color w:val="000000"/>
          <w:lang w:val="es-ES_tradnl"/>
        </w:rPr>
        <w:t>provendrán principalmente</w:t>
      </w:r>
      <w:r w:rsidR="00E4390A">
        <w:rPr>
          <w:rFonts w:ascii="Arial" w:hAnsi="Arial" w:cs="Arial"/>
          <w:color w:val="000000"/>
          <w:lang w:val="es-ES_tradnl"/>
        </w:rPr>
        <w:t xml:space="preserve"> de</w:t>
      </w:r>
      <w:r w:rsidR="007D1DD3">
        <w:rPr>
          <w:rFonts w:ascii="Arial" w:hAnsi="Arial" w:cs="Arial"/>
          <w:color w:val="000000"/>
          <w:lang w:val="es-ES_tradnl"/>
        </w:rPr>
        <w:t>:</w:t>
      </w:r>
      <w:r w:rsidR="007D1DD3" w:rsidRPr="007D1DD3">
        <w:rPr>
          <w:rFonts w:ascii="Arial" w:hAnsi="Arial" w:cs="Arial"/>
          <w:color w:val="000000"/>
          <w:lang w:val="es-ES_tradnl"/>
        </w:rPr>
        <w:t xml:space="preserve"> </w:t>
      </w:r>
    </w:p>
    <w:p w14:paraId="0AD7CB61" w14:textId="727B7423" w:rsidR="007D1DD3" w:rsidRPr="005D1D74" w:rsidRDefault="007D1DD3" w:rsidP="006C1331">
      <w:pPr>
        <w:spacing w:before="120" w:after="120" w:line="240" w:lineRule="auto"/>
        <w:jc w:val="both"/>
        <w:rPr>
          <w:rFonts w:ascii="Arial" w:hAnsi="Arial" w:cs="Arial"/>
          <w:color w:val="000000"/>
          <w:lang w:val="es-ES_tradnl"/>
        </w:rPr>
      </w:pPr>
      <w:r>
        <w:rPr>
          <w:rFonts w:ascii="Arial" w:hAnsi="Arial" w:cs="Arial"/>
          <w:color w:val="000000"/>
          <w:lang w:val="es-ES_tradnl"/>
        </w:rPr>
        <w:t xml:space="preserve">1. Sistemas de información de </w:t>
      </w:r>
      <w:r w:rsidR="00543EBC">
        <w:rPr>
          <w:rFonts w:ascii="Arial" w:hAnsi="Arial" w:cs="Arial"/>
          <w:color w:val="000000"/>
          <w:lang w:val="es-ES_tradnl"/>
        </w:rPr>
        <w:t>Renta Dignidad</w:t>
      </w:r>
      <w:r>
        <w:rPr>
          <w:rFonts w:ascii="Arial" w:hAnsi="Arial" w:cs="Arial"/>
          <w:color w:val="000000"/>
          <w:lang w:val="es-ES_tradnl"/>
        </w:rPr>
        <w:t xml:space="preserve">, incluyendo padrón de beneficiarios activos, padrón de familias inscrita, procesos de pago y verificación de liquidación de transferencias </w:t>
      </w:r>
    </w:p>
    <w:p w14:paraId="3EDEBDB5" w14:textId="117775B2" w:rsidR="007D1DD3" w:rsidRDefault="007D1DD3" w:rsidP="006C1331">
      <w:pPr>
        <w:spacing w:before="120" w:after="120" w:line="240" w:lineRule="auto"/>
        <w:jc w:val="both"/>
        <w:rPr>
          <w:rFonts w:ascii="Arial" w:hAnsi="Arial" w:cs="Arial"/>
          <w:color w:val="000000"/>
          <w:lang w:val="es-ES_tradnl"/>
        </w:rPr>
      </w:pPr>
      <w:r>
        <w:rPr>
          <w:rFonts w:ascii="Arial" w:hAnsi="Arial" w:cs="Arial"/>
          <w:color w:val="000000"/>
          <w:lang w:val="es-ES_tradnl"/>
        </w:rPr>
        <w:t>2. Información de l</w:t>
      </w:r>
      <w:r w:rsidR="00543EBC">
        <w:rPr>
          <w:rFonts w:ascii="Arial" w:hAnsi="Arial" w:cs="Arial"/>
          <w:color w:val="000000"/>
          <w:lang w:val="es-ES_tradnl"/>
        </w:rPr>
        <w:t>a gestión del servicio eléctrico, descrito arriba y responsabilidad de la Agencia de Electricidad y Tecnología Nuclear (AETN)</w:t>
      </w:r>
    </w:p>
    <w:p w14:paraId="0220988E" w14:textId="4B92E7DD" w:rsidR="007D1DD3" w:rsidRPr="00D10DDB" w:rsidRDefault="00452BED" w:rsidP="006C1331">
      <w:pPr>
        <w:spacing w:before="120" w:after="120" w:line="240" w:lineRule="auto"/>
        <w:jc w:val="both"/>
        <w:rPr>
          <w:rFonts w:ascii="Arial" w:hAnsi="Arial" w:cs="Arial"/>
          <w:color w:val="000000"/>
          <w:lang w:val="es-ES_tradnl"/>
        </w:rPr>
      </w:pPr>
      <w:r>
        <w:rPr>
          <w:rFonts w:ascii="Arial" w:hAnsi="Arial" w:cs="Arial"/>
          <w:color w:val="000000"/>
          <w:lang w:val="es-ES_tradnl"/>
        </w:rPr>
        <w:t>3</w:t>
      </w:r>
      <w:r w:rsidR="007D1DD3">
        <w:rPr>
          <w:rFonts w:ascii="Arial" w:hAnsi="Arial" w:cs="Arial"/>
          <w:color w:val="000000"/>
          <w:lang w:val="es-ES_tradnl"/>
        </w:rPr>
        <w:t xml:space="preserve">. </w:t>
      </w:r>
      <w:r w:rsidR="007D1DD3" w:rsidRPr="00D10DDB">
        <w:rPr>
          <w:rFonts w:ascii="Arial" w:hAnsi="Arial" w:cs="Arial"/>
          <w:color w:val="000000"/>
          <w:lang w:val="es-ES_tradnl"/>
        </w:rPr>
        <w:t>Sistemas nacionales</w:t>
      </w:r>
      <w:r w:rsidR="00543EBC">
        <w:rPr>
          <w:rFonts w:ascii="Arial" w:hAnsi="Arial" w:cs="Arial"/>
          <w:color w:val="000000"/>
          <w:lang w:val="es-ES_tradnl"/>
        </w:rPr>
        <w:t xml:space="preserve"> e internacion</w:t>
      </w:r>
      <w:r>
        <w:rPr>
          <w:rFonts w:ascii="Arial" w:hAnsi="Arial" w:cs="Arial"/>
          <w:color w:val="000000"/>
          <w:lang w:val="es-ES_tradnl"/>
        </w:rPr>
        <w:t>a</w:t>
      </w:r>
      <w:r w:rsidR="00543EBC">
        <w:rPr>
          <w:rFonts w:ascii="Arial" w:hAnsi="Arial" w:cs="Arial"/>
          <w:color w:val="000000"/>
          <w:lang w:val="es-ES_tradnl"/>
        </w:rPr>
        <w:t>l</w:t>
      </w:r>
      <w:r>
        <w:rPr>
          <w:rFonts w:ascii="Arial" w:hAnsi="Arial" w:cs="Arial"/>
          <w:color w:val="000000"/>
          <w:lang w:val="es-ES_tradnl"/>
        </w:rPr>
        <w:t>e</w:t>
      </w:r>
      <w:r w:rsidR="00543EBC">
        <w:rPr>
          <w:rFonts w:ascii="Arial" w:hAnsi="Arial" w:cs="Arial"/>
          <w:color w:val="000000"/>
          <w:lang w:val="es-ES_tradnl"/>
        </w:rPr>
        <w:t>s</w:t>
      </w:r>
      <w:r w:rsidR="007D1DD3" w:rsidRPr="00D10DDB">
        <w:rPr>
          <w:rFonts w:ascii="Arial" w:hAnsi="Arial" w:cs="Arial"/>
          <w:color w:val="000000"/>
          <w:lang w:val="es-ES_tradnl"/>
        </w:rPr>
        <w:t xml:space="preserve"> de información sanitaria</w:t>
      </w:r>
      <w:r w:rsidR="007D1DD3">
        <w:rPr>
          <w:rFonts w:ascii="Arial" w:hAnsi="Arial" w:cs="Arial"/>
          <w:color w:val="000000"/>
          <w:lang w:val="es-ES_tradnl"/>
        </w:rPr>
        <w:t xml:space="preserve"> y de respuesta a la pandemia</w:t>
      </w:r>
      <w:r w:rsidR="007D1DD3" w:rsidRPr="00D10DDB">
        <w:rPr>
          <w:rFonts w:ascii="Arial" w:hAnsi="Arial" w:cs="Arial"/>
          <w:color w:val="000000"/>
          <w:lang w:val="es-ES_tradnl"/>
        </w:rPr>
        <w:t xml:space="preserve">. Los registros administrativos de los sistemas nacionales de información de salud se utilizarán para monitorear </w:t>
      </w:r>
      <w:r w:rsidR="007D1DD3">
        <w:rPr>
          <w:rFonts w:ascii="Arial" w:hAnsi="Arial" w:cs="Arial"/>
          <w:color w:val="000000"/>
          <w:lang w:val="es-ES_tradnl"/>
        </w:rPr>
        <w:t>los datos sobre las personas</w:t>
      </w:r>
      <w:r w:rsidR="00E07A38">
        <w:rPr>
          <w:rFonts w:ascii="Arial" w:hAnsi="Arial" w:cs="Arial"/>
          <w:color w:val="000000"/>
          <w:lang w:val="es-ES_tradnl"/>
        </w:rPr>
        <w:t xml:space="preserve"> confirmadas como contagiadas con el COVID-19, así como</w:t>
      </w:r>
      <w:r w:rsidR="007D1DD3">
        <w:rPr>
          <w:rFonts w:ascii="Arial" w:hAnsi="Arial" w:cs="Arial"/>
          <w:color w:val="000000"/>
          <w:lang w:val="es-ES_tradnl"/>
        </w:rPr>
        <w:t xml:space="preserve"> hospitalizadas y fallecidas a causa de COVID-19, así como </w:t>
      </w:r>
      <w:r w:rsidR="007D1DD3" w:rsidRPr="00D10DDB">
        <w:rPr>
          <w:rFonts w:ascii="Arial" w:hAnsi="Arial" w:cs="Arial"/>
          <w:color w:val="000000"/>
          <w:lang w:val="es-ES_tradnl"/>
        </w:rPr>
        <w:t>la</w:t>
      </w:r>
      <w:r w:rsidR="007D1DD3">
        <w:rPr>
          <w:rFonts w:ascii="Arial" w:hAnsi="Arial" w:cs="Arial"/>
          <w:color w:val="000000"/>
          <w:lang w:val="es-ES_tradnl"/>
        </w:rPr>
        <w:t>s medidas de salud pública (distanciamiento social) y de mitigación a las consecuencias económicas y sociales de la pandemia</w:t>
      </w:r>
      <w:r w:rsidR="007D1DD3" w:rsidRPr="00D10DDB">
        <w:rPr>
          <w:rFonts w:ascii="Arial" w:hAnsi="Arial" w:cs="Arial"/>
          <w:color w:val="000000"/>
          <w:lang w:val="es-ES_tradnl"/>
        </w:rPr>
        <w:t>.</w:t>
      </w:r>
    </w:p>
    <w:p w14:paraId="6A57AE7C" w14:textId="707F4937" w:rsidR="00D050E8" w:rsidRPr="00850BAC" w:rsidRDefault="0009610B" w:rsidP="006C1331">
      <w:pPr>
        <w:spacing w:before="120" w:after="120" w:line="240" w:lineRule="auto"/>
        <w:jc w:val="both"/>
        <w:textAlignment w:val="top"/>
        <w:rPr>
          <w:rFonts w:ascii="Arial" w:hAnsi="Arial" w:cs="Arial"/>
          <w:color w:val="000000"/>
          <w:lang w:val="es-ES_tradnl"/>
        </w:rPr>
      </w:pPr>
      <w:r>
        <w:rPr>
          <w:rFonts w:ascii="Arial" w:hAnsi="Arial" w:cs="Arial"/>
          <w:color w:val="000000"/>
          <w:lang w:val="es-ES_tradnl"/>
        </w:rPr>
        <w:t>4</w:t>
      </w:r>
      <w:r w:rsidR="007D1DD3" w:rsidRPr="00D10DDB">
        <w:rPr>
          <w:rFonts w:ascii="Arial" w:hAnsi="Arial" w:cs="Arial"/>
          <w:color w:val="000000"/>
          <w:lang w:val="es-ES_tradnl"/>
        </w:rPr>
        <w:t xml:space="preserve">. </w:t>
      </w:r>
      <w:r>
        <w:rPr>
          <w:rFonts w:ascii="Arial" w:hAnsi="Arial" w:cs="Arial"/>
          <w:color w:val="000000"/>
          <w:lang w:val="es-ES_tradnl"/>
        </w:rPr>
        <w:t>Se trabajará con la ANET</w:t>
      </w:r>
      <w:r w:rsidR="00E407EA">
        <w:rPr>
          <w:rFonts w:ascii="Arial" w:hAnsi="Arial" w:cs="Arial"/>
          <w:color w:val="000000"/>
          <w:lang w:val="es-ES_tradnl"/>
        </w:rPr>
        <w:t xml:space="preserve"> para analizar el consumo de electricidad de los hogares que reciban </w:t>
      </w:r>
      <w:r w:rsidR="00994929">
        <w:rPr>
          <w:rFonts w:ascii="Arial" w:hAnsi="Arial" w:cs="Arial"/>
          <w:color w:val="000000"/>
          <w:lang w:val="es-ES_tradnl"/>
        </w:rPr>
        <w:t xml:space="preserve">apoyo para cubrir la tarifa de electricidad. </w:t>
      </w:r>
      <w:r w:rsidR="009B240A">
        <w:rPr>
          <w:rFonts w:ascii="Arial" w:hAnsi="Arial" w:cs="Arial"/>
          <w:color w:val="000000"/>
          <w:lang w:val="es-ES_tradnl"/>
        </w:rPr>
        <w:t>Se hará un análisis de series de tiempo antes, durante y después de la emergencia sanitaria</w:t>
      </w:r>
    </w:p>
    <w:p w14:paraId="7E2B6F40" w14:textId="2B60AE68" w:rsidR="001B5186" w:rsidRPr="00892764" w:rsidRDefault="003812F7" w:rsidP="008A68F5">
      <w:pPr>
        <w:pStyle w:val="ColorfulList-Accent11"/>
        <w:numPr>
          <w:ilvl w:val="0"/>
          <w:numId w:val="7"/>
        </w:numPr>
        <w:spacing w:before="240" w:after="120" w:line="240" w:lineRule="auto"/>
        <w:ind w:left="547" w:hanging="547"/>
        <w:contextualSpacing w:val="0"/>
        <w:jc w:val="both"/>
        <w:rPr>
          <w:rFonts w:ascii="Arial" w:hAnsi="Arial" w:cs="Arial"/>
          <w:b/>
        </w:rPr>
      </w:pPr>
      <w:r>
        <w:rPr>
          <w:rFonts w:ascii="Arial" w:hAnsi="Arial" w:cs="Arial"/>
          <w:b/>
        </w:rPr>
        <w:t>Metodología para la Evaluación</w:t>
      </w:r>
    </w:p>
    <w:p w14:paraId="3D5454B4" w14:textId="41037D5A" w:rsidR="00F54FCE" w:rsidRDefault="0014055A" w:rsidP="006C1331">
      <w:pPr>
        <w:spacing w:before="120" w:after="120" w:line="240" w:lineRule="auto"/>
        <w:jc w:val="both"/>
        <w:textAlignment w:val="top"/>
        <w:rPr>
          <w:rFonts w:ascii="Arial" w:hAnsi="Arial" w:cs="Arial"/>
          <w:color w:val="000000"/>
          <w:lang w:val="es-ES_tradnl"/>
        </w:rPr>
      </w:pPr>
      <w:r w:rsidRPr="0014055A">
        <w:rPr>
          <w:rFonts w:ascii="Arial" w:hAnsi="Arial" w:cs="Arial"/>
          <w:color w:val="000000"/>
          <w:lang w:val="es-ES_tradnl"/>
        </w:rPr>
        <w:t>La metodología principal para evaluar el efecto de la intervención sobre los indicadores de interés será un análisis antes y después</w:t>
      </w:r>
      <w:r>
        <w:rPr>
          <w:rFonts w:ascii="Arial" w:hAnsi="Arial" w:cs="Arial"/>
          <w:color w:val="000000"/>
          <w:lang w:val="es-ES_tradnl"/>
        </w:rPr>
        <w:t xml:space="preserve"> (pre / post)</w:t>
      </w:r>
      <w:r w:rsidRPr="0014055A">
        <w:rPr>
          <w:rFonts w:ascii="Arial" w:hAnsi="Arial" w:cs="Arial"/>
          <w:color w:val="000000"/>
          <w:lang w:val="es-ES_tradnl"/>
        </w:rPr>
        <w:t xml:space="preserve">. En esencia, los estudios antes y después miden el rendimiento de los resultados antes y después de la introducción de la intervención en la misma área o unidades afectadas por la intervención. Se supone que los cambios en el rendimiento se deben a la intervención. </w:t>
      </w:r>
      <w:r w:rsidR="00F54FCE">
        <w:rPr>
          <w:rFonts w:ascii="Arial" w:hAnsi="Arial" w:cs="Arial"/>
          <w:color w:val="000000"/>
          <w:lang w:val="es-ES_tradnl"/>
        </w:rPr>
        <w:t xml:space="preserve">En el contexto de COVID-19, </w:t>
      </w:r>
      <w:r w:rsidR="009A4C6B">
        <w:rPr>
          <w:rFonts w:ascii="Arial" w:hAnsi="Arial" w:cs="Arial"/>
          <w:color w:val="000000"/>
          <w:lang w:val="es-ES_tradnl"/>
        </w:rPr>
        <w:t xml:space="preserve">dado que la situación </w:t>
      </w:r>
      <w:r w:rsidR="00830672">
        <w:rPr>
          <w:rFonts w:ascii="Arial" w:hAnsi="Arial" w:cs="Arial"/>
          <w:color w:val="000000"/>
          <w:lang w:val="es-ES_tradnl"/>
        </w:rPr>
        <w:t xml:space="preserve">sin proyecto no es debidamente aproximada por el “pre” debido al rápido y marcado deterioro en los indicadores resultado de la pandemia, la evaluación comparará los valores “post” con lo </w:t>
      </w:r>
      <w:r w:rsidR="00830672">
        <w:rPr>
          <w:rFonts w:ascii="Arial" w:hAnsi="Arial" w:cs="Arial"/>
          <w:color w:val="000000"/>
          <w:lang w:val="es-ES_tradnl"/>
        </w:rPr>
        <w:lastRenderedPageBreak/>
        <w:t>que se podría esperar en ausencia de las medida</w:t>
      </w:r>
      <w:r w:rsidR="00621968">
        <w:rPr>
          <w:rFonts w:ascii="Arial" w:hAnsi="Arial" w:cs="Arial"/>
          <w:color w:val="000000"/>
          <w:lang w:val="es-ES_tradnl"/>
        </w:rPr>
        <w:t>s</w:t>
      </w:r>
      <w:r w:rsidR="00830672">
        <w:rPr>
          <w:rFonts w:ascii="Arial" w:hAnsi="Arial" w:cs="Arial"/>
          <w:color w:val="000000"/>
          <w:lang w:val="es-ES_tradnl"/>
        </w:rPr>
        <w:t>, a partir de tendencias y modelos teóricos o evidencia disponible de otros países donde no se hayan implementado medidas.</w:t>
      </w:r>
    </w:p>
    <w:p w14:paraId="1D0822E9" w14:textId="674251E8" w:rsidR="0014055A" w:rsidRPr="0014055A" w:rsidRDefault="0014055A" w:rsidP="006C1331">
      <w:pPr>
        <w:spacing w:before="120" w:after="120" w:line="240" w:lineRule="auto"/>
        <w:jc w:val="both"/>
        <w:textAlignment w:val="top"/>
        <w:rPr>
          <w:rFonts w:ascii="Arial" w:hAnsi="Arial" w:cs="Arial"/>
          <w:color w:val="000000"/>
          <w:lang w:val="es-ES_tradnl"/>
        </w:rPr>
      </w:pPr>
      <w:r w:rsidRPr="0014055A">
        <w:rPr>
          <w:rFonts w:ascii="Arial" w:hAnsi="Arial" w:cs="Arial"/>
          <w:color w:val="000000"/>
          <w:lang w:val="es-ES_tradnl"/>
        </w:rPr>
        <w:t>Este método es relativamente simple de realizar y es superior a los estudios de observación porque observan las mismas áreas o unidades a lo largo del tiempo. Sin embargo, son diseños de evaluación intrínsecamente débiles porque las tendencias seculares o los cambios repentinos dificultan la atribución de los cambios observados a la intervención.</w:t>
      </w:r>
    </w:p>
    <w:p w14:paraId="5C2FF57F" w14:textId="77777777" w:rsidR="0014055A" w:rsidRPr="0014055A" w:rsidRDefault="0014055A" w:rsidP="006C1331">
      <w:pPr>
        <w:spacing w:before="120" w:after="120" w:line="240" w:lineRule="auto"/>
        <w:jc w:val="both"/>
        <w:textAlignment w:val="top"/>
        <w:rPr>
          <w:rFonts w:ascii="Arial" w:hAnsi="Arial" w:cs="Arial"/>
          <w:color w:val="000000"/>
          <w:lang w:val="es-ES_tradnl"/>
        </w:rPr>
      </w:pPr>
    </w:p>
    <w:p w14:paraId="36E9F376" w14:textId="5DFC51A9" w:rsidR="0014055A" w:rsidRPr="0014055A" w:rsidRDefault="0014055A" w:rsidP="006C1331">
      <w:pPr>
        <w:spacing w:before="120" w:after="120" w:line="240" w:lineRule="auto"/>
        <w:jc w:val="both"/>
        <w:textAlignment w:val="top"/>
        <w:rPr>
          <w:rFonts w:ascii="Arial" w:hAnsi="Arial" w:cs="Arial"/>
          <w:color w:val="000000"/>
          <w:lang w:val="es-ES_tradnl"/>
        </w:rPr>
      </w:pPr>
      <w:r w:rsidRPr="0014055A">
        <w:rPr>
          <w:rFonts w:ascii="Arial" w:hAnsi="Arial" w:cs="Arial"/>
          <w:color w:val="000000"/>
          <w:lang w:val="es-ES_tradnl"/>
        </w:rPr>
        <w:t>Para establecer la atribución de los resultados observados a la intervención del programa, el análisis cuantitativo se complementará con una revisión de la teoría del cambio respaldada con evidencia relevante de la efectividad de intervenciones similares en contextos comparables</w:t>
      </w:r>
      <w:r w:rsidR="00964EBC">
        <w:rPr>
          <w:rFonts w:ascii="Arial" w:hAnsi="Arial" w:cs="Arial"/>
          <w:color w:val="000000"/>
          <w:lang w:val="es-ES_tradnl"/>
        </w:rPr>
        <w:t xml:space="preserve">. </w:t>
      </w:r>
    </w:p>
    <w:p w14:paraId="017F836F" w14:textId="7F13A20C" w:rsidR="001B5186" w:rsidRPr="00892764" w:rsidRDefault="001B5186" w:rsidP="006C1331">
      <w:pPr>
        <w:pStyle w:val="ColorfulList-Accent11"/>
        <w:numPr>
          <w:ilvl w:val="0"/>
          <w:numId w:val="7"/>
        </w:numPr>
        <w:spacing w:before="120" w:after="120" w:line="240" w:lineRule="auto"/>
        <w:ind w:left="540" w:hanging="540"/>
        <w:contextualSpacing w:val="0"/>
        <w:jc w:val="both"/>
        <w:rPr>
          <w:rFonts w:ascii="Arial" w:hAnsi="Arial" w:cs="Arial"/>
          <w:b/>
        </w:rPr>
      </w:pPr>
      <w:r w:rsidRPr="00892764">
        <w:rPr>
          <w:rFonts w:ascii="Arial" w:hAnsi="Arial" w:cs="Arial"/>
          <w:b/>
        </w:rPr>
        <w:t>Report</w:t>
      </w:r>
      <w:r w:rsidR="00D91F82">
        <w:rPr>
          <w:rFonts w:ascii="Arial" w:hAnsi="Arial" w:cs="Arial"/>
          <w:b/>
        </w:rPr>
        <w:t>e</w:t>
      </w:r>
      <w:r w:rsidR="007942F6">
        <w:rPr>
          <w:rFonts w:ascii="Arial" w:hAnsi="Arial" w:cs="Arial"/>
          <w:b/>
        </w:rPr>
        <w:t xml:space="preserve"> de Resultados</w:t>
      </w:r>
    </w:p>
    <w:p w14:paraId="41CD1036" w14:textId="77777777" w:rsidR="00870A0F" w:rsidRPr="00870A0F" w:rsidRDefault="00870A0F" w:rsidP="006C1331">
      <w:pPr>
        <w:spacing w:before="120" w:after="120" w:line="240" w:lineRule="auto"/>
        <w:jc w:val="both"/>
        <w:rPr>
          <w:rFonts w:ascii="Arial" w:hAnsi="Arial" w:cs="Arial"/>
          <w:color w:val="000000"/>
          <w:lang w:val="es-ES_tradnl"/>
        </w:rPr>
      </w:pPr>
      <w:r w:rsidRPr="00870A0F">
        <w:rPr>
          <w:rFonts w:ascii="Arial" w:hAnsi="Arial" w:cs="Arial"/>
          <w:color w:val="000000"/>
          <w:lang w:val="es-ES_tradnl"/>
        </w:rPr>
        <w:t>Al final de la operación, se preparará un Informe de finalización del proyecto (PCR) para documentar el desempeño y los resultados del proyecto.</w:t>
      </w:r>
    </w:p>
    <w:p w14:paraId="63649347" w14:textId="32504E2E" w:rsidR="001B5186" w:rsidRPr="00CF6833" w:rsidRDefault="00CF6833" w:rsidP="006C1331">
      <w:pPr>
        <w:pStyle w:val="ColorfulList-Accent11"/>
        <w:numPr>
          <w:ilvl w:val="0"/>
          <w:numId w:val="7"/>
        </w:numPr>
        <w:spacing w:before="120" w:after="120" w:line="240" w:lineRule="auto"/>
        <w:ind w:left="540" w:hanging="540"/>
        <w:contextualSpacing w:val="0"/>
        <w:jc w:val="both"/>
        <w:rPr>
          <w:rFonts w:ascii="Arial" w:hAnsi="Arial" w:cs="Arial"/>
          <w:b/>
          <w:lang w:val="es-ES_tradnl"/>
        </w:rPr>
      </w:pPr>
      <w:r w:rsidRPr="00CF6833">
        <w:rPr>
          <w:rFonts w:ascii="Arial" w:hAnsi="Arial" w:cs="Arial"/>
          <w:b/>
          <w:lang w:val="es-ES_tradnl"/>
        </w:rPr>
        <w:t>Coordinación de evaluación, plan de trabajo y presupuesto</w:t>
      </w:r>
    </w:p>
    <w:p w14:paraId="384889D0" w14:textId="1F39035E" w:rsidR="00CF6833" w:rsidRPr="00CF6833" w:rsidRDefault="002E2CF6" w:rsidP="006C1331">
      <w:pPr>
        <w:spacing w:before="120" w:after="120" w:line="240" w:lineRule="auto"/>
        <w:jc w:val="both"/>
        <w:textAlignment w:val="top"/>
        <w:rPr>
          <w:rFonts w:ascii="Arial" w:eastAsia="Times New Roman" w:hAnsi="Arial" w:cs="Arial"/>
          <w:color w:val="000000"/>
          <w:lang w:val="es-ES_tradnl"/>
        </w:rPr>
      </w:pPr>
      <w:r>
        <w:rPr>
          <w:rFonts w:ascii="Arial" w:eastAsia="Times New Roman" w:hAnsi="Arial" w:cs="Arial"/>
          <w:color w:val="000000"/>
          <w:lang w:val="es-ES_tradnl"/>
        </w:rPr>
        <w:t>El OE</w:t>
      </w:r>
      <w:r w:rsidR="00CF6833" w:rsidRPr="00CF6833">
        <w:rPr>
          <w:rFonts w:ascii="Arial" w:eastAsia="Times New Roman" w:hAnsi="Arial" w:cs="Arial"/>
          <w:color w:val="000000"/>
          <w:lang w:val="es-ES_tradnl"/>
        </w:rPr>
        <w:t xml:space="preserve"> y el BID serán responsables de implementar el plan de evaluación del proyecto. Para la evaluación antes y después, </w:t>
      </w:r>
      <w:r>
        <w:rPr>
          <w:rFonts w:ascii="Arial" w:eastAsia="Times New Roman" w:hAnsi="Arial" w:cs="Arial"/>
          <w:color w:val="000000"/>
          <w:lang w:val="es-ES_tradnl"/>
        </w:rPr>
        <w:t>el OE</w:t>
      </w:r>
      <w:r w:rsidR="00CF6833" w:rsidRPr="00CF6833">
        <w:rPr>
          <w:rFonts w:ascii="Arial" w:eastAsia="Times New Roman" w:hAnsi="Arial" w:cs="Arial"/>
          <w:color w:val="000000"/>
          <w:lang w:val="es-ES_tradnl"/>
        </w:rPr>
        <w:t xml:space="preserve"> llevará a cabo la recopilación de datos, mientras que el análisis de datos y la preparación del informe final estarán bajo la responsabilidad del</w:t>
      </w:r>
      <w:r>
        <w:rPr>
          <w:rFonts w:ascii="Arial" w:eastAsia="Times New Roman" w:hAnsi="Arial" w:cs="Arial"/>
          <w:color w:val="000000"/>
          <w:lang w:val="es-ES_tradnl"/>
        </w:rPr>
        <w:t xml:space="preserve"> OE</w:t>
      </w:r>
      <w:r w:rsidR="00CF6833" w:rsidRPr="00CF6833">
        <w:rPr>
          <w:rFonts w:ascii="Arial" w:eastAsia="Times New Roman" w:hAnsi="Arial" w:cs="Arial"/>
          <w:color w:val="000000"/>
          <w:lang w:val="es-ES_tradnl"/>
        </w:rPr>
        <w:t xml:space="preserve"> y el BID.</w:t>
      </w:r>
    </w:p>
    <w:p w14:paraId="2285FC20" w14:textId="4F3ED3D6" w:rsidR="00CF6833" w:rsidRDefault="00CF6833" w:rsidP="006C1331">
      <w:pPr>
        <w:spacing w:before="120" w:after="120" w:line="240" w:lineRule="auto"/>
        <w:jc w:val="both"/>
        <w:textAlignment w:val="top"/>
        <w:rPr>
          <w:rFonts w:ascii="Arial" w:eastAsia="Times New Roman" w:hAnsi="Arial" w:cs="Arial"/>
          <w:color w:val="000000"/>
          <w:lang w:val="es-ES_tradnl"/>
        </w:rPr>
      </w:pPr>
      <w:r w:rsidRPr="00CF6833">
        <w:rPr>
          <w:rFonts w:ascii="Arial" w:eastAsia="Times New Roman" w:hAnsi="Arial" w:cs="Arial"/>
          <w:color w:val="000000"/>
          <w:lang w:val="es-ES_tradnl"/>
        </w:rPr>
        <w:t xml:space="preserve">La Tabla </w:t>
      </w:r>
      <w:r w:rsidR="00A47277">
        <w:rPr>
          <w:rFonts w:ascii="Arial" w:eastAsia="Times New Roman" w:hAnsi="Arial" w:cs="Arial"/>
          <w:color w:val="000000"/>
          <w:lang w:val="es-ES_tradnl"/>
        </w:rPr>
        <w:t>5</w:t>
      </w:r>
      <w:r w:rsidRPr="00CF6833">
        <w:rPr>
          <w:rFonts w:ascii="Arial" w:eastAsia="Times New Roman" w:hAnsi="Arial" w:cs="Arial"/>
          <w:color w:val="000000"/>
          <w:lang w:val="es-ES_tradnl"/>
        </w:rPr>
        <w:t xml:space="preserve"> presenta el plan de trabajo de evaluación, incluidas las actividades clave de evaluación, las entidades responsables de llevar a cabo las actividades de evaluación, los costos y las fuentes de financiamiento.</w:t>
      </w:r>
    </w:p>
    <w:p w14:paraId="1EEEEF3E" w14:textId="77777777" w:rsidR="008A68F5" w:rsidRDefault="008A68F5" w:rsidP="006C1331">
      <w:pPr>
        <w:spacing w:before="120" w:after="120" w:line="240" w:lineRule="auto"/>
        <w:jc w:val="both"/>
        <w:textAlignment w:val="top"/>
        <w:rPr>
          <w:rFonts w:ascii="Arial" w:eastAsia="Times New Roman" w:hAnsi="Arial" w:cs="Arial"/>
          <w:color w:val="000000"/>
          <w:lang w:val="es-ES_tradnl"/>
        </w:rPr>
      </w:pPr>
    </w:p>
    <w:p w14:paraId="7DD743DE" w14:textId="121BA45D" w:rsidR="0079661E" w:rsidRDefault="0079661E" w:rsidP="006C1331">
      <w:pPr>
        <w:spacing w:before="120" w:after="120" w:line="240" w:lineRule="auto"/>
        <w:jc w:val="center"/>
        <w:rPr>
          <w:rFonts w:ascii="Arial" w:hAnsi="Arial" w:cs="Arial"/>
          <w:sz w:val="20"/>
          <w:szCs w:val="20"/>
          <w:lang w:val="es-ES_tradnl"/>
        </w:rPr>
        <w:sectPr w:rsidR="0079661E" w:rsidSect="00190876">
          <w:pgSz w:w="12240" w:h="15840"/>
          <w:pgMar w:top="1440" w:right="1627" w:bottom="1440" w:left="1440" w:header="720" w:footer="720" w:gutter="0"/>
          <w:cols w:space="720"/>
          <w:docGrid w:linePitch="360"/>
        </w:sectPr>
      </w:pPr>
    </w:p>
    <w:p w14:paraId="6E9FA1BC" w14:textId="66183C9A" w:rsidR="001B5186" w:rsidRPr="008A68F5" w:rsidRDefault="0079661E" w:rsidP="004964DC">
      <w:pPr>
        <w:spacing w:after="0" w:line="288" w:lineRule="auto"/>
        <w:jc w:val="center"/>
        <w:rPr>
          <w:rFonts w:ascii="Arial" w:hAnsi="Arial" w:cs="Arial"/>
          <w:b/>
          <w:bCs/>
          <w:sz w:val="20"/>
          <w:szCs w:val="20"/>
          <w:lang w:val="es-ES_tradnl"/>
        </w:rPr>
      </w:pPr>
      <w:r w:rsidRPr="008A68F5">
        <w:rPr>
          <w:rFonts w:ascii="Arial" w:hAnsi="Arial" w:cs="Arial"/>
          <w:b/>
          <w:bCs/>
          <w:sz w:val="20"/>
          <w:szCs w:val="20"/>
          <w:lang w:val="es-ES_tradnl"/>
        </w:rPr>
        <w:lastRenderedPageBreak/>
        <w:t>Tabla</w:t>
      </w:r>
      <w:r w:rsidR="001B5186" w:rsidRPr="008A68F5">
        <w:rPr>
          <w:rFonts w:ascii="Arial" w:hAnsi="Arial" w:cs="Arial"/>
          <w:b/>
          <w:bCs/>
          <w:sz w:val="20"/>
          <w:szCs w:val="20"/>
          <w:lang w:val="es-ES_tradnl"/>
        </w:rPr>
        <w:t xml:space="preserve"> </w:t>
      </w:r>
      <w:r w:rsidR="00E07A38" w:rsidRPr="008A68F5">
        <w:rPr>
          <w:rFonts w:ascii="Arial" w:hAnsi="Arial" w:cs="Arial"/>
          <w:b/>
          <w:bCs/>
          <w:sz w:val="20"/>
          <w:szCs w:val="20"/>
          <w:lang w:val="es-ES_tradnl"/>
        </w:rPr>
        <w:t>5</w:t>
      </w:r>
      <w:r w:rsidR="0064345B" w:rsidRPr="008A68F5">
        <w:rPr>
          <w:rFonts w:ascii="Arial" w:hAnsi="Arial" w:cs="Arial"/>
          <w:b/>
          <w:bCs/>
          <w:sz w:val="20"/>
          <w:szCs w:val="20"/>
          <w:lang w:val="es-ES_tradnl"/>
        </w:rPr>
        <w:t xml:space="preserve"> </w:t>
      </w:r>
    </w:p>
    <w:p w14:paraId="7D0C8C80" w14:textId="48BD9892" w:rsidR="001B5186" w:rsidRPr="008A68F5" w:rsidRDefault="0079661E" w:rsidP="004964DC">
      <w:pPr>
        <w:spacing w:after="0" w:line="288" w:lineRule="auto"/>
        <w:jc w:val="center"/>
        <w:rPr>
          <w:rFonts w:ascii="Arial" w:hAnsi="Arial" w:cs="Arial"/>
          <w:b/>
          <w:bCs/>
          <w:sz w:val="20"/>
          <w:szCs w:val="20"/>
          <w:lang w:val="es-ES_tradnl"/>
        </w:rPr>
      </w:pPr>
      <w:r w:rsidRPr="008A68F5">
        <w:rPr>
          <w:rFonts w:ascii="Arial" w:hAnsi="Arial" w:cs="Arial"/>
          <w:b/>
          <w:bCs/>
          <w:sz w:val="20"/>
          <w:szCs w:val="20"/>
          <w:lang w:val="es-ES_tradnl"/>
        </w:rPr>
        <w:t>Plan de trabajo de la evaluación</w:t>
      </w:r>
    </w:p>
    <w:p w14:paraId="6576F738" w14:textId="77777777" w:rsidR="001B5186" w:rsidRPr="0064345B" w:rsidRDefault="001B5186" w:rsidP="004964DC">
      <w:pPr>
        <w:spacing w:after="0" w:line="288" w:lineRule="auto"/>
        <w:jc w:val="both"/>
        <w:rPr>
          <w:rFonts w:ascii="Arial" w:hAnsi="Arial" w:cs="Arial"/>
          <w:lang w:val="es-ES_tradnl"/>
        </w:rPr>
      </w:pPr>
    </w:p>
    <w:tbl>
      <w:tblPr>
        <w:tblW w:w="93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360"/>
        <w:gridCol w:w="360"/>
        <w:gridCol w:w="360"/>
        <w:gridCol w:w="360"/>
        <w:gridCol w:w="376"/>
        <w:gridCol w:w="377"/>
        <w:gridCol w:w="377"/>
        <w:gridCol w:w="377"/>
        <w:gridCol w:w="1373"/>
        <w:gridCol w:w="900"/>
        <w:gridCol w:w="1260"/>
      </w:tblGrid>
      <w:tr w:rsidR="0007609D" w:rsidRPr="008A68F5" w14:paraId="2576A8C2" w14:textId="77777777" w:rsidTr="008A774C">
        <w:tc>
          <w:tcPr>
            <w:tcW w:w="2880" w:type="dxa"/>
            <w:vMerge w:val="restart"/>
            <w:shd w:val="clear" w:color="auto" w:fill="8DB3E2" w:themeFill="text2" w:themeFillTint="66"/>
          </w:tcPr>
          <w:p w14:paraId="1FF70EC4" w14:textId="76805317" w:rsidR="0007609D" w:rsidRPr="008A68F5" w:rsidRDefault="0007609D" w:rsidP="004964DC">
            <w:pPr>
              <w:spacing w:after="0" w:line="288" w:lineRule="auto"/>
              <w:jc w:val="center"/>
              <w:rPr>
                <w:rFonts w:ascii="Arial" w:hAnsi="Arial" w:cs="Arial"/>
                <w:b/>
                <w:bCs/>
                <w:sz w:val="18"/>
                <w:szCs w:val="18"/>
                <w:lang w:val="es-ES_tradnl"/>
              </w:rPr>
            </w:pPr>
            <w:r w:rsidRPr="008A68F5">
              <w:rPr>
                <w:rFonts w:ascii="Arial" w:hAnsi="Arial" w:cs="Arial"/>
                <w:b/>
                <w:bCs/>
                <w:sz w:val="18"/>
                <w:szCs w:val="18"/>
                <w:lang w:val="es-ES_tradnl"/>
              </w:rPr>
              <w:t>Actividades / productos clave de evaluación por actividad</w:t>
            </w:r>
          </w:p>
        </w:tc>
        <w:tc>
          <w:tcPr>
            <w:tcW w:w="1440" w:type="dxa"/>
            <w:gridSpan w:val="4"/>
            <w:shd w:val="clear" w:color="auto" w:fill="8DB3E2" w:themeFill="text2" w:themeFillTint="66"/>
          </w:tcPr>
          <w:p w14:paraId="63FE2C80" w14:textId="0224EEE0" w:rsidR="0007609D" w:rsidRPr="008A68F5" w:rsidRDefault="0007609D" w:rsidP="004964DC">
            <w:pPr>
              <w:spacing w:after="0" w:line="288" w:lineRule="auto"/>
              <w:jc w:val="center"/>
              <w:rPr>
                <w:rFonts w:ascii="Arial" w:hAnsi="Arial" w:cs="Arial"/>
                <w:b/>
                <w:bCs/>
                <w:sz w:val="18"/>
                <w:szCs w:val="18"/>
              </w:rPr>
            </w:pPr>
            <w:r w:rsidRPr="008A68F5">
              <w:rPr>
                <w:rFonts w:ascii="Arial" w:hAnsi="Arial" w:cs="Arial"/>
                <w:b/>
                <w:bCs/>
                <w:sz w:val="18"/>
                <w:szCs w:val="18"/>
              </w:rPr>
              <w:t>Año 1</w:t>
            </w:r>
          </w:p>
        </w:tc>
        <w:tc>
          <w:tcPr>
            <w:tcW w:w="1507" w:type="dxa"/>
            <w:gridSpan w:val="4"/>
            <w:shd w:val="clear" w:color="auto" w:fill="8DB3E2" w:themeFill="text2" w:themeFillTint="66"/>
          </w:tcPr>
          <w:p w14:paraId="66DB9A4A" w14:textId="288519B2" w:rsidR="0007609D" w:rsidRPr="00DB3D94" w:rsidRDefault="00DB3D94" w:rsidP="004964DC">
            <w:pPr>
              <w:spacing w:after="0" w:line="288" w:lineRule="auto"/>
              <w:jc w:val="center"/>
              <w:rPr>
                <w:rFonts w:ascii="Arial" w:hAnsi="Arial" w:cs="Arial"/>
                <w:b/>
                <w:bCs/>
                <w:sz w:val="18"/>
                <w:szCs w:val="18"/>
                <w:lang w:val="es-ES_tradnl"/>
              </w:rPr>
            </w:pPr>
            <w:r>
              <w:rPr>
                <w:rFonts w:ascii="Arial" w:hAnsi="Arial" w:cs="Arial"/>
                <w:b/>
                <w:bCs/>
                <w:sz w:val="18"/>
                <w:szCs w:val="18"/>
              </w:rPr>
              <w:t>A</w:t>
            </w:r>
            <w:r>
              <w:rPr>
                <w:rFonts w:ascii="Arial" w:hAnsi="Arial" w:cs="Arial"/>
                <w:b/>
                <w:bCs/>
                <w:sz w:val="18"/>
                <w:szCs w:val="18"/>
                <w:lang w:val="es-ES_tradnl"/>
              </w:rPr>
              <w:t>ño 2</w:t>
            </w:r>
          </w:p>
        </w:tc>
        <w:tc>
          <w:tcPr>
            <w:tcW w:w="1373" w:type="dxa"/>
            <w:vMerge w:val="restart"/>
            <w:shd w:val="clear" w:color="auto" w:fill="8DB3E2" w:themeFill="text2" w:themeFillTint="66"/>
          </w:tcPr>
          <w:p w14:paraId="3189F157" w14:textId="6B98FAD4" w:rsidR="0007609D" w:rsidRPr="008A68F5" w:rsidRDefault="0007609D" w:rsidP="004964DC">
            <w:pPr>
              <w:spacing w:after="0" w:line="288" w:lineRule="auto"/>
              <w:jc w:val="center"/>
              <w:rPr>
                <w:rFonts w:ascii="Arial" w:hAnsi="Arial" w:cs="Arial"/>
                <w:b/>
                <w:bCs/>
                <w:sz w:val="18"/>
                <w:szCs w:val="18"/>
              </w:rPr>
            </w:pPr>
            <w:r w:rsidRPr="008A68F5">
              <w:rPr>
                <w:rFonts w:ascii="Arial" w:hAnsi="Arial" w:cs="Arial"/>
                <w:b/>
                <w:bCs/>
                <w:sz w:val="18"/>
                <w:szCs w:val="18"/>
              </w:rPr>
              <w:t>Responsable</w:t>
            </w:r>
          </w:p>
        </w:tc>
        <w:tc>
          <w:tcPr>
            <w:tcW w:w="900" w:type="dxa"/>
            <w:vMerge w:val="restart"/>
            <w:shd w:val="clear" w:color="auto" w:fill="8DB3E2" w:themeFill="text2" w:themeFillTint="66"/>
          </w:tcPr>
          <w:p w14:paraId="13FC6E93" w14:textId="1E2D0875" w:rsidR="0007609D" w:rsidRPr="008A68F5" w:rsidRDefault="0007609D" w:rsidP="004964DC">
            <w:pPr>
              <w:spacing w:after="0" w:line="288" w:lineRule="auto"/>
              <w:jc w:val="center"/>
              <w:rPr>
                <w:rFonts w:ascii="Arial" w:hAnsi="Arial" w:cs="Arial"/>
                <w:b/>
                <w:bCs/>
                <w:sz w:val="18"/>
                <w:szCs w:val="18"/>
              </w:rPr>
            </w:pPr>
            <w:r w:rsidRPr="008A68F5">
              <w:rPr>
                <w:rFonts w:ascii="Arial" w:hAnsi="Arial" w:cs="Arial"/>
                <w:b/>
                <w:bCs/>
                <w:sz w:val="18"/>
                <w:szCs w:val="18"/>
              </w:rPr>
              <w:t>Costo</w:t>
            </w:r>
          </w:p>
          <w:p w14:paraId="562ABA51" w14:textId="40AA3331" w:rsidR="0007609D" w:rsidRPr="008A68F5" w:rsidRDefault="0007609D" w:rsidP="004964DC">
            <w:pPr>
              <w:spacing w:after="0" w:line="288" w:lineRule="auto"/>
              <w:jc w:val="center"/>
              <w:rPr>
                <w:rFonts w:ascii="Arial" w:hAnsi="Arial" w:cs="Arial"/>
                <w:b/>
                <w:bCs/>
                <w:sz w:val="18"/>
                <w:szCs w:val="18"/>
              </w:rPr>
            </w:pPr>
          </w:p>
        </w:tc>
        <w:tc>
          <w:tcPr>
            <w:tcW w:w="1260" w:type="dxa"/>
            <w:vMerge w:val="restart"/>
            <w:shd w:val="clear" w:color="auto" w:fill="8DB3E2" w:themeFill="text2" w:themeFillTint="66"/>
          </w:tcPr>
          <w:p w14:paraId="403AA91E" w14:textId="5E2C3548" w:rsidR="0007609D" w:rsidRPr="008A68F5" w:rsidRDefault="0007609D" w:rsidP="004964DC">
            <w:pPr>
              <w:spacing w:after="0" w:line="288" w:lineRule="auto"/>
              <w:jc w:val="center"/>
              <w:rPr>
                <w:rFonts w:ascii="Arial" w:hAnsi="Arial" w:cs="Arial"/>
                <w:b/>
                <w:bCs/>
                <w:sz w:val="18"/>
                <w:szCs w:val="18"/>
              </w:rPr>
            </w:pPr>
            <w:r w:rsidRPr="008A68F5">
              <w:rPr>
                <w:rFonts w:ascii="Arial" w:hAnsi="Arial" w:cs="Arial"/>
                <w:b/>
                <w:bCs/>
                <w:sz w:val="18"/>
                <w:szCs w:val="18"/>
              </w:rPr>
              <w:t>Financiamiento</w:t>
            </w:r>
          </w:p>
        </w:tc>
      </w:tr>
      <w:tr w:rsidR="0007609D" w:rsidRPr="00892764" w14:paraId="091B92D2" w14:textId="77777777" w:rsidTr="008A774C">
        <w:tc>
          <w:tcPr>
            <w:tcW w:w="2880" w:type="dxa"/>
            <w:vMerge/>
          </w:tcPr>
          <w:p w14:paraId="5434F18B" w14:textId="77777777" w:rsidR="0007609D" w:rsidRPr="00892764" w:rsidRDefault="0007609D" w:rsidP="0007609D">
            <w:pPr>
              <w:spacing w:after="0" w:line="288" w:lineRule="auto"/>
              <w:jc w:val="center"/>
              <w:rPr>
                <w:rFonts w:ascii="Arial" w:hAnsi="Arial" w:cs="Arial"/>
                <w:sz w:val="18"/>
                <w:szCs w:val="18"/>
              </w:rPr>
            </w:pPr>
          </w:p>
        </w:tc>
        <w:tc>
          <w:tcPr>
            <w:tcW w:w="360" w:type="dxa"/>
            <w:shd w:val="clear" w:color="auto" w:fill="8DB3E2" w:themeFill="text2" w:themeFillTint="66"/>
          </w:tcPr>
          <w:p w14:paraId="0E233DE3" w14:textId="3E07FD7B" w:rsidR="0007609D" w:rsidRPr="008A68F5" w:rsidRDefault="0007609D" w:rsidP="0007609D">
            <w:pPr>
              <w:spacing w:after="0" w:line="288" w:lineRule="auto"/>
              <w:jc w:val="center"/>
              <w:rPr>
                <w:rFonts w:ascii="Arial" w:hAnsi="Arial" w:cs="Arial"/>
                <w:b/>
                <w:bCs/>
                <w:sz w:val="18"/>
                <w:szCs w:val="18"/>
              </w:rPr>
            </w:pPr>
            <w:r w:rsidRPr="008A68F5">
              <w:rPr>
                <w:rFonts w:ascii="Arial" w:hAnsi="Arial" w:cs="Arial"/>
                <w:b/>
                <w:bCs/>
                <w:sz w:val="18"/>
                <w:szCs w:val="18"/>
              </w:rPr>
              <w:t>1</w:t>
            </w:r>
          </w:p>
        </w:tc>
        <w:tc>
          <w:tcPr>
            <w:tcW w:w="360" w:type="dxa"/>
            <w:shd w:val="clear" w:color="auto" w:fill="8DB3E2" w:themeFill="text2" w:themeFillTint="66"/>
          </w:tcPr>
          <w:p w14:paraId="7909DF84" w14:textId="53941F04" w:rsidR="0007609D" w:rsidRPr="008A68F5" w:rsidRDefault="0007609D" w:rsidP="0007609D">
            <w:pPr>
              <w:spacing w:after="0" w:line="288" w:lineRule="auto"/>
              <w:jc w:val="center"/>
              <w:rPr>
                <w:rFonts w:ascii="Arial" w:hAnsi="Arial" w:cs="Arial"/>
                <w:b/>
                <w:bCs/>
                <w:sz w:val="18"/>
                <w:szCs w:val="18"/>
              </w:rPr>
            </w:pPr>
            <w:r w:rsidRPr="008A68F5">
              <w:rPr>
                <w:rFonts w:ascii="Arial" w:hAnsi="Arial" w:cs="Arial"/>
                <w:b/>
                <w:bCs/>
                <w:sz w:val="18"/>
                <w:szCs w:val="18"/>
              </w:rPr>
              <w:t>2</w:t>
            </w:r>
          </w:p>
        </w:tc>
        <w:tc>
          <w:tcPr>
            <w:tcW w:w="360" w:type="dxa"/>
            <w:shd w:val="clear" w:color="auto" w:fill="8DB3E2" w:themeFill="text2" w:themeFillTint="66"/>
          </w:tcPr>
          <w:p w14:paraId="0AD0B1AF" w14:textId="7476B34B" w:rsidR="0007609D" w:rsidRPr="008A68F5" w:rsidRDefault="0007609D" w:rsidP="0007609D">
            <w:pPr>
              <w:spacing w:after="0" w:line="288" w:lineRule="auto"/>
              <w:jc w:val="center"/>
              <w:rPr>
                <w:rFonts w:ascii="Arial" w:hAnsi="Arial" w:cs="Arial"/>
                <w:b/>
                <w:bCs/>
                <w:sz w:val="18"/>
                <w:szCs w:val="18"/>
              </w:rPr>
            </w:pPr>
            <w:r w:rsidRPr="008A68F5">
              <w:rPr>
                <w:rFonts w:ascii="Arial" w:hAnsi="Arial" w:cs="Arial"/>
                <w:b/>
                <w:bCs/>
                <w:sz w:val="18"/>
                <w:szCs w:val="18"/>
              </w:rPr>
              <w:t>3</w:t>
            </w:r>
          </w:p>
        </w:tc>
        <w:tc>
          <w:tcPr>
            <w:tcW w:w="360" w:type="dxa"/>
            <w:shd w:val="clear" w:color="auto" w:fill="8DB3E2" w:themeFill="text2" w:themeFillTint="66"/>
          </w:tcPr>
          <w:p w14:paraId="033D3B41" w14:textId="08C93218" w:rsidR="0007609D" w:rsidRPr="008A68F5" w:rsidRDefault="0007609D" w:rsidP="0007609D">
            <w:pPr>
              <w:spacing w:after="0" w:line="288" w:lineRule="auto"/>
              <w:jc w:val="center"/>
              <w:rPr>
                <w:rFonts w:ascii="Arial" w:hAnsi="Arial" w:cs="Arial"/>
                <w:b/>
                <w:bCs/>
                <w:sz w:val="18"/>
                <w:szCs w:val="18"/>
              </w:rPr>
            </w:pPr>
            <w:r w:rsidRPr="008A68F5">
              <w:rPr>
                <w:rFonts w:ascii="Arial" w:hAnsi="Arial" w:cs="Arial"/>
                <w:b/>
                <w:bCs/>
                <w:sz w:val="18"/>
                <w:szCs w:val="18"/>
              </w:rPr>
              <w:t>4</w:t>
            </w:r>
          </w:p>
        </w:tc>
        <w:tc>
          <w:tcPr>
            <w:tcW w:w="376" w:type="dxa"/>
            <w:shd w:val="clear" w:color="auto" w:fill="8DB3E2" w:themeFill="text2" w:themeFillTint="66"/>
          </w:tcPr>
          <w:p w14:paraId="05E2F47B" w14:textId="46743AE2" w:rsidR="0007609D" w:rsidRPr="00892764" w:rsidRDefault="0007609D" w:rsidP="0007609D">
            <w:pPr>
              <w:spacing w:after="0" w:line="288" w:lineRule="auto"/>
              <w:jc w:val="center"/>
              <w:rPr>
                <w:rFonts w:ascii="Arial" w:hAnsi="Arial" w:cs="Arial"/>
                <w:sz w:val="18"/>
                <w:szCs w:val="18"/>
              </w:rPr>
            </w:pPr>
            <w:r w:rsidRPr="008A68F5">
              <w:rPr>
                <w:rFonts w:ascii="Arial" w:hAnsi="Arial" w:cs="Arial"/>
                <w:b/>
                <w:bCs/>
                <w:sz w:val="18"/>
                <w:szCs w:val="18"/>
              </w:rPr>
              <w:t>1</w:t>
            </w:r>
          </w:p>
        </w:tc>
        <w:tc>
          <w:tcPr>
            <w:tcW w:w="377" w:type="dxa"/>
            <w:shd w:val="clear" w:color="auto" w:fill="8DB3E2" w:themeFill="text2" w:themeFillTint="66"/>
          </w:tcPr>
          <w:p w14:paraId="6EC9C9E6" w14:textId="7403DB2C" w:rsidR="0007609D" w:rsidRPr="00892764" w:rsidRDefault="0007609D" w:rsidP="0007609D">
            <w:pPr>
              <w:spacing w:after="0" w:line="288" w:lineRule="auto"/>
              <w:jc w:val="center"/>
              <w:rPr>
                <w:rFonts w:ascii="Arial" w:hAnsi="Arial" w:cs="Arial"/>
                <w:sz w:val="18"/>
                <w:szCs w:val="18"/>
              </w:rPr>
            </w:pPr>
            <w:r w:rsidRPr="008A68F5">
              <w:rPr>
                <w:rFonts w:ascii="Arial" w:hAnsi="Arial" w:cs="Arial"/>
                <w:b/>
                <w:bCs/>
                <w:sz w:val="18"/>
                <w:szCs w:val="18"/>
              </w:rPr>
              <w:t>2</w:t>
            </w:r>
          </w:p>
        </w:tc>
        <w:tc>
          <w:tcPr>
            <w:tcW w:w="377" w:type="dxa"/>
            <w:shd w:val="clear" w:color="auto" w:fill="8DB3E2" w:themeFill="text2" w:themeFillTint="66"/>
          </w:tcPr>
          <w:p w14:paraId="4E53701C" w14:textId="52FC167A" w:rsidR="0007609D" w:rsidRPr="00892764" w:rsidRDefault="0007609D" w:rsidP="0007609D">
            <w:pPr>
              <w:spacing w:after="0" w:line="288" w:lineRule="auto"/>
              <w:jc w:val="center"/>
              <w:rPr>
                <w:rFonts w:ascii="Arial" w:hAnsi="Arial" w:cs="Arial"/>
                <w:sz w:val="18"/>
                <w:szCs w:val="18"/>
              </w:rPr>
            </w:pPr>
            <w:r w:rsidRPr="008A68F5">
              <w:rPr>
                <w:rFonts w:ascii="Arial" w:hAnsi="Arial" w:cs="Arial"/>
                <w:b/>
                <w:bCs/>
                <w:sz w:val="18"/>
                <w:szCs w:val="18"/>
              </w:rPr>
              <w:t>3</w:t>
            </w:r>
          </w:p>
        </w:tc>
        <w:tc>
          <w:tcPr>
            <w:tcW w:w="377" w:type="dxa"/>
            <w:shd w:val="clear" w:color="auto" w:fill="8DB3E2" w:themeFill="text2" w:themeFillTint="66"/>
          </w:tcPr>
          <w:p w14:paraId="3E0547FF" w14:textId="2BF72AF3" w:rsidR="0007609D" w:rsidRPr="00892764" w:rsidRDefault="0007609D" w:rsidP="0007609D">
            <w:pPr>
              <w:spacing w:after="0" w:line="288" w:lineRule="auto"/>
              <w:jc w:val="center"/>
              <w:rPr>
                <w:rFonts w:ascii="Arial" w:hAnsi="Arial" w:cs="Arial"/>
                <w:sz w:val="18"/>
                <w:szCs w:val="18"/>
              </w:rPr>
            </w:pPr>
            <w:r w:rsidRPr="008A68F5">
              <w:rPr>
                <w:rFonts w:ascii="Arial" w:hAnsi="Arial" w:cs="Arial"/>
                <w:b/>
                <w:bCs/>
                <w:sz w:val="18"/>
                <w:szCs w:val="18"/>
              </w:rPr>
              <w:t>4</w:t>
            </w:r>
          </w:p>
        </w:tc>
        <w:tc>
          <w:tcPr>
            <w:tcW w:w="1373" w:type="dxa"/>
            <w:vMerge/>
          </w:tcPr>
          <w:p w14:paraId="62699C0C" w14:textId="5DB32E54" w:rsidR="0007609D" w:rsidRPr="00892764" w:rsidRDefault="0007609D" w:rsidP="0007609D">
            <w:pPr>
              <w:spacing w:after="0" w:line="288" w:lineRule="auto"/>
              <w:jc w:val="center"/>
              <w:rPr>
                <w:rFonts w:ascii="Arial" w:hAnsi="Arial" w:cs="Arial"/>
                <w:sz w:val="18"/>
                <w:szCs w:val="18"/>
              </w:rPr>
            </w:pPr>
          </w:p>
        </w:tc>
        <w:tc>
          <w:tcPr>
            <w:tcW w:w="900" w:type="dxa"/>
            <w:vMerge/>
          </w:tcPr>
          <w:p w14:paraId="089460AA" w14:textId="77777777" w:rsidR="0007609D" w:rsidRPr="00892764" w:rsidRDefault="0007609D" w:rsidP="0007609D">
            <w:pPr>
              <w:spacing w:after="0" w:line="288" w:lineRule="auto"/>
              <w:jc w:val="center"/>
              <w:rPr>
                <w:rFonts w:ascii="Arial" w:hAnsi="Arial" w:cs="Arial"/>
                <w:sz w:val="18"/>
                <w:szCs w:val="18"/>
              </w:rPr>
            </w:pPr>
          </w:p>
        </w:tc>
        <w:tc>
          <w:tcPr>
            <w:tcW w:w="1260" w:type="dxa"/>
            <w:vMerge/>
          </w:tcPr>
          <w:p w14:paraId="3F4D073D" w14:textId="77777777" w:rsidR="0007609D" w:rsidRPr="00892764" w:rsidRDefault="0007609D" w:rsidP="0007609D">
            <w:pPr>
              <w:spacing w:after="0" w:line="288" w:lineRule="auto"/>
              <w:jc w:val="center"/>
              <w:rPr>
                <w:rFonts w:ascii="Arial" w:hAnsi="Arial" w:cs="Arial"/>
                <w:sz w:val="18"/>
                <w:szCs w:val="18"/>
              </w:rPr>
            </w:pPr>
          </w:p>
        </w:tc>
      </w:tr>
      <w:tr w:rsidR="0007609D" w:rsidRPr="00D66032" w14:paraId="2BF046B9" w14:textId="77777777" w:rsidTr="008A774C">
        <w:tc>
          <w:tcPr>
            <w:tcW w:w="2880" w:type="dxa"/>
          </w:tcPr>
          <w:p w14:paraId="01DC25BC" w14:textId="59D49048" w:rsidR="0007609D" w:rsidRPr="004E3D1E" w:rsidRDefault="0007609D" w:rsidP="0007609D">
            <w:pPr>
              <w:pStyle w:val="ListParagraph"/>
              <w:numPr>
                <w:ilvl w:val="0"/>
                <w:numId w:val="13"/>
              </w:numPr>
              <w:spacing w:after="0" w:line="288" w:lineRule="auto"/>
              <w:ind w:left="318" w:hanging="318"/>
              <w:rPr>
                <w:rFonts w:ascii="Arial" w:hAnsi="Arial" w:cs="Arial"/>
                <w:sz w:val="18"/>
                <w:szCs w:val="18"/>
                <w:lang w:val="es-ES_tradnl"/>
              </w:rPr>
            </w:pPr>
            <w:r w:rsidRPr="004E3D1E">
              <w:rPr>
                <w:rFonts w:ascii="Arial" w:hAnsi="Arial" w:cs="Arial"/>
                <w:sz w:val="18"/>
                <w:szCs w:val="18"/>
                <w:lang w:val="es-ES_tradnl"/>
              </w:rPr>
              <w:t>Evaluación antes / después (pre / p</w:t>
            </w:r>
            <w:r>
              <w:rPr>
                <w:rFonts w:ascii="Arial" w:hAnsi="Arial" w:cs="Arial"/>
                <w:sz w:val="18"/>
                <w:szCs w:val="18"/>
                <w:lang w:val="es-ES_tradnl"/>
              </w:rPr>
              <w:t>ost)</w:t>
            </w:r>
          </w:p>
        </w:tc>
        <w:tc>
          <w:tcPr>
            <w:tcW w:w="360" w:type="dxa"/>
            <w:shd w:val="clear" w:color="auto" w:fill="auto"/>
          </w:tcPr>
          <w:p w14:paraId="75A04D8C" w14:textId="77777777" w:rsidR="0007609D" w:rsidRPr="004E3D1E" w:rsidRDefault="0007609D" w:rsidP="0007609D">
            <w:pPr>
              <w:spacing w:after="0" w:line="288" w:lineRule="auto"/>
              <w:rPr>
                <w:rFonts w:ascii="Arial" w:hAnsi="Arial" w:cs="Arial"/>
                <w:sz w:val="18"/>
                <w:szCs w:val="18"/>
                <w:lang w:val="es-ES_tradnl"/>
              </w:rPr>
            </w:pPr>
          </w:p>
        </w:tc>
        <w:tc>
          <w:tcPr>
            <w:tcW w:w="360" w:type="dxa"/>
            <w:shd w:val="clear" w:color="auto" w:fill="auto"/>
          </w:tcPr>
          <w:p w14:paraId="21CBF32B" w14:textId="77777777" w:rsidR="0007609D" w:rsidRPr="004E3D1E" w:rsidRDefault="0007609D" w:rsidP="0007609D">
            <w:pPr>
              <w:spacing w:after="0" w:line="288" w:lineRule="auto"/>
              <w:rPr>
                <w:rFonts w:ascii="Arial" w:hAnsi="Arial" w:cs="Arial"/>
                <w:sz w:val="18"/>
                <w:szCs w:val="18"/>
                <w:lang w:val="es-ES_tradnl"/>
              </w:rPr>
            </w:pPr>
          </w:p>
        </w:tc>
        <w:tc>
          <w:tcPr>
            <w:tcW w:w="360" w:type="dxa"/>
            <w:shd w:val="clear" w:color="auto" w:fill="auto"/>
          </w:tcPr>
          <w:p w14:paraId="283C740A" w14:textId="77777777" w:rsidR="0007609D" w:rsidRPr="004E3D1E" w:rsidRDefault="0007609D" w:rsidP="0007609D">
            <w:pPr>
              <w:spacing w:after="0" w:line="288" w:lineRule="auto"/>
              <w:rPr>
                <w:rFonts w:ascii="Arial" w:hAnsi="Arial" w:cs="Arial"/>
                <w:sz w:val="18"/>
                <w:szCs w:val="18"/>
                <w:lang w:val="es-ES_tradnl"/>
              </w:rPr>
            </w:pPr>
          </w:p>
        </w:tc>
        <w:tc>
          <w:tcPr>
            <w:tcW w:w="360" w:type="dxa"/>
            <w:shd w:val="clear" w:color="auto" w:fill="auto"/>
          </w:tcPr>
          <w:p w14:paraId="323C7F0C" w14:textId="77777777" w:rsidR="0007609D" w:rsidRPr="004E3D1E" w:rsidRDefault="0007609D" w:rsidP="0007609D">
            <w:pPr>
              <w:spacing w:after="0" w:line="288" w:lineRule="auto"/>
              <w:rPr>
                <w:rFonts w:ascii="Arial" w:hAnsi="Arial" w:cs="Arial"/>
                <w:sz w:val="18"/>
                <w:szCs w:val="18"/>
                <w:lang w:val="es-ES_tradnl"/>
              </w:rPr>
            </w:pPr>
          </w:p>
        </w:tc>
        <w:tc>
          <w:tcPr>
            <w:tcW w:w="376" w:type="dxa"/>
          </w:tcPr>
          <w:p w14:paraId="45A19288" w14:textId="77777777" w:rsidR="0007609D" w:rsidRPr="004E3D1E" w:rsidRDefault="0007609D" w:rsidP="0007609D">
            <w:pPr>
              <w:spacing w:after="0" w:line="288" w:lineRule="auto"/>
              <w:rPr>
                <w:rFonts w:ascii="Arial" w:hAnsi="Arial" w:cs="Arial"/>
                <w:sz w:val="18"/>
                <w:szCs w:val="18"/>
                <w:lang w:val="es-ES_tradnl"/>
              </w:rPr>
            </w:pPr>
          </w:p>
        </w:tc>
        <w:tc>
          <w:tcPr>
            <w:tcW w:w="377" w:type="dxa"/>
          </w:tcPr>
          <w:p w14:paraId="627F411F" w14:textId="77777777" w:rsidR="0007609D" w:rsidRPr="004E3D1E" w:rsidRDefault="0007609D" w:rsidP="0007609D">
            <w:pPr>
              <w:spacing w:after="0" w:line="288" w:lineRule="auto"/>
              <w:rPr>
                <w:rFonts w:ascii="Arial" w:hAnsi="Arial" w:cs="Arial"/>
                <w:sz w:val="18"/>
                <w:szCs w:val="18"/>
                <w:lang w:val="es-ES_tradnl"/>
              </w:rPr>
            </w:pPr>
          </w:p>
        </w:tc>
        <w:tc>
          <w:tcPr>
            <w:tcW w:w="377" w:type="dxa"/>
          </w:tcPr>
          <w:p w14:paraId="46F23AAC" w14:textId="77777777" w:rsidR="0007609D" w:rsidRPr="004E3D1E" w:rsidRDefault="0007609D" w:rsidP="0007609D">
            <w:pPr>
              <w:spacing w:after="0" w:line="288" w:lineRule="auto"/>
              <w:rPr>
                <w:rFonts w:ascii="Arial" w:hAnsi="Arial" w:cs="Arial"/>
                <w:sz w:val="18"/>
                <w:szCs w:val="18"/>
                <w:lang w:val="es-ES_tradnl"/>
              </w:rPr>
            </w:pPr>
          </w:p>
        </w:tc>
        <w:tc>
          <w:tcPr>
            <w:tcW w:w="377" w:type="dxa"/>
          </w:tcPr>
          <w:p w14:paraId="75F6B869" w14:textId="452F60CE" w:rsidR="0007609D" w:rsidRPr="004E3D1E" w:rsidRDefault="0007609D" w:rsidP="0007609D">
            <w:pPr>
              <w:spacing w:after="0" w:line="288" w:lineRule="auto"/>
              <w:rPr>
                <w:rFonts w:ascii="Arial" w:hAnsi="Arial" w:cs="Arial"/>
                <w:sz w:val="18"/>
                <w:szCs w:val="18"/>
                <w:lang w:val="es-ES_tradnl"/>
              </w:rPr>
            </w:pPr>
          </w:p>
        </w:tc>
        <w:tc>
          <w:tcPr>
            <w:tcW w:w="1373" w:type="dxa"/>
          </w:tcPr>
          <w:p w14:paraId="50295104" w14:textId="3C17BE92" w:rsidR="0007609D" w:rsidRPr="004E3D1E" w:rsidRDefault="0007609D" w:rsidP="0007609D">
            <w:pPr>
              <w:spacing w:after="0" w:line="288" w:lineRule="auto"/>
              <w:rPr>
                <w:rFonts w:ascii="Arial" w:hAnsi="Arial" w:cs="Arial"/>
                <w:sz w:val="18"/>
                <w:szCs w:val="18"/>
                <w:lang w:val="es-ES_tradnl"/>
              </w:rPr>
            </w:pPr>
          </w:p>
        </w:tc>
        <w:tc>
          <w:tcPr>
            <w:tcW w:w="900" w:type="dxa"/>
          </w:tcPr>
          <w:p w14:paraId="5C15ECA7" w14:textId="77777777" w:rsidR="0007609D" w:rsidRPr="004E3D1E" w:rsidRDefault="0007609D" w:rsidP="0007609D">
            <w:pPr>
              <w:spacing w:after="0" w:line="288" w:lineRule="auto"/>
              <w:jc w:val="right"/>
              <w:rPr>
                <w:rFonts w:ascii="Arial" w:hAnsi="Arial" w:cs="Arial"/>
                <w:sz w:val="18"/>
                <w:szCs w:val="18"/>
                <w:lang w:val="es-ES_tradnl"/>
              </w:rPr>
            </w:pPr>
          </w:p>
        </w:tc>
        <w:tc>
          <w:tcPr>
            <w:tcW w:w="1260" w:type="dxa"/>
          </w:tcPr>
          <w:p w14:paraId="5024B994" w14:textId="77777777" w:rsidR="0007609D" w:rsidRPr="004E3D1E" w:rsidRDefault="0007609D" w:rsidP="0007609D">
            <w:pPr>
              <w:spacing w:after="0" w:line="288" w:lineRule="auto"/>
              <w:rPr>
                <w:rFonts w:ascii="Arial" w:hAnsi="Arial" w:cs="Arial"/>
                <w:sz w:val="18"/>
                <w:szCs w:val="18"/>
                <w:lang w:val="es-ES_tradnl"/>
              </w:rPr>
            </w:pPr>
          </w:p>
        </w:tc>
      </w:tr>
      <w:tr w:rsidR="008A774C" w:rsidRPr="00D66032" w14:paraId="543D264B" w14:textId="77777777" w:rsidTr="008A774C">
        <w:tc>
          <w:tcPr>
            <w:tcW w:w="2880" w:type="dxa"/>
          </w:tcPr>
          <w:p w14:paraId="3BD5E686" w14:textId="2F30961C" w:rsidR="008A774C" w:rsidRPr="00892764" w:rsidRDefault="008A774C" w:rsidP="0007609D">
            <w:pPr>
              <w:spacing w:after="0" w:line="288" w:lineRule="auto"/>
              <w:ind w:left="720"/>
              <w:rPr>
                <w:rFonts w:ascii="Arial" w:hAnsi="Arial" w:cs="Arial"/>
                <w:sz w:val="18"/>
                <w:szCs w:val="18"/>
              </w:rPr>
            </w:pPr>
            <w:r>
              <w:rPr>
                <w:rFonts w:ascii="Arial" w:hAnsi="Arial" w:cs="Arial"/>
                <w:sz w:val="18"/>
                <w:szCs w:val="18"/>
              </w:rPr>
              <w:t>Recopilación de datos</w:t>
            </w:r>
          </w:p>
        </w:tc>
        <w:tc>
          <w:tcPr>
            <w:tcW w:w="360" w:type="dxa"/>
            <w:shd w:val="clear" w:color="auto" w:fill="auto"/>
          </w:tcPr>
          <w:p w14:paraId="17F968D1" w14:textId="2DD88D20" w:rsidR="008A774C" w:rsidRPr="00892764" w:rsidRDefault="008A774C" w:rsidP="0007609D">
            <w:pPr>
              <w:spacing w:after="0" w:line="288" w:lineRule="auto"/>
              <w:rPr>
                <w:rFonts w:ascii="Arial" w:hAnsi="Arial" w:cs="Arial"/>
                <w:sz w:val="18"/>
                <w:szCs w:val="18"/>
              </w:rPr>
            </w:pPr>
            <w:r>
              <w:rPr>
                <w:rFonts w:ascii="Arial" w:hAnsi="Arial" w:cs="Arial"/>
                <w:sz w:val="18"/>
                <w:szCs w:val="18"/>
              </w:rPr>
              <w:t>x</w:t>
            </w:r>
          </w:p>
        </w:tc>
        <w:tc>
          <w:tcPr>
            <w:tcW w:w="360" w:type="dxa"/>
            <w:shd w:val="clear" w:color="auto" w:fill="auto"/>
          </w:tcPr>
          <w:p w14:paraId="5636CE00" w14:textId="3DA08259" w:rsidR="008A774C" w:rsidRPr="00892764" w:rsidRDefault="008A774C" w:rsidP="0007609D">
            <w:pPr>
              <w:spacing w:after="0" w:line="288" w:lineRule="auto"/>
              <w:rPr>
                <w:rFonts w:ascii="Arial" w:hAnsi="Arial" w:cs="Arial"/>
                <w:sz w:val="18"/>
                <w:szCs w:val="18"/>
              </w:rPr>
            </w:pPr>
            <w:r>
              <w:rPr>
                <w:rFonts w:ascii="Arial" w:hAnsi="Arial" w:cs="Arial"/>
                <w:sz w:val="18"/>
                <w:szCs w:val="18"/>
              </w:rPr>
              <w:t>x</w:t>
            </w:r>
          </w:p>
        </w:tc>
        <w:tc>
          <w:tcPr>
            <w:tcW w:w="360" w:type="dxa"/>
            <w:shd w:val="clear" w:color="auto" w:fill="auto"/>
          </w:tcPr>
          <w:p w14:paraId="0F89B90F" w14:textId="67AAD578" w:rsidR="008A774C" w:rsidRPr="00892764" w:rsidRDefault="008A774C" w:rsidP="0007609D">
            <w:pPr>
              <w:spacing w:after="0" w:line="288" w:lineRule="auto"/>
              <w:rPr>
                <w:rFonts w:ascii="Arial" w:hAnsi="Arial" w:cs="Arial"/>
                <w:sz w:val="18"/>
                <w:szCs w:val="18"/>
              </w:rPr>
            </w:pPr>
            <w:r>
              <w:rPr>
                <w:rFonts w:ascii="Arial" w:hAnsi="Arial" w:cs="Arial"/>
                <w:sz w:val="18"/>
                <w:szCs w:val="18"/>
              </w:rPr>
              <w:t>x</w:t>
            </w:r>
          </w:p>
        </w:tc>
        <w:tc>
          <w:tcPr>
            <w:tcW w:w="360" w:type="dxa"/>
            <w:shd w:val="clear" w:color="auto" w:fill="auto"/>
          </w:tcPr>
          <w:p w14:paraId="318D2CDF" w14:textId="4C3D5F92" w:rsidR="008A774C" w:rsidRPr="00892764" w:rsidRDefault="008A774C" w:rsidP="0007609D">
            <w:pPr>
              <w:spacing w:after="0" w:line="288" w:lineRule="auto"/>
              <w:rPr>
                <w:rFonts w:ascii="Arial" w:hAnsi="Arial" w:cs="Arial"/>
                <w:sz w:val="18"/>
                <w:szCs w:val="18"/>
              </w:rPr>
            </w:pPr>
            <w:r>
              <w:rPr>
                <w:rFonts w:ascii="Arial" w:hAnsi="Arial" w:cs="Arial"/>
                <w:sz w:val="18"/>
                <w:szCs w:val="18"/>
              </w:rPr>
              <w:t>x</w:t>
            </w:r>
          </w:p>
        </w:tc>
        <w:tc>
          <w:tcPr>
            <w:tcW w:w="376" w:type="dxa"/>
          </w:tcPr>
          <w:p w14:paraId="50333612" w14:textId="3FF6E512" w:rsidR="008A774C" w:rsidRDefault="008A774C" w:rsidP="0007609D">
            <w:pPr>
              <w:spacing w:after="0" w:line="288" w:lineRule="auto"/>
              <w:jc w:val="center"/>
              <w:rPr>
                <w:rFonts w:ascii="Arial" w:hAnsi="Arial" w:cs="Arial"/>
                <w:sz w:val="18"/>
                <w:szCs w:val="18"/>
              </w:rPr>
            </w:pPr>
            <w:r>
              <w:rPr>
                <w:rFonts w:ascii="Arial" w:hAnsi="Arial" w:cs="Arial"/>
                <w:sz w:val="18"/>
                <w:szCs w:val="18"/>
              </w:rPr>
              <w:t>x</w:t>
            </w:r>
          </w:p>
        </w:tc>
        <w:tc>
          <w:tcPr>
            <w:tcW w:w="377" w:type="dxa"/>
          </w:tcPr>
          <w:p w14:paraId="57AE2D00" w14:textId="7DBEB07D" w:rsidR="008A774C" w:rsidRDefault="008A774C" w:rsidP="0007609D">
            <w:pPr>
              <w:spacing w:after="0" w:line="288" w:lineRule="auto"/>
              <w:jc w:val="center"/>
              <w:rPr>
                <w:rFonts w:ascii="Arial" w:hAnsi="Arial" w:cs="Arial"/>
                <w:sz w:val="18"/>
                <w:szCs w:val="18"/>
              </w:rPr>
            </w:pPr>
            <w:r>
              <w:rPr>
                <w:rFonts w:ascii="Arial" w:hAnsi="Arial" w:cs="Arial"/>
                <w:sz w:val="18"/>
                <w:szCs w:val="18"/>
              </w:rPr>
              <w:t>x</w:t>
            </w:r>
          </w:p>
        </w:tc>
        <w:tc>
          <w:tcPr>
            <w:tcW w:w="377" w:type="dxa"/>
          </w:tcPr>
          <w:p w14:paraId="50013862" w14:textId="17859A28" w:rsidR="008A774C" w:rsidRDefault="008A774C" w:rsidP="0007609D">
            <w:pPr>
              <w:spacing w:after="0" w:line="288" w:lineRule="auto"/>
              <w:jc w:val="center"/>
              <w:rPr>
                <w:rFonts w:ascii="Arial" w:hAnsi="Arial" w:cs="Arial"/>
                <w:sz w:val="18"/>
                <w:szCs w:val="18"/>
              </w:rPr>
            </w:pPr>
            <w:r>
              <w:rPr>
                <w:rFonts w:ascii="Arial" w:hAnsi="Arial" w:cs="Arial"/>
                <w:sz w:val="18"/>
                <w:szCs w:val="18"/>
              </w:rPr>
              <w:t>x</w:t>
            </w:r>
          </w:p>
        </w:tc>
        <w:tc>
          <w:tcPr>
            <w:tcW w:w="377" w:type="dxa"/>
          </w:tcPr>
          <w:p w14:paraId="5C49A695" w14:textId="09EF1CBE" w:rsidR="008A774C" w:rsidRDefault="008A774C" w:rsidP="0007609D">
            <w:pPr>
              <w:spacing w:after="0" w:line="288" w:lineRule="auto"/>
              <w:jc w:val="center"/>
              <w:rPr>
                <w:rFonts w:ascii="Arial" w:hAnsi="Arial" w:cs="Arial"/>
                <w:sz w:val="18"/>
                <w:szCs w:val="18"/>
              </w:rPr>
            </w:pPr>
            <w:r>
              <w:rPr>
                <w:rFonts w:ascii="Arial" w:hAnsi="Arial" w:cs="Arial"/>
                <w:sz w:val="18"/>
                <w:szCs w:val="18"/>
              </w:rPr>
              <w:t>x</w:t>
            </w:r>
          </w:p>
        </w:tc>
        <w:tc>
          <w:tcPr>
            <w:tcW w:w="1373" w:type="dxa"/>
          </w:tcPr>
          <w:p w14:paraId="62FA1A25" w14:textId="7B7540F3" w:rsidR="008A774C" w:rsidRPr="00892764" w:rsidRDefault="008A774C" w:rsidP="0007609D">
            <w:pPr>
              <w:spacing w:after="0" w:line="288" w:lineRule="auto"/>
              <w:jc w:val="center"/>
              <w:rPr>
                <w:rFonts w:ascii="Arial" w:hAnsi="Arial" w:cs="Arial"/>
                <w:sz w:val="18"/>
                <w:szCs w:val="18"/>
              </w:rPr>
            </w:pPr>
            <w:r>
              <w:rPr>
                <w:rFonts w:ascii="Arial" w:hAnsi="Arial" w:cs="Arial"/>
                <w:sz w:val="18"/>
                <w:szCs w:val="18"/>
              </w:rPr>
              <w:t>OE</w:t>
            </w:r>
          </w:p>
        </w:tc>
        <w:tc>
          <w:tcPr>
            <w:tcW w:w="900" w:type="dxa"/>
          </w:tcPr>
          <w:p w14:paraId="2FC9D75B" w14:textId="0840ED41" w:rsidR="008A774C" w:rsidRPr="00892764" w:rsidRDefault="008A774C" w:rsidP="0007609D">
            <w:pPr>
              <w:spacing w:after="0" w:line="288" w:lineRule="auto"/>
              <w:jc w:val="right"/>
              <w:rPr>
                <w:rFonts w:ascii="Arial" w:hAnsi="Arial" w:cs="Arial"/>
                <w:sz w:val="18"/>
                <w:szCs w:val="18"/>
              </w:rPr>
            </w:pPr>
            <w:r>
              <w:rPr>
                <w:rFonts w:ascii="Arial" w:hAnsi="Arial" w:cs="Arial"/>
                <w:sz w:val="18"/>
                <w:szCs w:val="18"/>
              </w:rPr>
              <w:t>2,500</w:t>
            </w:r>
          </w:p>
        </w:tc>
        <w:tc>
          <w:tcPr>
            <w:tcW w:w="1260" w:type="dxa"/>
            <w:vMerge w:val="restart"/>
          </w:tcPr>
          <w:p w14:paraId="12274A1B" w14:textId="08A8A4A1" w:rsidR="008A774C" w:rsidRPr="0060033F" w:rsidRDefault="008A774C" w:rsidP="008A774C">
            <w:pPr>
              <w:spacing w:after="0" w:line="288" w:lineRule="auto"/>
              <w:ind w:right="-15"/>
              <w:rPr>
                <w:rFonts w:ascii="Arial" w:hAnsi="Arial" w:cs="Arial"/>
                <w:sz w:val="18"/>
                <w:szCs w:val="18"/>
                <w:lang w:val="es-ES_tradnl"/>
              </w:rPr>
            </w:pPr>
            <w:r w:rsidRPr="0060033F">
              <w:rPr>
                <w:rFonts w:ascii="Arial" w:hAnsi="Arial" w:cs="Arial"/>
                <w:sz w:val="18"/>
                <w:szCs w:val="18"/>
                <w:lang w:val="es-ES_tradnl"/>
              </w:rPr>
              <w:t>Fondos de administra</w:t>
            </w:r>
            <w:r>
              <w:rPr>
                <w:rFonts w:ascii="Arial" w:hAnsi="Arial" w:cs="Arial"/>
                <w:sz w:val="18"/>
                <w:szCs w:val="18"/>
                <w:lang w:val="es-ES_tradnl"/>
              </w:rPr>
              <w:t>-</w:t>
            </w:r>
            <w:r w:rsidRPr="0060033F">
              <w:rPr>
                <w:rFonts w:ascii="Arial" w:hAnsi="Arial" w:cs="Arial"/>
                <w:sz w:val="18"/>
                <w:szCs w:val="18"/>
                <w:lang w:val="es-ES_tradnl"/>
              </w:rPr>
              <w:t>ción y s</w:t>
            </w:r>
            <w:r>
              <w:rPr>
                <w:rFonts w:ascii="Arial" w:hAnsi="Arial" w:cs="Arial"/>
                <w:sz w:val="18"/>
                <w:szCs w:val="18"/>
                <w:lang w:val="es-ES_tradnl"/>
              </w:rPr>
              <w:t>upervisión</w:t>
            </w:r>
          </w:p>
          <w:p w14:paraId="6D5796B2" w14:textId="45C3E8D5" w:rsidR="008A774C" w:rsidRPr="0060033F" w:rsidRDefault="008A774C" w:rsidP="008A774C">
            <w:pPr>
              <w:spacing w:after="0" w:line="288" w:lineRule="auto"/>
              <w:ind w:right="-15"/>
              <w:rPr>
                <w:rFonts w:ascii="Arial" w:hAnsi="Arial" w:cs="Arial"/>
                <w:sz w:val="18"/>
                <w:szCs w:val="18"/>
                <w:lang w:val="es-ES_tradnl"/>
              </w:rPr>
            </w:pPr>
          </w:p>
        </w:tc>
      </w:tr>
      <w:tr w:rsidR="008A774C" w:rsidRPr="00892764" w14:paraId="527E69EE" w14:textId="77777777" w:rsidTr="008A774C">
        <w:tc>
          <w:tcPr>
            <w:tcW w:w="2880" w:type="dxa"/>
          </w:tcPr>
          <w:p w14:paraId="48F3005C" w14:textId="538186D8" w:rsidR="008A774C" w:rsidRPr="00892764" w:rsidRDefault="008A774C" w:rsidP="0007609D">
            <w:pPr>
              <w:spacing w:after="0" w:line="288" w:lineRule="auto"/>
              <w:ind w:left="720"/>
              <w:rPr>
                <w:rFonts w:ascii="Arial" w:hAnsi="Arial" w:cs="Arial"/>
                <w:sz w:val="18"/>
                <w:szCs w:val="18"/>
              </w:rPr>
            </w:pPr>
            <w:r>
              <w:rPr>
                <w:rFonts w:ascii="Arial" w:hAnsi="Arial" w:cs="Arial"/>
                <w:sz w:val="18"/>
                <w:szCs w:val="18"/>
              </w:rPr>
              <w:t>Análisis de datos</w:t>
            </w:r>
          </w:p>
        </w:tc>
        <w:tc>
          <w:tcPr>
            <w:tcW w:w="360" w:type="dxa"/>
            <w:shd w:val="clear" w:color="auto" w:fill="auto"/>
          </w:tcPr>
          <w:p w14:paraId="2D619F97" w14:textId="77777777" w:rsidR="008A774C" w:rsidRPr="00892764" w:rsidRDefault="008A774C" w:rsidP="0007609D">
            <w:pPr>
              <w:spacing w:after="0" w:line="288" w:lineRule="auto"/>
              <w:rPr>
                <w:rFonts w:ascii="Arial" w:hAnsi="Arial" w:cs="Arial"/>
                <w:sz w:val="18"/>
                <w:szCs w:val="18"/>
              </w:rPr>
            </w:pPr>
          </w:p>
        </w:tc>
        <w:tc>
          <w:tcPr>
            <w:tcW w:w="360" w:type="dxa"/>
            <w:shd w:val="clear" w:color="auto" w:fill="auto"/>
          </w:tcPr>
          <w:p w14:paraId="1534395A" w14:textId="77777777" w:rsidR="008A774C" w:rsidRPr="00892764" w:rsidRDefault="008A774C" w:rsidP="0007609D">
            <w:pPr>
              <w:spacing w:after="0" w:line="288" w:lineRule="auto"/>
              <w:rPr>
                <w:rFonts w:ascii="Arial" w:hAnsi="Arial" w:cs="Arial"/>
                <w:sz w:val="18"/>
                <w:szCs w:val="18"/>
              </w:rPr>
            </w:pPr>
          </w:p>
        </w:tc>
        <w:tc>
          <w:tcPr>
            <w:tcW w:w="360" w:type="dxa"/>
            <w:shd w:val="clear" w:color="auto" w:fill="auto"/>
          </w:tcPr>
          <w:p w14:paraId="0F88EED7" w14:textId="75AE3CB3" w:rsidR="008A774C" w:rsidRPr="00892764" w:rsidRDefault="008A774C" w:rsidP="0007609D">
            <w:pPr>
              <w:spacing w:after="0" w:line="288" w:lineRule="auto"/>
              <w:rPr>
                <w:rFonts w:ascii="Arial" w:hAnsi="Arial" w:cs="Arial"/>
                <w:sz w:val="18"/>
                <w:szCs w:val="18"/>
              </w:rPr>
            </w:pPr>
            <w:r>
              <w:rPr>
                <w:rFonts w:ascii="Arial" w:hAnsi="Arial" w:cs="Arial"/>
                <w:sz w:val="18"/>
                <w:szCs w:val="18"/>
              </w:rPr>
              <w:t>x</w:t>
            </w:r>
          </w:p>
        </w:tc>
        <w:tc>
          <w:tcPr>
            <w:tcW w:w="360" w:type="dxa"/>
            <w:shd w:val="clear" w:color="auto" w:fill="auto"/>
          </w:tcPr>
          <w:p w14:paraId="133F69FA" w14:textId="0FFC2C2E" w:rsidR="008A774C" w:rsidRPr="00892764" w:rsidRDefault="008A774C" w:rsidP="0007609D">
            <w:pPr>
              <w:spacing w:after="0" w:line="288" w:lineRule="auto"/>
              <w:rPr>
                <w:rFonts w:ascii="Arial" w:hAnsi="Arial" w:cs="Arial"/>
                <w:sz w:val="18"/>
                <w:szCs w:val="18"/>
              </w:rPr>
            </w:pPr>
            <w:r>
              <w:rPr>
                <w:rFonts w:ascii="Arial" w:hAnsi="Arial" w:cs="Arial"/>
                <w:sz w:val="18"/>
                <w:szCs w:val="18"/>
              </w:rPr>
              <w:t>x</w:t>
            </w:r>
          </w:p>
        </w:tc>
        <w:tc>
          <w:tcPr>
            <w:tcW w:w="376" w:type="dxa"/>
          </w:tcPr>
          <w:p w14:paraId="724C344E" w14:textId="77777777" w:rsidR="008A774C" w:rsidRDefault="008A774C" w:rsidP="0007609D">
            <w:pPr>
              <w:spacing w:after="0" w:line="288" w:lineRule="auto"/>
              <w:jc w:val="center"/>
              <w:rPr>
                <w:rFonts w:ascii="Arial" w:hAnsi="Arial" w:cs="Arial"/>
                <w:sz w:val="18"/>
                <w:szCs w:val="18"/>
              </w:rPr>
            </w:pPr>
          </w:p>
        </w:tc>
        <w:tc>
          <w:tcPr>
            <w:tcW w:w="377" w:type="dxa"/>
          </w:tcPr>
          <w:p w14:paraId="707F7FA1" w14:textId="77777777" w:rsidR="008A774C" w:rsidRDefault="008A774C" w:rsidP="0007609D">
            <w:pPr>
              <w:spacing w:after="0" w:line="288" w:lineRule="auto"/>
              <w:jc w:val="center"/>
              <w:rPr>
                <w:rFonts w:ascii="Arial" w:hAnsi="Arial" w:cs="Arial"/>
                <w:sz w:val="18"/>
                <w:szCs w:val="18"/>
              </w:rPr>
            </w:pPr>
          </w:p>
        </w:tc>
        <w:tc>
          <w:tcPr>
            <w:tcW w:w="377" w:type="dxa"/>
          </w:tcPr>
          <w:p w14:paraId="665047E2" w14:textId="0902B5E4" w:rsidR="008A774C" w:rsidRDefault="008A774C" w:rsidP="0007609D">
            <w:pPr>
              <w:spacing w:after="0" w:line="288" w:lineRule="auto"/>
              <w:jc w:val="center"/>
              <w:rPr>
                <w:rFonts w:ascii="Arial" w:hAnsi="Arial" w:cs="Arial"/>
                <w:sz w:val="18"/>
                <w:szCs w:val="18"/>
              </w:rPr>
            </w:pPr>
            <w:r>
              <w:rPr>
                <w:rFonts w:ascii="Arial" w:hAnsi="Arial" w:cs="Arial"/>
                <w:sz w:val="18"/>
                <w:szCs w:val="18"/>
              </w:rPr>
              <w:t>x</w:t>
            </w:r>
          </w:p>
        </w:tc>
        <w:tc>
          <w:tcPr>
            <w:tcW w:w="377" w:type="dxa"/>
          </w:tcPr>
          <w:p w14:paraId="5B908B21" w14:textId="4CDEE5AF" w:rsidR="008A774C" w:rsidRDefault="008A774C" w:rsidP="0007609D">
            <w:pPr>
              <w:spacing w:after="0" w:line="288" w:lineRule="auto"/>
              <w:jc w:val="center"/>
              <w:rPr>
                <w:rFonts w:ascii="Arial" w:hAnsi="Arial" w:cs="Arial"/>
                <w:sz w:val="18"/>
                <w:szCs w:val="18"/>
              </w:rPr>
            </w:pPr>
            <w:r>
              <w:rPr>
                <w:rFonts w:ascii="Arial" w:hAnsi="Arial" w:cs="Arial"/>
                <w:sz w:val="18"/>
                <w:szCs w:val="18"/>
              </w:rPr>
              <w:t>x</w:t>
            </w:r>
          </w:p>
        </w:tc>
        <w:tc>
          <w:tcPr>
            <w:tcW w:w="1373" w:type="dxa"/>
          </w:tcPr>
          <w:p w14:paraId="46F4241A" w14:textId="3AF4C75A" w:rsidR="008A774C" w:rsidRPr="00892764" w:rsidRDefault="008A774C" w:rsidP="0007609D">
            <w:pPr>
              <w:spacing w:after="0" w:line="288" w:lineRule="auto"/>
              <w:jc w:val="center"/>
              <w:rPr>
                <w:rFonts w:ascii="Arial" w:hAnsi="Arial" w:cs="Arial"/>
                <w:sz w:val="18"/>
                <w:szCs w:val="18"/>
              </w:rPr>
            </w:pPr>
            <w:r>
              <w:rPr>
                <w:rFonts w:ascii="Arial" w:hAnsi="Arial" w:cs="Arial"/>
                <w:sz w:val="18"/>
                <w:szCs w:val="18"/>
              </w:rPr>
              <w:t>OE, BID</w:t>
            </w:r>
          </w:p>
        </w:tc>
        <w:tc>
          <w:tcPr>
            <w:tcW w:w="900" w:type="dxa"/>
          </w:tcPr>
          <w:p w14:paraId="1F19DFCD" w14:textId="71B6B2F8" w:rsidR="008A774C" w:rsidRPr="00892764" w:rsidRDefault="008A774C" w:rsidP="0007609D">
            <w:pPr>
              <w:spacing w:after="0" w:line="288" w:lineRule="auto"/>
              <w:jc w:val="right"/>
              <w:rPr>
                <w:rFonts w:ascii="Arial" w:hAnsi="Arial" w:cs="Arial"/>
                <w:sz w:val="18"/>
                <w:szCs w:val="18"/>
              </w:rPr>
            </w:pPr>
            <w:r>
              <w:rPr>
                <w:rFonts w:ascii="Arial" w:hAnsi="Arial" w:cs="Arial"/>
                <w:sz w:val="18"/>
                <w:szCs w:val="18"/>
              </w:rPr>
              <w:t>2,500</w:t>
            </w:r>
          </w:p>
        </w:tc>
        <w:tc>
          <w:tcPr>
            <w:tcW w:w="1260" w:type="dxa"/>
            <w:vMerge/>
          </w:tcPr>
          <w:p w14:paraId="3EAB7398" w14:textId="13EA8448" w:rsidR="008A774C" w:rsidRPr="00892764" w:rsidRDefault="008A774C" w:rsidP="0007609D">
            <w:pPr>
              <w:spacing w:after="0" w:line="288" w:lineRule="auto"/>
              <w:jc w:val="center"/>
              <w:rPr>
                <w:rFonts w:ascii="Arial" w:hAnsi="Arial" w:cs="Arial"/>
                <w:sz w:val="18"/>
                <w:szCs w:val="18"/>
              </w:rPr>
            </w:pPr>
          </w:p>
        </w:tc>
      </w:tr>
      <w:tr w:rsidR="008A774C" w:rsidRPr="00892764" w14:paraId="5B037F03" w14:textId="77777777" w:rsidTr="008A774C">
        <w:tc>
          <w:tcPr>
            <w:tcW w:w="2880" w:type="dxa"/>
          </w:tcPr>
          <w:p w14:paraId="56B2B5E3" w14:textId="1502C3F2" w:rsidR="008A774C" w:rsidRPr="00892764" w:rsidRDefault="008A774C" w:rsidP="0007609D">
            <w:pPr>
              <w:spacing w:after="0" w:line="288" w:lineRule="auto"/>
              <w:ind w:left="720"/>
              <w:rPr>
                <w:rFonts w:ascii="Arial" w:hAnsi="Arial" w:cs="Arial"/>
                <w:sz w:val="18"/>
                <w:szCs w:val="18"/>
              </w:rPr>
            </w:pPr>
            <w:r>
              <w:rPr>
                <w:rFonts w:ascii="Arial" w:hAnsi="Arial" w:cs="Arial"/>
                <w:sz w:val="18"/>
                <w:szCs w:val="18"/>
              </w:rPr>
              <w:t>Preparación del informe final</w:t>
            </w:r>
          </w:p>
        </w:tc>
        <w:tc>
          <w:tcPr>
            <w:tcW w:w="360" w:type="dxa"/>
            <w:shd w:val="clear" w:color="auto" w:fill="auto"/>
          </w:tcPr>
          <w:p w14:paraId="20F8AAEC" w14:textId="77777777" w:rsidR="008A774C" w:rsidRPr="00892764" w:rsidRDefault="008A774C" w:rsidP="0007609D">
            <w:pPr>
              <w:spacing w:after="0" w:line="288" w:lineRule="auto"/>
              <w:rPr>
                <w:rFonts w:ascii="Arial" w:hAnsi="Arial" w:cs="Arial"/>
                <w:sz w:val="18"/>
                <w:szCs w:val="18"/>
              </w:rPr>
            </w:pPr>
          </w:p>
        </w:tc>
        <w:tc>
          <w:tcPr>
            <w:tcW w:w="360" w:type="dxa"/>
            <w:shd w:val="clear" w:color="auto" w:fill="auto"/>
          </w:tcPr>
          <w:p w14:paraId="7EC1D0F5" w14:textId="77777777" w:rsidR="008A774C" w:rsidRPr="00892764" w:rsidRDefault="008A774C" w:rsidP="0007609D">
            <w:pPr>
              <w:spacing w:after="0" w:line="288" w:lineRule="auto"/>
              <w:rPr>
                <w:rFonts w:ascii="Arial" w:hAnsi="Arial" w:cs="Arial"/>
                <w:sz w:val="18"/>
                <w:szCs w:val="18"/>
              </w:rPr>
            </w:pPr>
          </w:p>
        </w:tc>
        <w:tc>
          <w:tcPr>
            <w:tcW w:w="360" w:type="dxa"/>
            <w:shd w:val="clear" w:color="auto" w:fill="auto"/>
          </w:tcPr>
          <w:p w14:paraId="6C7A542B" w14:textId="77777777" w:rsidR="008A774C" w:rsidRPr="00892764" w:rsidRDefault="008A774C" w:rsidP="0007609D">
            <w:pPr>
              <w:spacing w:after="0" w:line="288" w:lineRule="auto"/>
              <w:rPr>
                <w:rFonts w:ascii="Arial" w:hAnsi="Arial" w:cs="Arial"/>
                <w:sz w:val="18"/>
                <w:szCs w:val="18"/>
              </w:rPr>
            </w:pPr>
          </w:p>
        </w:tc>
        <w:tc>
          <w:tcPr>
            <w:tcW w:w="360" w:type="dxa"/>
            <w:shd w:val="clear" w:color="auto" w:fill="auto"/>
          </w:tcPr>
          <w:p w14:paraId="2BFBD78E" w14:textId="797D5B0C" w:rsidR="008A774C" w:rsidRPr="00892764" w:rsidRDefault="008A774C" w:rsidP="0007609D">
            <w:pPr>
              <w:spacing w:after="0" w:line="288" w:lineRule="auto"/>
              <w:rPr>
                <w:rFonts w:ascii="Arial" w:hAnsi="Arial" w:cs="Arial"/>
                <w:sz w:val="18"/>
                <w:szCs w:val="18"/>
              </w:rPr>
            </w:pPr>
          </w:p>
        </w:tc>
        <w:tc>
          <w:tcPr>
            <w:tcW w:w="376" w:type="dxa"/>
          </w:tcPr>
          <w:p w14:paraId="2311D4BD" w14:textId="77777777" w:rsidR="008A774C" w:rsidRDefault="008A774C" w:rsidP="0007609D">
            <w:pPr>
              <w:spacing w:after="0" w:line="288" w:lineRule="auto"/>
              <w:jc w:val="center"/>
              <w:rPr>
                <w:rFonts w:ascii="Arial" w:hAnsi="Arial" w:cs="Arial"/>
                <w:sz w:val="18"/>
                <w:szCs w:val="18"/>
              </w:rPr>
            </w:pPr>
          </w:p>
        </w:tc>
        <w:tc>
          <w:tcPr>
            <w:tcW w:w="377" w:type="dxa"/>
          </w:tcPr>
          <w:p w14:paraId="7E1B2628" w14:textId="77777777" w:rsidR="008A774C" w:rsidRDefault="008A774C" w:rsidP="0007609D">
            <w:pPr>
              <w:spacing w:after="0" w:line="288" w:lineRule="auto"/>
              <w:jc w:val="center"/>
              <w:rPr>
                <w:rFonts w:ascii="Arial" w:hAnsi="Arial" w:cs="Arial"/>
                <w:sz w:val="18"/>
                <w:szCs w:val="18"/>
              </w:rPr>
            </w:pPr>
          </w:p>
        </w:tc>
        <w:tc>
          <w:tcPr>
            <w:tcW w:w="377" w:type="dxa"/>
          </w:tcPr>
          <w:p w14:paraId="7293C204" w14:textId="77777777" w:rsidR="008A774C" w:rsidRDefault="008A774C" w:rsidP="0007609D">
            <w:pPr>
              <w:spacing w:after="0" w:line="288" w:lineRule="auto"/>
              <w:jc w:val="center"/>
              <w:rPr>
                <w:rFonts w:ascii="Arial" w:hAnsi="Arial" w:cs="Arial"/>
                <w:sz w:val="18"/>
                <w:szCs w:val="18"/>
              </w:rPr>
            </w:pPr>
          </w:p>
        </w:tc>
        <w:tc>
          <w:tcPr>
            <w:tcW w:w="377" w:type="dxa"/>
          </w:tcPr>
          <w:p w14:paraId="222AC338" w14:textId="23BBD37D" w:rsidR="008A774C" w:rsidRDefault="008A774C" w:rsidP="0007609D">
            <w:pPr>
              <w:spacing w:after="0" w:line="288" w:lineRule="auto"/>
              <w:jc w:val="center"/>
              <w:rPr>
                <w:rFonts w:ascii="Arial" w:hAnsi="Arial" w:cs="Arial"/>
                <w:sz w:val="18"/>
                <w:szCs w:val="18"/>
              </w:rPr>
            </w:pPr>
            <w:r>
              <w:rPr>
                <w:rFonts w:ascii="Arial" w:hAnsi="Arial" w:cs="Arial"/>
                <w:sz w:val="18"/>
                <w:szCs w:val="18"/>
              </w:rPr>
              <w:t>x</w:t>
            </w:r>
          </w:p>
        </w:tc>
        <w:tc>
          <w:tcPr>
            <w:tcW w:w="1373" w:type="dxa"/>
          </w:tcPr>
          <w:p w14:paraId="23135AE5" w14:textId="53FCBEA6" w:rsidR="008A774C" w:rsidRPr="00892764" w:rsidRDefault="008A774C" w:rsidP="0007609D">
            <w:pPr>
              <w:spacing w:after="0" w:line="288" w:lineRule="auto"/>
              <w:jc w:val="center"/>
              <w:rPr>
                <w:rFonts w:ascii="Arial" w:hAnsi="Arial" w:cs="Arial"/>
                <w:sz w:val="18"/>
                <w:szCs w:val="18"/>
              </w:rPr>
            </w:pPr>
            <w:r>
              <w:rPr>
                <w:rFonts w:ascii="Arial" w:hAnsi="Arial" w:cs="Arial"/>
                <w:sz w:val="18"/>
                <w:szCs w:val="18"/>
              </w:rPr>
              <w:t>OE, BID</w:t>
            </w:r>
          </w:p>
        </w:tc>
        <w:tc>
          <w:tcPr>
            <w:tcW w:w="900" w:type="dxa"/>
          </w:tcPr>
          <w:p w14:paraId="3892D6F6" w14:textId="2932AC4B" w:rsidR="008A774C" w:rsidRPr="00892764" w:rsidRDefault="008A774C" w:rsidP="0007609D">
            <w:pPr>
              <w:spacing w:after="0" w:line="288" w:lineRule="auto"/>
              <w:jc w:val="right"/>
              <w:rPr>
                <w:rFonts w:ascii="Arial" w:hAnsi="Arial" w:cs="Arial"/>
                <w:sz w:val="18"/>
                <w:szCs w:val="18"/>
              </w:rPr>
            </w:pPr>
          </w:p>
        </w:tc>
        <w:tc>
          <w:tcPr>
            <w:tcW w:w="1260" w:type="dxa"/>
            <w:vMerge/>
          </w:tcPr>
          <w:p w14:paraId="744D780D" w14:textId="059C6A70" w:rsidR="008A774C" w:rsidRPr="00892764" w:rsidRDefault="008A774C" w:rsidP="0007609D">
            <w:pPr>
              <w:spacing w:after="0" w:line="288" w:lineRule="auto"/>
              <w:jc w:val="center"/>
              <w:rPr>
                <w:rFonts w:ascii="Arial" w:hAnsi="Arial" w:cs="Arial"/>
                <w:sz w:val="18"/>
                <w:szCs w:val="18"/>
              </w:rPr>
            </w:pPr>
          </w:p>
        </w:tc>
      </w:tr>
      <w:tr w:rsidR="008A774C" w:rsidRPr="00892764" w14:paraId="1F1CE44E" w14:textId="77777777" w:rsidTr="008A774C">
        <w:tc>
          <w:tcPr>
            <w:tcW w:w="2880" w:type="dxa"/>
          </w:tcPr>
          <w:p w14:paraId="302C6C55" w14:textId="10AA6D0C" w:rsidR="008A774C" w:rsidRPr="00B02846" w:rsidRDefault="008A774C" w:rsidP="0007609D">
            <w:pPr>
              <w:pStyle w:val="ListParagraph"/>
              <w:numPr>
                <w:ilvl w:val="0"/>
                <w:numId w:val="13"/>
              </w:numPr>
              <w:spacing w:after="0" w:line="288" w:lineRule="auto"/>
              <w:ind w:left="318" w:hanging="318"/>
              <w:rPr>
                <w:rFonts w:ascii="Arial" w:hAnsi="Arial" w:cs="Arial"/>
                <w:sz w:val="18"/>
                <w:szCs w:val="18"/>
              </w:rPr>
            </w:pPr>
            <w:r>
              <w:rPr>
                <w:rFonts w:ascii="Arial" w:hAnsi="Arial" w:cs="Arial"/>
                <w:sz w:val="18"/>
                <w:szCs w:val="18"/>
              </w:rPr>
              <w:t>Evaluación datos AETN</w:t>
            </w:r>
          </w:p>
        </w:tc>
        <w:tc>
          <w:tcPr>
            <w:tcW w:w="360" w:type="dxa"/>
            <w:shd w:val="clear" w:color="auto" w:fill="auto"/>
          </w:tcPr>
          <w:p w14:paraId="3344D557" w14:textId="77777777" w:rsidR="008A774C" w:rsidRPr="00892764" w:rsidRDefault="008A774C" w:rsidP="0007609D">
            <w:pPr>
              <w:spacing w:after="0" w:line="288" w:lineRule="auto"/>
              <w:rPr>
                <w:rFonts w:ascii="Arial" w:hAnsi="Arial" w:cs="Arial"/>
                <w:sz w:val="18"/>
                <w:szCs w:val="18"/>
              </w:rPr>
            </w:pPr>
          </w:p>
        </w:tc>
        <w:tc>
          <w:tcPr>
            <w:tcW w:w="360" w:type="dxa"/>
            <w:shd w:val="clear" w:color="auto" w:fill="auto"/>
          </w:tcPr>
          <w:p w14:paraId="72B949FD" w14:textId="77777777" w:rsidR="008A774C" w:rsidRPr="00892764" w:rsidRDefault="008A774C" w:rsidP="0007609D">
            <w:pPr>
              <w:spacing w:after="0" w:line="288" w:lineRule="auto"/>
              <w:rPr>
                <w:rFonts w:ascii="Arial" w:hAnsi="Arial" w:cs="Arial"/>
                <w:sz w:val="18"/>
                <w:szCs w:val="18"/>
              </w:rPr>
            </w:pPr>
          </w:p>
        </w:tc>
        <w:tc>
          <w:tcPr>
            <w:tcW w:w="360" w:type="dxa"/>
            <w:shd w:val="clear" w:color="auto" w:fill="auto"/>
          </w:tcPr>
          <w:p w14:paraId="49585184" w14:textId="77777777" w:rsidR="008A774C" w:rsidRPr="00892764" w:rsidRDefault="008A774C" w:rsidP="0007609D">
            <w:pPr>
              <w:spacing w:after="0" w:line="288" w:lineRule="auto"/>
              <w:rPr>
                <w:rFonts w:ascii="Arial" w:hAnsi="Arial" w:cs="Arial"/>
                <w:sz w:val="18"/>
                <w:szCs w:val="18"/>
              </w:rPr>
            </w:pPr>
          </w:p>
        </w:tc>
        <w:tc>
          <w:tcPr>
            <w:tcW w:w="360" w:type="dxa"/>
            <w:shd w:val="clear" w:color="auto" w:fill="auto"/>
          </w:tcPr>
          <w:p w14:paraId="5C3C104A" w14:textId="591AE1DB" w:rsidR="008A774C" w:rsidRPr="00892764" w:rsidRDefault="008A774C" w:rsidP="0007609D">
            <w:pPr>
              <w:spacing w:after="0" w:line="288" w:lineRule="auto"/>
              <w:rPr>
                <w:rFonts w:ascii="Arial" w:hAnsi="Arial" w:cs="Arial"/>
                <w:sz w:val="18"/>
                <w:szCs w:val="18"/>
              </w:rPr>
            </w:pPr>
          </w:p>
        </w:tc>
        <w:tc>
          <w:tcPr>
            <w:tcW w:w="376" w:type="dxa"/>
          </w:tcPr>
          <w:p w14:paraId="1F82959A" w14:textId="07C81850" w:rsidR="008A774C" w:rsidRDefault="002A6A94" w:rsidP="0007609D">
            <w:pPr>
              <w:spacing w:after="0" w:line="288" w:lineRule="auto"/>
              <w:jc w:val="center"/>
              <w:rPr>
                <w:rFonts w:ascii="Arial" w:hAnsi="Arial" w:cs="Arial"/>
                <w:sz w:val="18"/>
                <w:szCs w:val="18"/>
              </w:rPr>
            </w:pPr>
            <w:r>
              <w:rPr>
                <w:rFonts w:ascii="Arial" w:hAnsi="Arial" w:cs="Arial"/>
                <w:sz w:val="18"/>
                <w:szCs w:val="18"/>
              </w:rPr>
              <w:t>x</w:t>
            </w:r>
          </w:p>
        </w:tc>
        <w:tc>
          <w:tcPr>
            <w:tcW w:w="377" w:type="dxa"/>
          </w:tcPr>
          <w:p w14:paraId="6FB201AB" w14:textId="77777777" w:rsidR="008A774C" w:rsidRDefault="008A774C" w:rsidP="0007609D">
            <w:pPr>
              <w:spacing w:after="0" w:line="288" w:lineRule="auto"/>
              <w:jc w:val="center"/>
              <w:rPr>
                <w:rFonts w:ascii="Arial" w:hAnsi="Arial" w:cs="Arial"/>
                <w:sz w:val="18"/>
                <w:szCs w:val="18"/>
              </w:rPr>
            </w:pPr>
          </w:p>
        </w:tc>
        <w:tc>
          <w:tcPr>
            <w:tcW w:w="377" w:type="dxa"/>
          </w:tcPr>
          <w:p w14:paraId="1AF6FD53" w14:textId="77777777" w:rsidR="008A774C" w:rsidRDefault="008A774C" w:rsidP="0007609D">
            <w:pPr>
              <w:spacing w:after="0" w:line="288" w:lineRule="auto"/>
              <w:jc w:val="center"/>
              <w:rPr>
                <w:rFonts w:ascii="Arial" w:hAnsi="Arial" w:cs="Arial"/>
                <w:sz w:val="18"/>
                <w:szCs w:val="18"/>
              </w:rPr>
            </w:pPr>
          </w:p>
        </w:tc>
        <w:tc>
          <w:tcPr>
            <w:tcW w:w="377" w:type="dxa"/>
          </w:tcPr>
          <w:p w14:paraId="576C8E1C" w14:textId="22595BE1" w:rsidR="008A774C" w:rsidRDefault="008A774C" w:rsidP="0007609D">
            <w:pPr>
              <w:spacing w:after="0" w:line="288" w:lineRule="auto"/>
              <w:jc w:val="center"/>
              <w:rPr>
                <w:rFonts w:ascii="Arial" w:hAnsi="Arial" w:cs="Arial"/>
                <w:sz w:val="18"/>
                <w:szCs w:val="18"/>
              </w:rPr>
            </w:pPr>
          </w:p>
        </w:tc>
        <w:tc>
          <w:tcPr>
            <w:tcW w:w="1373" w:type="dxa"/>
          </w:tcPr>
          <w:p w14:paraId="1B5F0F4F" w14:textId="60527E9F" w:rsidR="008A774C" w:rsidRPr="00892764" w:rsidRDefault="002A6A94" w:rsidP="0007609D">
            <w:pPr>
              <w:spacing w:after="0" w:line="288" w:lineRule="auto"/>
              <w:jc w:val="center"/>
              <w:rPr>
                <w:rFonts w:ascii="Arial" w:hAnsi="Arial" w:cs="Arial"/>
                <w:sz w:val="18"/>
                <w:szCs w:val="18"/>
              </w:rPr>
            </w:pPr>
            <w:r>
              <w:rPr>
                <w:rFonts w:ascii="Arial" w:hAnsi="Arial" w:cs="Arial"/>
                <w:sz w:val="18"/>
                <w:szCs w:val="18"/>
              </w:rPr>
              <w:t>OE, BID</w:t>
            </w:r>
          </w:p>
        </w:tc>
        <w:tc>
          <w:tcPr>
            <w:tcW w:w="900" w:type="dxa"/>
          </w:tcPr>
          <w:p w14:paraId="28DB0139" w14:textId="2FDAF2C5" w:rsidR="008A774C" w:rsidRPr="00892764" w:rsidRDefault="008A774C" w:rsidP="0007609D">
            <w:pPr>
              <w:spacing w:after="0" w:line="288" w:lineRule="auto"/>
              <w:jc w:val="right"/>
              <w:rPr>
                <w:rFonts w:ascii="Arial" w:hAnsi="Arial" w:cs="Arial"/>
                <w:sz w:val="18"/>
                <w:szCs w:val="18"/>
              </w:rPr>
            </w:pPr>
            <w:r>
              <w:rPr>
                <w:rFonts w:ascii="Arial" w:hAnsi="Arial" w:cs="Arial"/>
                <w:sz w:val="18"/>
                <w:szCs w:val="18"/>
              </w:rPr>
              <w:t>10,000</w:t>
            </w:r>
          </w:p>
        </w:tc>
        <w:tc>
          <w:tcPr>
            <w:tcW w:w="1260" w:type="dxa"/>
            <w:vMerge/>
          </w:tcPr>
          <w:p w14:paraId="74CAB208" w14:textId="1B80AC3B" w:rsidR="008A774C" w:rsidRPr="00892764" w:rsidRDefault="008A774C" w:rsidP="0007609D">
            <w:pPr>
              <w:spacing w:after="0" w:line="288" w:lineRule="auto"/>
              <w:jc w:val="center"/>
              <w:rPr>
                <w:rFonts w:ascii="Arial" w:hAnsi="Arial" w:cs="Arial"/>
                <w:sz w:val="18"/>
                <w:szCs w:val="18"/>
              </w:rPr>
            </w:pPr>
          </w:p>
        </w:tc>
      </w:tr>
      <w:tr w:rsidR="0007609D" w:rsidRPr="00892764" w14:paraId="7F151FBD" w14:textId="77777777" w:rsidTr="008A774C">
        <w:tc>
          <w:tcPr>
            <w:tcW w:w="2880" w:type="dxa"/>
          </w:tcPr>
          <w:p w14:paraId="68368EE6" w14:textId="4ACD3EE5" w:rsidR="0007609D" w:rsidRPr="00B7143F" w:rsidRDefault="0007609D" w:rsidP="0007609D">
            <w:pPr>
              <w:pStyle w:val="ListParagraph"/>
              <w:numPr>
                <w:ilvl w:val="0"/>
                <w:numId w:val="13"/>
              </w:numPr>
              <w:spacing w:after="0" w:line="288" w:lineRule="auto"/>
              <w:ind w:left="318" w:hanging="318"/>
              <w:rPr>
                <w:rFonts w:ascii="Arial" w:hAnsi="Arial" w:cs="Arial"/>
                <w:sz w:val="18"/>
                <w:szCs w:val="18"/>
                <w:lang w:val="es-ES_tradnl"/>
              </w:rPr>
            </w:pPr>
            <w:r w:rsidRPr="00B7143F">
              <w:rPr>
                <w:rFonts w:ascii="Arial" w:hAnsi="Arial" w:cs="Arial"/>
                <w:sz w:val="18"/>
                <w:szCs w:val="18"/>
                <w:lang w:val="es-ES_tradnl"/>
              </w:rPr>
              <w:t>Informe de cierre de proy</w:t>
            </w:r>
            <w:r>
              <w:rPr>
                <w:rFonts w:ascii="Arial" w:hAnsi="Arial" w:cs="Arial"/>
                <w:sz w:val="18"/>
                <w:szCs w:val="18"/>
                <w:lang w:val="es-ES_tradnl"/>
              </w:rPr>
              <w:t>ecto</w:t>
            </w:r>
          </w:p>
        </w:tc>
        <w:tc>
          <w:tcPr>
            <w:tcW w:w="360" w:type="dxa"/>
            <w:shd w:val="clear" w:color="auto" w:fill="auto"/>
          </w:tcPr>
          <w:p w14:paraId="1014FC27" w14:textId="77777777" w:rsidR="0007609D" w:rsidRPr="00B7143F" w:rsidRDefault="0007609D" w:rsidP="0007609D">
            <w:pPr>
              <w:spacing w:after="0" w:line="288" w:lineRule="auto"/>
              <w:rPr>
                <w:rFonts w:ascii="Arial" w:hAnsi="Arial" w:cs="Arial"/>
                <w:sz w:val="18"/>
                <w:szCs w:val="18"/>
                <w:lang w:val="es-ES_tradnl"/>
              </w:rPr>
            </w:pPr>
          </w:p>
        </w:tc>
        <w:tc>
          <w:tcPr>
            <w:tcW w:w="360" w:type="dxa"/>
            <w:shd w:val="clear" w:color="auto" w:fill="auto"/>
          </w:tcPr>
          <w:p w14:paraId="101A1B8B" w14:textId="77777777" w:rsidR="0007609D" w:rsidRPr="00B7143F" w:rsidRDefault="0007609D" w:rsidP="0007609D">
            <w:pPr>
              <w:spacing w:after="0" w:line="288" w:lineRule="auto"/>
              <w:rPr>
                <w:rFonts w:ascii="Arial" w:hAnsi="Arial" w:cs="Arial"/>
                <w:sz w:val="18"/>
                <w:szCs w:val="18"/>
                <w:lang w:val="es-ES_tradnl"/>
              </w:rPr>
            </w:pPr>
          </w:p>
        </w:tc>
        <w:tc>
          <w:tcPr>
            <w:tcW w:w="360" w:type="dxa"/>
            <w:shd w:val="clear" w:color="auto" w:fill="auto"/>
          </w:tcPr>
          <w:p w14:paraId="549F5FE3" w14:textId="77777777" w:rsidR="0007609D" w:rsidRPr="00B7143F" w:rsidRDefault="0007609D" w:rsidP="0007609D">
            <w:pPr>
              <w:spacing w:after="0" w:line="288" w:lineRule="auto"/>
              <w:rPr>
                <w:rFonts w:ascii="Arial" w:hAnsi="Arial" w:cs="Arial"/>
                <w:sz w:val="18"/>
                <w:szCs w:val="18"/>
                <w:lang w:val="es-ES_tradnl"/>
              </w:rPr>
            </w:pPr>
          </w:p>
        </w:tc>
        <w:tc>
          <w:tcPr>
            <w:tcW w:w="360" w:type="dxa"/>
            <w:shd w:val="clear" w:color="auto" w:fill="auto"/>
          </w:tcPr>
          <w:p w14:paraId="012E70BE" w14:textId="77576A31" w:rsidR="0007609D" w:rsidRPr="00B7143F" w:rsidRDefault="0007609D" w:rsidP="0007609D">
            <w:pPr>
              <w:spacing w:after="0" w:line="288" w:lineRule="auto"/>
              <w:rPr>
                <w:rFonts w:ascii="Arial" w:hAnsi="Arial" w:cs="Arial"/>
                <w:sz w:val="18"/>
                <w:szCs w:val="18"/>
                <w:lang w:val="es-ES_tradnl"/>
              </w:rPr>
            </w:pPr>
          </w:p>
        </w:tc>
        <w:tc>
          <w:tcPr>
            <w:tcW w:w="376" w:type="dxa"/>
          </w:tcPr>
          <w:p w14:paraId="3B96FB1B" w14:textId="77777777" w:rsidR="0007609D" w:rsidRPr="008A774C" w:rsidRDefault="0007609D" w:rsidP="0007609D">
            <w:pPr>
              <w:spacing w:after="0" w:line="288" w:lineRule="auto"/>
              <w:jc w:val="center"/>
              <w:rPr>
                <w:rFonts w:ascii="Arial" w:hAnsi="Arial" w:cs="Arial"/>
                <w:sz w:val="18"/>
                <w:szCs w:val="18"/>
                <w:lang w:val="es-ES_tradnl"/>
              </w:rPr>
            </w:pPr>
          </w:p>
        </w:tc>
        <w:tc>
          <w:tcPr>
            <w:tcW w:w="377" w:type="dxa"/>
          </w:tcPr>
          <w:p w14:paraId="2A2BFFE5" w14:textId="77777777" w:rsidR="0007609D" w:rsidRPr="008A774C" w:rsidRDefault="0007609D" w:rsidP="0007609D">
            <w:pPr>
              <w:spacing w:after="0" w:line="288" w:lineRule="auto"/>
              <w:jc w:val="center"/>
              <w:rPr>
                <w:rFonts w:ascii="Arial" w:hAnsi="Arial" w:cs="Arial"/>
                <w:sz w:val="18"/>
                <w:szCs w:val="18"/>
                <w:lang w:val="es-ES_tradnl"/>
              </w:rPr>
            </w:pPr>
          </w:p>
        </w:tc>
        <w:tc>
          <w:tcPr>
            <w:tcW w:w="377" w:type="dxa"/>
          </w:tcPr>
          <w:p w14:paraId="7504B9CC" w14:textId="77777777" w:rsidR="0007609D" w:rsidRPr="008A774C" w:rsidRDefault="0007609D" w:rsidP="0007609D">
            <w:pPr>
              <w:spacing w:after="0" w:line="288" w:lineRule="auto"/>
              <w:jc w:val="center"/>
              <w:rPr>
                <w:rFonts w:ascii="Arial" w:hAnsi="Arial" w:cs="Arial"/>
                <w:sz w:val="18"/>
                <w:szCs w:val="18"/>
                <w:lang w:val="es-ES_tradnl"/>
              </w:rPr>
            </w:pPr>
          </w:p>
        </w:tc>
        <w:tc>
          <w:tcPr>
            <w:tcW w:w="377" w:type="dxa"/>
          </w:tcPr>
          <w:p w14:paraId="326E58A5" w14:textId="4738CB1C" w:rsidR="0007609D" w:rsidRDefault="0007609D" w:rsidP="0007609D">
            <w:pPr>
              <w:spacing w:after="0" w:line="288" w:lineRule="auto"/>
              <w:jc w:val="center"/>
              <w:rPr>
                <w:rFonts w:ascii="Arial" w:hAnsi="Arial" w:cs="Arial"/>
                <w:sz w:val="18"/>
                <w:szCs w:val="18"/>
              </w:rPr>
            </w:pPr>
            <w:r>
              <w:rPr>
                <w:rFonts w:ascii="Arial" w:hAnsi="Arial" w:cs="Arial"/>
                <w:sz w:val="18"/>
                <w:szCs w:val="18"/>
                <w:lang w:val="es-ES_tradnl"/>
              </w:rPr>
              <w:t>x</w:t>
            </w:r>
          </w:p>
        </w:tc>
        <w:tc>
          <w:tcPr>
            <w:tcW w:w="1373" w:type="dxa"/>
          </w:tcPr>
          <w:p w14:paraId="0F5FDD6C" w14:textId="610C5D90" w:rsidR="0007609D" w:rsidRPr="00892764" w:rsidRDefault="0007609D" w:rsidP="0007609D">
            <w:pPr>
              <w:spacing w:after="0" w:line="288" w:lineRule="auto"/>
              <w:jc w:val="center"/>
              <w:rPr>
                <w:rFonts w:ascii="Arial" w:hAnsi="Arial" w:cs="Arial"/>
                <w:sz w:val="18"/>
                <w:szCs w:val="18"/>
              </w:rPr>
            </w:pPr>
            <w:r>
              <w:rPr>
                <w:rFonts w:ascii="Arial" w:hAnsi="Arial" w:cs="Arial"/>
                <w:sz w:val="18"/>
                <w:szCs w:val="18"/>
              </w:rPr>
              <w:t>BID</w:t>
            </w:r>
          </w:p>
        </w:tc>
        <w:tc>
          <w:tcPr>
            <w:tcW w:w="900" w:type="dxa"/>
          </w:tcPr>
          <w:p w14:paraId="6BBE3094" w14:textId="7627D64B" w:rsidR="0007609D" w:rsidRPr="00892764" w:rsidRDefault="0007609D" w:rsidP="0007609D">
            <w:pPr>
              <w:spacing w:after="0" w:line="288" w:lineRule="auto"/>
              <w:jc w:val="right"/>
              <w:rPr>
                <w:rFonts w:ascii="Arial" w:hAnsi="Arial" w:cs="Arial"/>
                <w:sz w:val="18"/>
                <w:szCs w:val="18"/>
              </w:rPr>
            </w:pPr>
            <w:r>
              <w:rPr>
                <w:rFonts w:ascii="Arial" w:hAnsi="Arial" w:cs="Arial"/>
                <w:sz w:val="18"/>
                <w:szCs w:val="18"/>
              </w:rPr>
              <w:t>5,000</w:t>
            </w:r>
          </w:p>
        </w:tc>
        <w:tc>
          <w:tcPr>
            <w:tcW w:w="1260" w:type="dxa"/>
          </w:tcPr>
          <w:p w14:paraId="7A5A8E61" w14:textId="77777777" w:rsidR="0007609D" w:rsidRPr="00892764" w:rsidRDefault="0007609D" w:rsidP="0007609D">
            <w:pPr>
              <w:spacing w:after="0" w:line="288" w:lineRule="auto"/>
              <w:jc w:val="center"/>
              <w:rPr>
                <w:rFonts w:ascii="Arial" w:hAnsi="Arial" w:cs="Arial"/>
                <w:sz w:val="18"/>
                <w:szCs w:val="18"/>
              </w:rPr>
            </w:pPr>
          </w:p>
        </w:tc>
      </w:tr>
    </w:tbl>
    <w:p w14:paraId="340B6EB8" w14:textId="77777777" w:rsidR="001B5186" w:rsidRPr="00892764" w:rsidRDefault="001B5186" w:rsidP="004964DC">
      <w:pPr>
        <w:spacing w:after="0" w:line="288" w:lineRule="auto"/>
        <w:jc w:val="both"/>
        <w:rPr>
          <w:rFonts w:ascii="Arial" w:hAnsi="Arial" w:cs="Arial"/>
        </w:rPr>
        <w:sectPr w:rsidR="001B5186" w:rsidRPr="00892764" w:rsidSect="00190876">
          <w:pgSz w:w="12240" w:h="15840"/>
          <w:pgMar w:top="1440" w:right="1627" w:bottom="1440" w:left="1440" w:header="720" w:footer="720" w:gutter="0"/>
          <w:cols w:space="720"/>
          <w:docGrid w:linePitch="360"/>
        </w:sectPr>
      </w:pPr>
    </w:p>
    <w:p w14:paraId="0CFBBEE0" w14:textId="370EFC5F" w:rsidR="001B5186" w:rsidRPr="001F0D5D" w:rsidRDefault="00A358CC" w:rsidP="00F81259">
      <w:pPr>
        <w:spacing w:before="120" w:after="120" w:line="288" w:lineRule="auto"/>
        <w:jc w:val="center"/>
        <w:rPr>
          <w:rFonts w:ascii="Arial" w:hAnsi="Arial" w:cs="Arial"/>
          <w:lang w:val="es-ES_tradnl"/>
        </w:rPr>
      </w:pPr>
      <w:r w:rsidRPr="001F0D5D">
        <w:rPr>
          <w:rFonts w:ascii="Arial" w:hAnsi="Arial" w:cs="Arial"/>
          <w:b/>
          <w:lang w:val="es-ES_tradnl"/>
        </w:rPr>
        <w:lastRenderedPageBreak/>
        <w:t>Referenc</w:t>
      </w:r>
      <w:r w:rsidR="00DA4332" w:rsidRPr="001F0D5D">
        <w:rPr>
          <w:rFonts w:ascii="Arial" w:hAnsi="Arial" w:cs="Arial"/>
          <w:b/>
          <w:lang w:val="es-ES_tradnl"/>
        </w:rPr>
        <w:t>ia</w:t>
      </w:r>
      <w:r w:rsidRPr="001F0D5D">
        <w:rPr>
          <w:rFonts w:ascii="Arial" w:hAnsi="Arial" w:cs="Arial"/>
          <w:b/>
          <w:lang w:val="es-ES_tradnl"/>
        </w:rPr>
        <w:t>s</w:t>
      </w:r>
    </w:p>
    <w:p w14:paraId="7BCFBDCE" w14:textId="77777777" w:rsidR="00545C08" w:rsidRPr="00D66032" w:rsidRDefault="00545C08" w:rsidP="00F81259">
      <w:pPr>
        <w:spacing w:before="120" w:after="120" w:line="240" w:lineRule="auto"/>
        <w:jc w:val="both"/>
        <w:rPr>
          <w:rFonts w:ascii="Arial" w:hAnsi="Arial" w:cs="Arial"/>
          <w:lang w:val="es-ES_tradnl"/>
        </w:rPr>
      </w:pPr>
      <w:r w:rsidRPr="00815F3F">
        <w:rPr>
          <w:rFonts w:ascii="Arial" w:hAnsi="Arial" w:cs="Arial"/>
        </w:rPr>
        <w:t xml:space="preserve">Ahmed et al. </w:t>
      </w:r>
      <w:r w:rsidRPr="00936B2E">
        <w:rPr>
          <w:rFonts w:ascii="Arial" w:hAnsi="Arial" w:cs="Arial"/>
        </w:rPr>
        <w:t xml:space="preserve">“Effectiveness of workplace social distancing measures in reducing influenza transmission: a systematic review”. </w:t>
      </w:r>
      <w:r w:rsidRPr="00D66032">
        <w:rPr>
          <w:rFonts w:ascii="Arial" w:hAnsi="Arial" w:cs="Arial"/>
          <w:lang w:val="es-ES_tradnl"/>
        </w:rPr>
        <w:t xml:space="preserve">BMC Public Health (2018) 18:518. Disponible en: </w:t>
      </w:r>
      <w:hyperlink r:id="rId16" w:history="1">
        <w:r w:rsidRPr="00D66032">
          <w:rPr>
            <w:rStyle w:val="Hyperlink"/>
            <w:rFonts w:ascii="Arial" w:hAnsi="Arial" w:cs="Arial"/>
            <w:lang w:val="es-ES_tradnl"/>
          </w:rPr>
          <w:t>https://doi.org/10.1186/s12889-018-5446-1</w:t>
        </w:r>
      </w:hyperlink>
      <w:r w:rsidRPr="00D66032">
        <w:rPr>
          <w:rFonts w:ascii="Arial" w:hAnsi="Arial" w:cs="Arial"/>
          <w:lang w:val="es-ES_tradnl"/>
        </w:rPr>
        <w:t xml:space="preserve"> </w:t>
      </w:r>
    </w:p>
    <w:p w14:paraId="13E52302" w14:textId="77777777" w:rsidR="00545C08" w:rsidRPr="00936B2E" w:rsidRDefault="00545C08" w:rsidP="00F81259">
      <w:pPr>
        <w:spacing w:before="120" w:after="120" w:line="240" w:lineRule="auto"/>
        <w:jc w:val="both"/>
        <w:rPr>
          <w:rFonts w:ascii="Arial" w:hAnsi="Arial" w:cs="Arial"/>
          <w:color w:val="0563C1"/>
          <w:u w:val="single"/>
        </w:rPr>
      </w:pPr>
      <w:r w:rsidRPr="00D66032">
        <w:rPr>
          <w:rFonts w:ascii="Arial" w:hAnsi="Arial" w:cs="Arial"/>
          <w:lang w:val="es-ES_tradnl"/>
        </w:rPr>
        <w:t xml:space="preserve">Beazley et al (2019). </w:t>
      </w:r>
      <w:r w:rsidRPr="00936B2E">
        <w:rPr>
          <w:rFonts w:ascii="Arial" w:hAnsi="Arial" w:cs="Arial"/>
          <w:lang w:val="es-AR"/>
        </w:rPr>
        <w:t xml:space="preserve">“Protección social reactiva frente a emergencias en América Latina y el Caribe: Principales hallazgos y recomendaciones”. </w:t>
      </w:r>
      <w:hyperlink r:id="rId17" w:anchor="page70" w:history="1">
        <w:r w:rsidRPr="00936B2E">
          <w:rPr>
            <w:rStyle w:val="Hyperlink"/>
            <w:rFonts w:ascii="Arial" w:hAnsi="Arial" w:cs="Arial"/>
          </w:rPr>
          <w:t>https://www.opml.co.uk/files/Publications/a1537-shock-responsive-social-protection-latin-america-caribbean/hallazgos-principals-y-recomendaciones.pdf?noredirect=1#page70</w:t>
        </w:r>
      </w:hyperlink>
    </w:p>
    <w:p w14:paraId="587CB900" w14:textId="77777777" w:rsidR="00545C08" w:rsidRPr="00936B2E" w:rsidRDefault="00545C08" w:rsidP="00F81259">
      <w:pPr>
        <w:spacing w:before="120" w:after="120" w:line="240" w:lineRule="auto"/>
        <w:jc w:val="both"/>
        <w:rPr>
          <w:rFonts w:ascii="Arial" w:hAnsi="Arial" w:cs="Arial"/>
        </w:rPr>
      </w:pPr>
      <w:r w:rsidRPr="00936B2E">
        <w:rPr>
          <w:rFonts w:ascii="Arial" w:hAnsi="Arial" w:cs="Arial"/>
        </w:rPr>
        <w:t>Chang et al (2020). “Modelling transmission and control of the COVID-19 pandemic in Australia”. Centre for Complex Systems, Faculty of Engineering, University of Sydney, Sydney, NSW 2006, Australia.</w:t>
      </w:r>
    </w:p>
    <w:p w14:paraId="43D21475" w14:textId="77777777" w:rsidR="00545C08" w:rsidRPr="00D66032" w:rsidRDefault="00545C08" w:rsidP="00F81259">
      <w:pPr>
        <w:spacing w:before="120" w:after="120" w:line="240" w:lineRule="auto"/>
        <w:jc w:val="both"/>
        <w:rPr>
          <w:rFonts w:ascii="Arial" w:hAnsi="Arial" w:cs="Arial"/>
        </w:rPr>
      </w:pPr>
      <w:r w:rsidRPr="00936B2E">
        <w:rPr>
          <w:rFonts w:ascii="Arial" w:hAnsi="Arial" w:cs="Arial"/>
        </w:rPr>
        <w:t xml:space="preserve">Dalton et al (2020). Pre-Emptive Low Cost Social Distancing and Enhanced Hygiene Implemented before Local COVID-19 Transmission Could Decrease the Number and Severity of Cases. </w:t>
      </w:r>
      <w:r w:rsidRPr="00D66032">
        <w:rPr>
          <w:rFonts w:ascii="Arial" w:hAnsi="Arial" w:cs="Arial"/>
        </w:rPr>
        <w:t>Disponible en:  https://papers.ssrn.com/sol3/papers.cfm?abstract_id=3549276</w:t>
      </w:r>
    </w:p>
    <w:p w14:paraId="6D67B613" w14:textId="77777777" w:rsidR="00545C08" w:rsidRPr="00936B2E" w:rsidRDefault="00545C08" w:rsidP="00F81259">
      <w:pPr>
        <w:spacing w:before="120" w:after="120" w:line="240" w:lineRule="auto"/>
        <w:jc w:val="both"/>
        <w:rPr>
          <w:rFonts w:ascii="Arial" w:hAnsi="Arial" w:cs="Arial"/>
          <w:color w:val="0563C1"/>
          <w:u w:val="single"/>
        </w:rPr>
      </w:pPr>
      <w:r w:rsidRPr="00936B2E">
        <w:rPr>
          <w:rFonts w:ascii="Arial" w:hAnsi="Arial" w:cs="Arial"/>
        </w:rPr>
        <w:t xml:space="preserve">Gentilini, Ugo, Mohamed Almenfi y Ian Orton, Social Protection and Jobs Responses to COVID-19: A Real-Time Review of Country Measures: A “living paper”, version 2 (2020), Acutalización del 27 de marzo 2020. </w:t>
      </w:r>
      <w:hyperlink r:id="rId18" w:history="1">
        <w:r w:rsidRPr="00936B2E">
          <w:rPr>
            <w:rStyle w:val="Hyperlink"/>
            <w:rFonts w:ascii="Arial" w:hAnsi="Arial" w:cs="Arial"/>
          </w:rPr>
          <w:t>http://www.ugogentilini.net/wp-content/uploads/2020/03/global-review-of-social-protection-responses-to-COVID-19-2.pdf</w:t>
        </w:r>
      </w:hyperlink>
    </w:p>
    <w:p w14:paraId="3EC0F47C" w14:textId="77777777" w:rsidR="00545C08" w:rsidRPr="00D66032" w:rsidRDefault="00545C08" w:rsidP="00F81259">
      <w:pPr>
        <w:spacing w:before="120" w:after="120" w:line="240" w:lineRule="auto"/>
        <w:jc w:val="both"/>
        <w:rPr>
          <w:rFonts w:ascii="Arial" w:hAnsi="Arial" w:cs="Arial"/>
        </w:rPr>
      </w:pPr>
      <w:r w:rsidRPr="00936B2E">
        <w:rPr>
          <w:rFonts w:ascii="Arial" w:hAnsi="Arial" w:cs="Arial"/>
        </w:rPr>
        <w:t xml:space="preserve">Grosh et al (2014). “Understanding the Poverty Impact of the Global Financial Crisis in Latin America and the Caribbean”. </w:t>
      </w:r>
      <w:r w:rsidRPr="00D66032">
        <w:rPr>
          <w:rFonts w:ascii="Arial" w:hAnsi="Arial" w:cs="Arial"/>
        </w:rPr>
        <w:t xml:space="preserve">Disponible en: </w:t>
      </w:r>
      <w:hyperlink r:id="rId19" w:history="1">
        <w:r w:rsidRPr="00D66032">
          <w:rPr>
            <w:rStyle w:val="Hyperlink"/>
            <w:rFonts w:ascii="Arial" w:hAnsi="Arial" w:cs="Arial"/>
          </w:rPr>
          <w:t>http://documents.worldbank.org/curated/en/456681468045552129/pdf/Understanding-the-poverty-impact-of-the-global-financial-crisis-in-Latin-America-and-the-Caribbean.pdf</w:t>
        </w:r>
      </w:hyperlink>
    </w:p>
    <w:p w14:paraId="14D76747" w14:textId="77777777" w:rsidR="00545C08" w:rsidRPr="00936B2E" w:rsidRDefault="00545C08" w:rsidP="00F81259">
      <w:pPr>
        <w:spacing w:before="120" w:after="120" w:line="240" w:lineRule="auto"/>
        <w:jc w:val="both"/>
        <w:textAlignment w:val="top"/>
        <w:rPr>
          <w:rFonts w:ascii="Arial" w:hAnsi="Arial" w:cs="Arial"/>
          <w:color w:val="0563C1"/>
          <w:u w:val="single"/>
        </w:rPr>
      </w:pPr>
      <w:r w:rsidRPr="00936B2E">
        <w:rPr>
          <w:rFonts w:ascii="Arial" w:hAnsi="Arial" w:cs="Arial"/>
          <w:color w:val="000000"/>
        </w:rPr>
        <w:t>O’Brien, C., Holmes, R., Scott, Z., &amp; Barca, V. (2018). </w:t>
      </w:r>
      <w:r w:rsidRPr="00936B2E">
        <w:rPr>
          <w:rFonts w:ascii="Arial" w:hAnsi="Arial" w:cs="Arial"/>
          <w:i/>
          <w:iCs/>
          <w:color w:val="000000"/>
        </w:rPr>
        <w:t>Shock-Responsive Social Protection Systems Toolkit. Appraising the use of social protection in addressing large-scale shocks</w:t>
      </w:r>
      <w:r w:rsidRPr="00936B2E">
        <w:rPr>
          <w:rFonts w:ascii="Arial" w:hAnsi="Arial" w:cs="Arial"/>
          <w:color w:val="000000"/>
        </w:rPr>
        <w:t xml:space="preserve">. Oxford, Inglaterra. </w:t>
      </w:r>
      <w:hyperlink r:id="rId20" w:history="1">
        <w:r w:rsidRPr="00936B2E">
          <w:rPr>
            <w:rFonts w:ascii="Arial" w:hAnsi="Arial" w:cs="Arial"/>
            <w:color w:val="0563C1"/>
            <w:u w:val="single"/>
          </w:rPr>
          <w:t>https://www.opml.co.uk/files/Publications/a0408-shock-responsive-social-protection-systems/srsp-toolkit.pdf?noredirect=1</w:t>
        </w:r>
      </w:hyperlink>
    </w:p>
    <w:p w14:paraId="3340EAD5" w14:textId="26A1D47A" w:rsidR="005F68CD" w:rsidRPr="005F68CD" w:rsidRDefault="005F68CD" w:rsidP="00F81259">
      <w:pPr>
        <w:spacing w:before="120" w:after="120" w:line="240" w:lineRule="auto"/>
        <w:jc w:val="both"/>
        <w:textAlignment w:val="top"/>
        <w:rPr>
          <w:rFonts w:ascii="Arial" w:eastAsia="Times New Roman" w:hAnsi="Arial" w:cs="Arial"/>
          <w:color w:val="000000"/>
        </w:rPr>
      </w:pPr>
      <w:r w:rsidRPr="005F68CD">
        <w:rPr>
          <w:rFonts w:ascii="Arial" w:eastAsia="Times New Roman" w:hAnsi="Arial" w:cs="Arial"/>
          <w:color w:val="000000"/>
        </w:rPr>
        <w:t>Allegranzi B, Pittet D. Role of hand hygiene in healthcare-associated infection prevention.</w:t>
      </w:r>
      <w:r w:rsidR="00432DCB">
        <w:rPr>
          <w:rFonts w:ascii="Arial" w:eastAsia="Times New Roman" w:hAnsi="Arial" w:cs="Arial"/>
          <w:color w:val="000000"/>
        </w:rPr>
        <w:t xml:space="preserve"> </w:t>
      </w:r>
      <w:r w:rsidRPr="005F68CD">
        <w:rPr>
          <w:rFonts w:ascii="Arial" w:eastAsia="Times New Roman" w:hAnsi="Arial" w:cs="Arial"/>
          <w:color w:val="000000"/>
        </w:rPr>
        <w:t>Journal of Hospital Infection. 2009; 73: 305-315. doi: 10.1016/j.jhin.2009.04.019</w:t>
      </w:r>
      <w:r w:rsidR="00125678">
        <w:rPr>
          <w:rFonts w:ascii="Arial" w:eastAsia="Times New Roman" w:hAnsi="Arial" w:cs="Arial"/>
          <w:color w:val="000000"/>
        </w:rPr>
        <w:t xml:space="preserve">. </w:t>
      </w:r>
    </w:p>
    <w:p w14:paraId="5C7DACB1" w14:textId="61342DC6" w:rsidR="005F68CD" w:rsidRPr="005F68CD" w:rsidRDefault="005F68CD" w:rsidP="00F81259">
      <w:pPr>
        <w:spacing w:before="120" w:after="120" w:line="240" w:lineRule="auto"/>
        <w:jc w:val="both"/>
        <w:textAlignment w:val="top"/>
        <w:rPr>
          <w:rFonts w:ascii="Arial" w:eastAsia="Times New Roman" w:hAnsi="Arial" w:cs="Arial"/>
        </w:rPr>
      </w:pPr>
      <w:r w:rsidRPr="005F68CD">
        <w:rPr>
          <w:rFonts w:ascii="Arial" w:eastAsia="Times New Roman" w:hAnsi="Arial" w:cs="Arial"/>
        </w:rPr>
        <w:t>Chen L, Xiong J, Bao L, Shi Y. Convalescent plasma as a potential therapy for COVID-19.</w:t>
      </w:r>
      <w:r w:rsidR="00432DCB">
        <w:rPr>
          <w:rFonts w:ascii="Arial" w:eastAsia="Times New Roman" w:hAnsi="Arial" w:cs="Arial"/>
        </w:rPr>
        <w:t xml:space="preserve"> </w:t>
      </w:r>
      <w:r w:rsidRPr="005F68CD">
        <w:rPr>
          <w:rFonts w:ascii="Arial" w:eastAsia="Times New Roman" w:hAnsi="Arial" w:cs="Arial"/>
        </w:rPr>
        <w:t>Lancet Infectious Diseases. 2020. doi: 10.1016/S1473-3099(20)30141-9</w:t>
      </w:r>
    </w:p>
    <w:p w14:paraId="5C56EECC" w14:textId="33D5B9E0" w:rsidR="005F68CD" w:rsidRPr="005F68CD" w:rsidRDefault="005F68CD" w:rsidP="00F81259">
      <w:pPr>
        <w:spacing w:before="120" w:after="120" w:line="240" w:lineRule="auto"/>
        <w:jc w:val="both"/>
        <w:textAlignment w:val="top"/>
        <w:rPr>
          <w:rFonts w:ascii="Arial" w:eastAsia="Times New Roman" w:hAnsi="Arial" w:cs="Arial"/>
        </w:rPr>
      </w:pPr>
      <w:r w:rsidRPr="005F68CD">
        <w:rPr>
          <w:rFonts w:ascii="Arial" w:eastAsia="Times New Roman" w:hAnsi="Arial" w:cs="Arial"/>
        </w:rPr>
        <w:t>Chu CM, Cheng VCC, Hung IFN, Wong MML, Chan KH, Chan KS, et al. Role of</w:t>
      </w:r>
      <w:r w:rsidR="00432DCB">
        <w:rPr>
          <w:rFonts w:ascii="Arial" w:eastAsia="Times New Roman" w:hAnsi="Arial" w:cs="Arial"/>
        </w:rPr>
        <w:t xml:space="preserve"> </w:t>
      </w:r>
      <w:r w:rsidRPr="005F68CD">
        <w:rPr>
          <w:rFonts w:ascii="Arial" w:eastAsia="Times New Roman" w:hAnsi="Arial" w:cs="Arial"/>
        </w:rPr>
        <w:t>lopinavir/ritonavir in the treatment of SARS: initial virological and clinical findings. Thorax. 2004; 59: 252-256.</w:t>
      </w:r>
    </w:p>
    <w:p w14:paraId="0E13E28D" w14:textId="4CC61B8B" w:rsidR="005F68CD" w:rsidRPr="005F68CD" w:rsidRDefault="005F68CD" w:rsidP="00F81259">
      <w:pPr>
        <w:spacing w:before="120" w:after="120" w:line="240" w:lineRule="auto"/>
        <w:jc w:val="both"/>
        <w:textAlignment w:val="top"/>
        <w:rPr>
          <w:rFonts w:ascii="Arial" w:eastAsia="Times New Roman" w:hAnsi="Arial" w:cs="Arial"/>
        </w:rPr>
      </w:pPr>
      <w:r w:rsidRPr="005F68CD">
        <w:rPr>
          <w:rFonts w:ascii="Arial" w:eastAsia="Times New Roman" w:hAnsi="Arial" w:cs="Arial"/>
        </w:rPr>
        <w:t>Cinti S. Pandemic Influenza: Are We Ready? Disaster Management &amp; Response. 2005; 3(3): 61-67. doi: 10.1016/j.dmr.2005.05.002 </w:t>
      </w:r>
    </w:p>
    <w:p w14:paraId="2BE6F7EB" w14:textId="6356A2B8" w:rsidR="005F68CD" w:rsidRPr="005F68CD" w:rsidRDefault="005F68CD" w:rsidP="00F81259">
      <w:pPr>
        <w:spacing w:before="120" w:after="120" w:line="240" w:lineRule="auto"/>
        <w:jc w:val="both"/>
        <w:textAlignment w:val="top"/>
        <w:rPr>
          <w:rFonts w:ascii="Arial" w:eastAsia="Times New Roman" w:hAnsi="Arial" w:cs="Arial"/>
          <w:color w:val="000000"/>
        </w:rPr>
      </w:pPr>
      <w:r w:rsidRPr="005F68CD">
        <w:rPr>
          <w:rFonts w:ascii="Arial" w:eastAsia="Times New Roman" w:hAnsi="Arial" w:cs="Arial"/>
        </w:rPr>
        <w:t>Ho PL, Tang XP, Seto WH. SARS: hospital infection control and admission</w:t>
      </w:r>
      <w:r w:rsidR="00432DCB">
        <w:rPr>
          <w:rFonts w:ascii="Arial" w:eastAsia="Times New Roman" w:hAnsi="Arial" w:cs="Arial"/>
        </w:rPr>
        <w:t xml:space="preserve"> </w:t>
      </w:r>
      <w:r w:rsidRPr="005F68CD">
        <w:rPr>
          <w:rFonts w:ascii="Arial" w:eastAsia="Times New Roman" w:hAnsi="Arial" w:cs="Arial"/>
        </w:rPr>
        <w:t>strategies. Respirology. 2003; 8: S41-S45. doi: 10.1046/j.1440-1843.2003.00523.x </w:t>
      </w:r>
    </w:p>
    <w:p w14:paraId="56C1AACB" w14:textId="5D0871B5" w:rsidR="005F68CD" w:rsidRPr="005F68CD" w:rsidRDefault="005F68CD" w:rsidP="00F81259">
      <w:pPr>
        <w:spacing w:before="120" w:after="120" w:line="240" w:lineRule="auto"/>
        <w:jc w:val="both"/>
        <w:textAlignment w:val="top"/>
        <w:rPr>
          <w:rFonts w:ascii="Arial" w:eastAsia="Times New Roman" w:hAnsi="Arial" w:cs="Arial"/>
          <w:color w:val="000000"/>
        </w:rPr>
      </w:pPr>
      <w:r w:rsidRPr="005F68CD">
        <w:rPr>
          <w:rFonts w:ascii="Arial" w:eastAsia="Times New Roman" w:hAnsi="Arial" w:cs="Arial"/>
        </w:rPr>
        <w:t>Hsieh Y, King C, Chen CW, et al. Quarantine for SARS, Taiwan. Emerging Infectious Diseases. 2005;11(2):278-282. doi:10.3201/eid1102.040190. </w:t>
      </w:r>
    </w:p>
    <w:p w14:paraId="5EC1FEF8" w14:textId="7F89F16B" w:rsidR="005F68CD" w:rsidRPr="005F68CD" w:rsidRDefault="005F68CD" w:rsidP="00F81259">
      <w:pPr>
        <w:spacing w:before="120" w:after="120" w:line="240" w:lineRule="auto"/>
        <w:jc w:val="both"/>
        <w:textAlignment w:val="top"/>
        <w:rPr>
          <w:rFonts w:ascii="Arial" w:eastAsia="Times New Roman" w:hAnsi="Arial" w:cs="Arial"/>
          <w:color w:val="000000"/>
        </w:rPr>
      </w:pPr>
      <w:r w:rsidRPr="005F68CD">
        <w:rPr>
          <w:rFonts w:ascii="Arial" w:eastAsia="Times New Roman" w:hAnsi="Arial" w:cs="Arial"/>
        </w:rPr>
        <w:t>Jeong EK, Bae JE, Kim IS. Inactivation of influenza A virus H1N1 by disinfection process. American Journal of Infection Control. 2010; 38(5): 354-360. doi: 10.1016/j.ajic.2010.03.003. </w:t>
      </w:r>
    </w:p>
    <w:p w14:paraId="62FB96F8" w14:textId="77777777" w:rsidR="00432DCB" w:rsidRDefault="00432DCB" w:rsidP="00F81259">
      <w:pPr>
        <w:spacing w:before="120" w:after="120" w:line="240" w:lineRule="auto"/>
        <w:jc w:val="both"/>
        <w:textAlignment w:val="top"/>
        <w:rPr>
          <w:rFonts w:ascii="Arial" w:eastAsia="Times New Roman" w:hAnsi="Arial" w:cs="Arial"/>
          <w:color w:val="000000"/>
        </w:rPr>
      </w:pPr>
    </w:p>
    <w:p w14:paraId="535F4609" w14:textId="5AC56D36" w:rsidR="005F68CD" w:rsidRPr="005F68CD" w:rsidRDefault="005F68CD" w:rsidP="00F81259">
      <w:pPr>
        <w:spacing w:before="120" w:after="120" w:line="240" w:lineRule="auto"/>
        <w:jc w:val="both"/>
        <w:textAlignment w:val="top"/>
        <w:rPr>
          <w:rFonts w:ascii="Arial" w:eastAsia="Times New Roman" w:hAnsi="Arial" w:cs="Arial"/>
          <w:color w:val="000000"/>
        </w:rPr>
      </w:pPr>
      <w:r w:rsidRPr="005F68CD">
        <w:rPr>
          <w:rFonts w:ascii="Arial" w:eastAsia="Times New Roman" w:hAnsi="Arial" w:cs="Arial"/>
          <w:color w:val="000000"/>
        </w:rPr>
        <w:lastRenderedPageBreak/>
        <w:t xml:space="preserve">Lai CC, Shih TP, Ko WC, Tang HJ, Hsueh PR. Severe acute respiratory syndrome coronavirus 2 (SARS-CoV-2) and coronavirus disease-2019 (COVID-19): The epidemic and the challenges. International Journal of Antimicrobial Agents. 2020. doi: 10.1016/j.ijantimicag.2020.105924 </w:t>
      </w:r>
    </w:p>
    <w:p w14:paraId="090EAE3A" w14:textId="0E131E4E" w:rsidR="005F68CD" w:rsidRPr="005F68CD" w:rsidRDefault="005F68CD" w:rsidP="00F81259">
      <w:pPr>
        <w:spacing w:before="120" w:after="120" w:line="240" w:lineRule="auto"/>
        <w:jc w:val="both"/>
        <w:textAlignment w:val="top"/>
        <w:rPr>
          <w:rFonts w:ascii="Arial" w:eastAsia="Times New Roman" w:hAnsi="Arial" w:cs="Arial"/>
          <w:color w:val="000000"/>
        </w:rPr>
      </w:pPr>
      <w:r w:rsidRPr="005F68CD">
        <w:rPr>
          <w:rFonts w:ascii="Arial" w:eastAsia="Times New Roman" w:hAnsi="Arial" w:cs="Arial"/>
          <w:color w:val="000000"/>
        </w:rPr>
        <w:t>Lau JT, Tsui H, Lau M, Yang X. SARS transmission, risk factors, and prevention in Hong Kong. Emerg Infect Dis. 2004;10(4):587–592. doi:10.3201/eid1004.030628  </w:t>
      </w:r>
    </w:p>
    <w:p w14:paraId="61491AB9" w14:textId="77777777" w:rsidR="005F68CD" w:rsidRPr="005F68CD" w:rsidRDefault="005F68CD" w:rsidP="00F81259">
      <w:pPr>
        <w:spacing w:before="120" w:after="120" w:line="240" w:lineRule="auto"/>
        <w:jc w:val="both"/>
        <w:textAlignment w:val="top"/>
        <w:rPr>
          <w:rFonts w:ascii="Arial" w:eastAsia="Times New Roman" w:hAnsi="Arial" w:cs="Arial"/>
          <w:color w:val="000000"/>
        </w:rPr>
      </w:pPr>
      <w:r w:rsidRPr="005F68CD">
        <w:rPr>
          <w:rFonts w:ascii="Arial" w:eastAsia="Times New Roman" w:hAnsi="Arial" w:cs="Arial"/>
          <w:color w:val="000000"/>
        </w:rPr>
        <w:t>Moncion K, Young K, Tunis M, Rempel S, Stirling R, Zhao L. Effectiveness of hand hygiene practices in preventing influenza virus infection in the community setting: A systematic review. Can Commun Dis Rep. 2019;45(1):12–23. Published 2019 Jan 3. doi:10.14745/ccdr.v45i01a02</w:t>
      </w:r>
    </w:p>
    <w:p w14:paraId="4C9314A1" w14:textId="21327C16" w:rsidR="005F68CD" w:rsidRPr="005F68CD" w:rsidRDefault="005F68CD" w:rsidP="00F81259">
      <w:pPr>
        <w:spacing w:before="120" w:after="120" w:line="240" w:lineRule="auto"/>
        <w:jc w:val="both"/>
        <w:textAlignment w:val="top"/>
        <w:rPr>
          <w:rFonts w:ascii="Arial" w:eastAsia="Times New Roman" w:hAnsi="Arial" w:cs="Arial"/>
        </w:rPr>
      </w:pPr>
      <w:r w:rsidRPr="005F68CD">
        <w:rPr>
          <w:rFonts w:ascii="Arial" w:eastAsia="Times New Roman" w:hAnsi="Arial" w:cs="Arial"/>
        </w:rPr>
        <w:t xml:space="preserve">Nishiyama A, Wakasugi N, Kirikae T, Quy T, Ha LD, Ban VV, et al. Risk factors for SARS infection within hospitals in Hanoi, Vietnam. Jpn J Infect Dis. 2008; 61(5): 388–390.  </w:t>
      </w:r>
    </w:p>
    <w:p w14:paraId="418B5422" w14:textId="26EF1FB8" w:rsidR="005F68CD" w:rsidRPr="005F68CD" w:rsidRDefault="005F68CD" w:rsidP="00F81259">
      <w:pPr>
        <w:spacing w:before="120" w:after="120" w:line="240" w:lineRule="auto"/>
        <w:jc w:val="both"/>
        <w:textAlignment w:val="top"/>
        <w:rPr>
          <w:rFonts w:ascii="Arial" w:eastAsia="Times New Roman" w:hAnsi="Arial" w:cs="Arial"/>
        </w:rPr>
      </w:pPr>
      <w:r w:rsidRPr="005F68CD">
        <w:rPr>
          <w:rFonts w:ascii="Arial" w:eastAsia="Times New Roman" w:hAnsi="Arial" w:cs="Arial"/>
        </w:rPr>
        <w:t>Otter JA, Donskey C, Yezli S, Douthwaite S, Goldenberg SD, Weber DJ. Transmission of SARS and MERS coronaviruses and influenza virus in healthcare settings: the possible role of dry surface contamination. Journal of Hospital Infection. 2016; 92(3): 235-250. doi: 10.1016/j.jhin.2015.08.027. </w:t>
      </w:r>
    </w:p>
    <w:p w14:paraId="1927688E" w14:textId="2BAF987B" w:rsidR="005F68CD" w:rsidRPr="005F68CD" w:rsidRDefault="005F68CD" w:rsidP="00F81259">
      <w:pPr>
        <w:spacing w:before="120" w:after="120" w:line="240" w:lineRule="auto"/>
        <w:jc w:val="both"/>
        <w:textAlignment w:val="top"/>
        <w:rPr>
          <w:rFonts w:ascii="Arial" w:eastAsia="Times New Roman" w:hAnsi="Arial" w:cs="Arial"/>
        </w:rPr>
      </w:pPr>
      <w:r w:rsidRPr="00EB4E77">
        <w:rPr>
          <w:rFonts w:ascii="Arial" w:eastAsia="Times New Roman" w:hAnsi="Arial" w:cs="Arial"/>
        </w:rPr>
        <w:t>Pang X, Zhu Z, Xu F, Guo J, Gong X, Liu D, et al. </w:t>
      </w:r>
      <w:r w:rsidRPr="005F68CD">
        <w:rPr>
          <w:rFonts w:ascii="Arial" w:eastAsia="Times New Roman" w:hAnsi="Arial" w:cs="Arial"/>
        </w:rPr>
        <w:t xml:space="preserve">Evaluation of Control Measures Implemented in the Severe Acute Respiratory Syndrome Outbreak in Beijing, 2003. JAMA. 2003; 290(24): 3215-3221. doi:10.1001/jama.290.24.3215  </w:t>
      </w:r>
    </w:p>
    <w:p w14:paraId="17E2DF03" w14:textId="6FB223F7" w:rsidR="005F68CD" w:rsidRPr="005F68CD" w:rsidRDefault="005F68CD" w:rsidP="00F81259">
      <w:pPr>
        <w:spacing w:before="120" w:after="120" w:line="240" w:lineRule="auto"/>
        <w:jc w:val="both"/>
        <w:textAlignment w:val="top"/>
        <w:rPr>
          <w:rFonts w:ascii="Arial" w:eastAsia="Times New Roman" w:hAnsi="Arial" w:cs="Arial"/>
          <w:color w:val="000000"/>
        </w:rPr>
      </w:pPr>
      <w:r w:rsidRPr="005F68CD">
        <w:rPr>
          <w:rFonts w:ascii="Arial" w:eastAsia="Times New Roman" w:hAnsi="Arial" w:cs="Arial"/>
        </w:rPr>
        <w:t>Seto WH, Tsang D, Yung RWH, Ching YW, Ng TK, Ho M, et al. Effectiveness of precautions against droplets and contact in prevention of nosocomial transmission of severe acute respiratory syndrome (SARS). Lancet. 2003; 361(9368):1519-1520. doi: 10.1016/S0140-6736(03)13168-6 </w:t>
      </w:r>
      <w:r w:rsidRPr="005F68CD">
        <w:rPr>
          <w:rFonts w:ascii="Arial" w:eastAsia="Times New Roman" w:hAnsi="Arial" w:cs="Arial"/>
          <w:color w:val="000000"/>
        </w:rPr>
        <w:t xml:space="preserve"> </w:t>
      </w:r>
    </w:p>
    <w:p w14:paraId="75923E3E" w14:textId="3A23AFC9" w:rsidR="005F68CD" w:rsidRPr="005F68CD" w:rsidRDefault="005F68CD" w:rsidP="00F81259">
      <w:pPr>
        <w:spacing w:before="120" w:after="120" w:line="240" w:lineRule="auto"/>
        <w:jc w:val="both"/>
        <w:textAlignment w:val="top"/>
        <w:rPr>
          <w:rFonts w:ascii="Arial" w:eastAsia="Times New Roman" w:hAnsi="Arial" w:cs="Arial"/>
          <w:color w:val="000000"/>
        </w:rPr>
      </w:pPr>
      <w:r w:rsidRPr="005F68CD">
        <w:rPr>
          <w:rFonts w:ascii="Arial" w:eastAsia="Times New Roman" w:hAnsi="Arial" w:cs="Arial"/>
          <w:color w:val="000000"/>
        </w:rPr>
        <w:t xml:space="preserve">World Health Organization. Coronavirus disease 2019 (COVID-19): Situation Report – 45. 2020. Available from: </w:t>
      </w:r>
      <w:hyperlink r:id="rId21" w:history="1">
        <w:r w:rsidRPr="005F68CD">
          <w:rPr>
            <w:rFonts w:ascii="Arial" w:eastAsia="Times New Roman" w:hAnsi="Arial" w:cs="Arial"/>
            <w:color w:val="000000"/>
          </w:rPr>
          <w:t>https://www.who.int/docs/default-source/coronaviruse/situation-reports/20200305-sitrep-45-covid-19.pdf?sfvrsn=ed2ba78b_2</w:t>
        </w:r>
      </w:hyperlink>
      <w:r w:rsidRPr="005F68CD">
        <w:rPr>
          <w:rFonts w:ascii="Arial" w:eastAsia="Times New Roman" w:hAnsi="Arial" w:cs="Arial"/>
          <w:color w:val="000000"/>
        </w:rPr>
        <w:t xml:space="preserve">  </w:t>
      </w:r>
    </w:p>
    <w:p w14:paraId="4A6066B2" w14:textId="66750740" w:rsidR="005F68CD" w:rsidRPr="005F68CD" w:rsidRDefault="005F68CD" w:rsidP="00F81259">
      <w:pPr>
        <w:spacing w:before="120" w:after="120" w:line="240" w:lineRule="auto"/>
        <w:jc w:val="both"/>
        <w:textAlignment w:val="top"/>
        <w:rPr>
          <w:rFonts w:ascii="Arial" w:eastAsia="Times New Roman" w:hAnsi="Arial" w:cs="Arial"/>
          <w:color w:val="000000"/>
        </w:rPr>
      </w:pPr>
      <w:r w:rsidRPr="005F68CD">
        <w:rPr>
          <w:rFonts w:ascii="Arial" w:eastAsia="Times New Roman" w:hAnsi="Arial" w:cs="Arial"/>
          <w:color w:val="000000"/>
        </w:rPr>
        <w:t>Yen MY, Lin YE, Lee CH, Ho MS, Huang FY, Chang SC, Liu YC. Taiwan's traffic control bundle and the elimination of nosocomial severe acute respiratory syndrome among healthcare workers,</w:t>
      </w:r>
      <w:r w:rsidR="00CF6ADB">
        <w:rPr>
          <w:rFonts w:ascii="Arial" w:eastAsia="Times New Roman" w:hAnsi="Arial" w:cs="Arial"/>
          <w:color w:val="000000"/>
        </w:rPr>
        <w:t xml:space="preserve"> </w:t>
      </w:r>
      <w:r w:rsidRPr="005F68CD">
        <w:rPr>
          <w:rFonts w:ascii="Arial" w:eastAsia="Times New Roman" w:hAnsi="Arial" w:cs="Arial"/>
          <w:color w:val="000000"/>
        </w:rPr>
        <w:t>Journal of Hospital Infection. 2011; 77(4): 332-337. doi: 10.1016/j.jhin.2010.12.002. </w:t>
      </w:r>
    </w:p>
    <w:p w14:paraId="3E99F460" w14:textId="77777777" w:rsidR="005F68CD" w:rsidRPr="005F68CD" w:rsidRDefault="005F68CD" w:rsidP="00F81259">
      <w:pPr>
        <w:spacing w:before="120" w:after="120" w:line="288" w:lineRule="auto"/>
        <w:textAlignment w:val="top"/>
        <w:rPr>
          <w:rFonts w:ascii="Arial" w:eastAsia="Times New Roman" w:hAnsi="Arial" w:cs="Arial"/>
          <w:color w:val="000000"/>
        </w:rPr>
      </w:pPr>
    </w:p>
    <w:sectPr w:rsidR="005F68CD" w:rsidRPr="005F68CD" w:rsidSect="00190876">
      <w:pgSz w:w="12240" w:h="15840"/>
      <w:pgMar w:top="1440" w:right="162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30169" w14:textId="77777777" w:rsidR="00D73FB6" w:rsidRDefault="00D73FB6" w:rsidP="001B5186">
      <w:pPr>
        <w:spacing w:after="0" w:line="240" w:lineRule="auto"/>
      </w:pPr>
      <w:r>
        <w:separator/>
      </w:r>
    </w:p>
  </w:endnote>
  <w:endnote w:type="continuationSeparator" w:id="0">
    <w:p w14:paraId="00F41ED6" w14:textId="77777777" w:rsidR="00D73FB6" w:rsidRDefault="00D73FB6" w:rsidP="001B5186">
      <w:pPr>
        <w:spacing w:after="0" w:line="240" w:lineRule="auto"/>
      </w:pPr>
      <w:r>
        <w:continuationSeparator/>
      </w:r>
    </w:p>
  </w:endnote>
  <w:endnote w:type="continuationNotice" w:id="1">
    <w:p w14:paraId="797CCB21" w14:textId="77777777" w:rsidR="00D73FB6" w:rsidRDefault="00D73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9E15" w14:textId="37219341" w:rsidR="00584AF5" w:rsidRDefault="00584AF5">
    <w:pPr>
      <w:pStyle w:val="Footer"/>
      <w:jc w:val="right"/>
    </w:pPr>
  </w:p>
  <w:p w14:paraId="1285546F" w14:textId="77777777" w:rsidR="00584AF5" w:rsidRDefault="0058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367FB" w14:textId="77777777" w:rsidR="00D73FB6" w:rsidRDefault="00D73FB6" w:rsidP="001B5186">
      <w:pPr>
        <w:spacing w:after="0" w:line="240" w:lineRule="auto"/>
      </w:pPr>
      <w:r>
        <w:separator/>
      </w:r>
    </w:p>
  </w:footnote>
  <w:footnote w:type="continuationSeparator" w:id="0">
    <w:p w14:paraId="359D02A6" w14:textId="77777777" w:rsidR="00D73FB6" w:rsidRDefault="00D73FB6" w:rsidP="001B5186">
      <w:pPr>
        <w:spacing w:after="0" w:line="240" w:lineRule="auto"/>
      </w:pPr>
      <w:r>
        <w:continuationSeparator/>
      </w:r>
    </w:p>
  </w:footnote>
  <w:footnote w:type="continuationNotice" w:id="1">
    <w:p w14:paraId="10DEAFBB" w14:textId="77777777" w:rsidR="00D73FB6" w:rsidRDefault="00D73FB6">
      <w:pPr>
        <w:spacing w:after="0" w:line="240" w:lineRule="auto"/>
      </w:pPr>
    </w:p>
  </w:footnote>
  <w:footnote w:id="2">
    <w:p w14:paraId="67339162" w14:textId="77777777" w:rsidR="002F2E17" w:rsidRPr="00443C4C" w:rsidRDefault="00584AF5" w:rsidP="000A4C92">
      <w:pPr>
        <w:pStyle w:val="FootnoteText"/>
        <w:spacing w:after="0"/>
        <w:rPr>
          <w:rFonts w:ascii="Arial" w:hAnsi="Arial" w:cs="Arial"/>
          <w:sz w:val="18"/>
          <w:szCs w:val="18"/>
          <w:lang w:val="es-ES_tradnl"/>
        </w:rPr>
      </w:pPr>
      <w:r w:rsidRPr="006C1331">
        <w:rPr>
          <w:rStyle w:val="FootnoteReference"/>
          <w:rFonts w:ascii="Arial" w:hAnsi="Arial" w:cs="Arial"/>
          <w:sz w:val="18"/>
          <w:szCs w:val="18"/>
        </w:rPr>
        <w:footnoteRef/>
      </w:r>
      <w:r w:rsidRPr="008B62EF">
        <w:rPr>
          <w:rFonts w:ascii="Arial" w:hAnsi="Arial" w:cs="Arial"/>
          <w:sz w:val="18"/>
          <w:szCs w:val="18"/>
          <w:lang w:val="es-ES_tradnl"/>
        </w:rPr>
        <w:t xml:space="preserve"> </w:t>
      </w:r>
      <w:r w:rsidRPr="008B62EF">
        <w:rPr>
          <w:rFonts w:ascii="Arial" w:hAnsi="Arial" w:cs="Arial"/>
          <w:sz w:val="18"/>
          <w:szCs w:val="18"/>
          <w:lang w:val="es-ES_tradnl"/>
        </w:rPr>
        <w:tab/>
      </w:r>
      <w:r w:rsidR="008B62EF" w:rsidRPr="008B62EF">
        <w:rPr>
          <w:rFonts w:ascii="Arial" w:hAnsi="Arial" w:cs="Arial"/>
          <w:sz w:val="18"/>
          <w:szCs w:val="18"/>
          <w:lang w:val="es-ES_tradnl"/>
        </w:rPr>
        <w:t>OMS</w:t>
      </w:r>
      <w:r w:rsidRPr="008B62EF">
        <w:rPr>
          <w:rFonts w:ascii="Arial" w:hAnsi="Arial" w:cs="Arial"/>
          <w:sz w:val="18"/>
          <w:szCs w:val="18"/>
          <w:lang w:val="es-ES_tradnl"/>
        </w:rPr>
        <w:t xml:space="preserve"> COVID-19 </w:t>
      </w:r>
      <w:r w:rsidR="008B62EF" w:rsidRPr="008B62EF">
        <w:rPr>
          <w:rFonts w:ascii="Arial" w:hAnsi="Arial" w:cs="Arial"/>
          <w:sz w:val="18"/>
          <w:szCs w:val="18"/>
          <w:lang w:val="es-ES_tradnl"/>
        </w:rPr>
        <w:t>Ver situación en:</w:t>
      </w:r>
      <w:r w:rsidRPr="008B62EF">
        <w:rPr>
          <w:rFonts w:ascii="Arial" w:hAnsi="Arial" w:cs="Arial"/>
          <w:sz w:val="18"/>
          <w:szCs w:val="18"/>
          <w:lang w:val="es-ES_tradnl"/>
        </w:rPr>
        <w:t xml:space="preserve"> </w:t>
      </w:r>
      <w:hyperlink r:id="rId1" w:history="1">
        <w:r w:rsidRPr="008B62EF">
          <w:rPr>
            <w:rStyle w:val="Hyperlink"/>
            <w:rFonts w:ascii="Arial" w:hAnsi="Arial" w:cs="Arial"/>
            <w:sz w:val="18"/>
            <w:szCs w:val="18"/>
            <w:lang w:val="es-ES_tradnl"/>
          </w:rPr>
          <w:t>https://www.who.int/emergencies/diseases/novel-coronavirus-2019</w:t>
        </w:r>
      </w:hyperlink>
    </w:p>
    <w:p w14:paraId="51B6DB0B" w14:textId="5E559EEC" w:rsidR="00584AF5" w:rsidRPr="00443C4C" w:rsidRDefault="008B62EF" w:rsidP="006C1331">
      <w:pPr>
        <w:pStyle w:val="FootnoteText"/>
        <w:spacing w:after="0"/>
        <w:rPr>
          <w:rFonts w:ascii="Arial" w:hAnsi="Arial" w:cs="Arial"/>
          <w:sz w:val="18"/>
          <w:szCs w:val="18"/>
          <w:lang w:val="es-ES_tradnl"/>
        </w:rPr>
      </w:pPr>
      <w:r w:rsidRPr="008B62EF">
        <w:rPr>
          <w:rFonts w:ascii="Arial" w:hAnsi="Arial" w:cs="Arial"/>
          <w:sz w:val="18"/>
          <w:szCs w:val="18"/>
          <w:lang w:val="es-ES_tradnl"/>
        </w:rPr>
        <w:t xml:space="preserve"> 16 de abril,2020.</w:t>
      </w:r>
    </w:p>
  </w:footnote>
  <w:footnote w:id="3">
    <w:p w14:paraId="405D4953" w14:textId="77777777" w:rsidR="00584AF5" w:rsidRPr="006C1331" w:rsidRDefault="00584AF5" w:rsidP="006C1331">
      <w:pPr>
        <w:pStyle w:val="FootnoteText"/>
        <w:spacing w:after="0"/>
        <w:rPr>
          <w:rFonts w:ascii="Arial" w:hAnsi="Arial" w:cs="Arial"/>
          <w:sz w:val="18"/>
          <w:szCs w:val="18"/>
          <w:lang w:val="es-ES_tradnl"/>
        </w:rPr>
      </w:pPr>
      <w:r w:rsidRPr="006C1331">
        <w:rPr>
          <w:rStyle w:val="FootnoteReference"/>
          <w:rFonts w:ascii="Arial" w:hAnsi="Arial" w:cs="Arial"/>
          <w:sz w:val="18"/>
          <w:szCs w:val="18"/>
        </w:rPr>
        <w:footnoteRef/>
      </w:r>
      <w:r w:rsidRPr="006C1331">
        <w:rPr>
          <w:rFonts w:ascii="Arial" w:hAnsi="Arial" w:cs="Arial"/>
          <w:sz w:val="18"/>
          <w:szCs w:val="18"/>
          <w:lang w:val="es-ES_tradnl"/>
        </w:rPr>
        <w:t xml:space="preserve"> </w:t>
      </w:r>
      <w:r w:rsidRPr="006C1331">
        <w:rPr>
          <w:rFonts w:ascii="Arial" w:hAnsi="Arial" w:cs="Arial"/>
          <w:sz w:val="18"/>
          <w:szCs w:val="18"/>
          <w:lang w:val="es-ES_tradnl"/>
        </w:rPr>
        <w:tab/>
        <w:t xml:space="preserve">Reporte situacional COVID-19, procesado por la División de Protección Social y Salud a partir de datos del </w:t>
      </w:r>
      <w:r w:rsidRPr="008B62EF">
        <w:rPr>
          <w:rFonts w:ascii="Arial" w:hAnsi="Arial" w:cs="Arial"/>
          <w:i/>
          <w:sz w:val="18"/>
          <w:szCs w:val="18"/>
          <w:lang w:val="es-ES_tradnl"/>
        </w:rPr>
        <w:t>European Center for Disease and Control</w:t>
      </w:r>
      <w:r w:rsidRPr="006C1331">
        <w:rPr>
          <w:rFonts w:ascii="Arial" w:hAnsi="Arial" w:cs="Arial"/>
          <w:sz w:val="18"/>
          <w:szCs w:val="18"/>
          <w:lang w:val="es-ES_tradnl"/>
        </w:rPr>
        <w:t xml:space="preserve"> (ECDC).</w:t>
      </w:r>
    </w:p>
  </w:footnote>
  <w:footnote w:id="4">
    <w:p w14:paraId="55D2BE22" w14:textId="77777777" w:rsidR="00584AF5" w:rsidRPr="006C1331" w:rsidRDefault="00584AF5" w:rsidP="006C1331">
      <w:pPr>
        <w:pStyle w:val="FootnoteText"/>
        <w:spacing w:after="0"/>
        <w:rPr>
          <w:rFonts w:ascii="Arial" w:hAnsi="Arial" w:cs="Arial"/>
          <w:sz w:val="18"/>
          <w:szCs w:val="18"/>
          <w:lang w:val="es-ES_tradnl"/>
        </w:rPr>
      </w:pPr>
      <w:r w:rsidRPr="006C1331">
        <w:rPr>
          <w:rStyle w:val="FootnoteReference"/>
          <w:rFonts w:ascii="Arial" w:hAnsi="Arial" w:cs="Arial"/>
          <w:sz w:val="18"/>
          <w:szCs w:val="18"/>
        </w:rPr>
        <w:footnoteRef/>
      </w:r>
      <w:r w:rsidRPr="006C1331">
        <w:rPr>
          <w:rFonts w:ascii="Arial" w:hAnsi="Arial" w:cs="Arial"/>
          <w:sz w:val="18"/>
          <w:szCs w:val="18"/>
          <w:lang w:val="es-ES_tradnl"/>
        </w:rPr>
        <w:t xml:space="preserve"> </w:t>
      </w:r>
      <w:r w:rsidRPr="006C1331">
        <w:rPr>
          <w:rFonts w:ascii="Arial" w:hAnsi="Arial" w:cs="Arial"/>
          <w:sz w:val="18"/>
          <w:szCs w:val="18"/>
          <w:lang w:val="es-ES_tradnl"/>
        </w:rPr>
        <w:tab/>
      </w:r>
      <w:hyperlink r:id="rId2" w:history="1">
        <w:r w:rsidRPr="006C1331">
          <w:rPr>
            <w:rStyle w:val="Hyperlink"/>
            <w:rFonts w:ascii="Arial" w:hAnsi="Arial" w:cs="Arial"/>
            <w:sz w:val="18"/>
            <w:szCs w:val="18"/>
            <w:lang w:val="es-ES_tradnl"/>
          </w:rPr>
          <w:t>https://www.who.int/es/emergencies/diseases/novel-coronavirus-2019/advice-for-public/q-a-coronaviruses</w:t>
        </w:r>
      </w:hyperlink>
    </w:p>
  </w:footnote>
  <w:footnote w:id="5">
    <w:p w14:paraId="54A0D173" w14:textId="77777777" w:rsidR="00215465" w:rsidRPr="00215465" w:rsidRDefault="00215465" w:rsidP="000A4C92">
      <w:pPr>
        <w:pStyle w:val="FootnoteText"/>
        <w:spacing w:after="0"/>
        <w:rPr>
          <w:rFonts w:ascii="Arial" w:hAnsi="Arial" w:cs="Arial"/>
          <w:sz w:val="18"/>
          <w:szCs w:val="18"/>
          <w:lang w:val="es-ES_tradnl"/>
        </w:rPr>
      </w:pPr>
      <w:r w:rsidRPr="00A069CF">
        <w:rPr>
          <w:rStyle w:val="FootnoteReference"/>
          <w:rFonts w:ascii="Arial" w:hAnsi="Arial" w:cs="Arial"/>
          <w:sz w:val="18"/>
          <w:szCs w:val="18"/>
        </w:rPr>
        <w:footnoteRef/>
      </w:r>
      <w:r w:rsidRPr="00215465">
        <w:rPr>
          <w:rFonts w:ascii="Arial" w:hAnsi="Arial" w:cs="Arial"/>
          <w:sz w:val="18"/>
          <w:szCs w:val="18"/>
          <w:lang w:val="es-ES_tradnl"/>
        </w:rPr>
        <w:tab/>
        <w:t>Cálculos propios a partir de la EH del INE, 2018.</w:t>
      </w:r>
    </w:p>
  </w:footnote>
  <w:footnote w:id="6">
    <w:p w14:paraId="388FFDBF" w14:textId="77777777" w:rsidR="00215465" w:rsidRPr="00215465" w:rsidRDefault="00215465" w:rsidP="000A4C92">
      <w:pPr>
        <w:pStyle w:val="FootnoteText"/>
        <w:spacing w:after="0"/>
        <w:rPr>
          <w:rFonts w:ascii="Arial" w:hAnsi="Arial" w:cs="Arial"/>
          <w:sz w:val="18"/>
          <w:szCs w:val="18"/>
          <w:lang w:val="es-ES_tradnl"/>
        </w:rPr>
      </w:pPr>
      <w:r w:rsidRPr="00760D45">
        <w:rPr>
          <w:rStyle w:val="FootnoteReference"/>
          <w:rFonts w:ascii="Arial" w:hAnsi="Arial" w:cs="Arial"/>
          <w:sz w:val="18"/>
          <w:szCs w:val="18"/>
        </w:rPr>
        <w:footnoteRef/>
      </w:r>
      <w:r w:rsidRPr="00215465">
        <w:rPr>
          <w:rFonts w:ascii="Arial" w:hAnsi="Arial" w:cs="Arial"/>
          <w:sz w:val="18"/>
          <w:szCs w:val="18"/>
          <w:lang w:val="es-ES_tradnl"/>
        </w:rPr>
        <w:t xml:space="preserve"> </w:t>
      </w:r>
      <w:r w:rsidRPr="00215465">
        <w:rPr>
          <w:rFonts w:ascii="Arial" w:hAnsi="Arial" w:cs="Arial"/>
          <w:sz w:val="18"/>
          <w:szCs w:val="18"/>
          <w:lang w:val="es-ES_tradnl"/>
        </w:rPr>
        <w:tab/>
        <w:t>Aproximadamente 2.3 millones de personas viven en hogares donde al menos una persona recibe Renta Dignidad.</w:t>
      </w:r>
    </w:p>
  </w:footnote>
  <w:footnote w:id="7">
    <w:p w14:paraId="0706617B" w14:textId="77777777" w:rsidR="00215465" w:rsidRPr="00215465" w:rsidRDefault="00215465" w:rsidP="000A4C92">
      <w:pPr>
        <w:pStyle w:val="FootnoteText"/>
        <w:spacing w:after="0"/>
        <w:rPr>
          <w:rFonts w:ascii="Arial" w:hAnsi="Arial" w:cs="Arial"/>
          <w:sz w:val="18"/>
          <w:szCs w:val="18"/>
          <w:lang w:val="es-ES_tradnl"/>
        </w:rPr>
      </w:pPr>
      <w:r w:rsidRPr="00A069CF">
        <w:rPr>
          <w:rStyle w:val="FootnoteReference"/>
          <w:rFonts w:ascii="Arial" w:hAnsi="Arial" w:cs="Arial"/>
          <w:sz w:val="18"/>
          <w:szCs w:val="18"/>
        </w:rPr>
        <w:footnoteRef/>
      </w:r>
      <w:r w:rsidRPr="00215465">
        <w:rPr>
          <w:rFonts w:ascii="Arial" w:hAnsi="Arial" w:cs="Arial"/>
          <w:sz w:val="18"/>
          <w:szCs w:val="18"/>
          <w:lang w:val="es-ES_tradnl"/>
        </w:rPr>
        <w:t xml:space="preserve"> </w:t>
      </w:r>
      <w:r w:rsidRPr="00215465">
        <w:rPr>
          <w:rFonts w:ascii="Arial" w:hAnsi="Arial" w:cs="Arial"/>
          <w:sz w:val="18"/>
          <w:szCs w:val="18"/>
          <w:lang w:val="es-ES_tradnl"/>
        </w:rPr>
        <w:tab/>
        <w:t xml:space="preserve">Para mayores detalles sobre Renta Dignidad ver </w:t>
      </w:r>
      <w:hyperlink r:id="rId3" w:history="1">
        <w:r w:rsidRPr="00215465">
          <w:rPr>
            <w:rStyle w:val="Hyperlink"/>
            <w:lang w:val="es-ES_tradnl"/>
          </w:rPr>
          <w:t>EEO#</w:t>
        </w:r>
        <w:r w:rsidRPr="00215465">
          <w:rPr>
            <w:rStyle w:val="Hyperlink"/>
            <w:rFonts w:ascii="Arial" w:hAnsi="Arial" w:cs="Arial"/>
            <w:sz w:val="18"/>
            <w:szCs w:val="18"/>
            <w:lang w:val="es-ES_tradnl"/>
          </w:rPr>
          <w:t>6</w:t>
        </w:r>
      </w:hyperlink>
      <w:r w:rsidRPr="00215465">
        <w:rPr>
          <w:rFonts w:ascii="Arial" w:hAnsi="Arial" w:cs="Arial"/>
          <w:sz w:val="18"/>
          <w:szCs w:val="18"/>
          <w:lang w:val="es-ES_tradnl"/>
        </w:rPr>
        <w:t>.</w:t>
      </w:r>
    </w:p>
  </w:footnote>
  <w:footnote w:id="8">
    <w:p w14:paraId="1AD65E0A" w14:textId="77777777" w:rsidR="00215465" w:rsidRPr="00215465" w:rsidRDefault="00215465" w:rsidP="000A4C92">
      <w:pPr>
        <w:pStyle w:val="FootnoteText"/>
        <w:spacing w:after="0"/>
        <w:rPr>
          <w:rFonts w:ascii="Arial" w:hAnsi="Arial" w:cs="Arial"/>
          <w:sz w:val="18"/>
          <w:szCs w:val="18"/>
          <w:lang w:val="es-ES_tradnl"/>
        </w:rPr>
      </w:pPr>
      <w:r w:rsidRPr="00A069CF">
        <w:rPr>
          <w:rStyle w:val="FootnoteReference"/>
          <w:rFonts w:ascii="Arial" w:hAnsi="Arial" w:cs="Arial"/>
          <w:sz w:val="18"/>
          <w:szCs w:val="18"/>
        </w:rPr>
        <w:footnoteRef/>
      </w:r>
      <w:r w:rsidRPr="00215465">
        <w:rPr>
          <w:rFonts w:ascii="Arial" w:hAnsi="Arial" w:cs="Arial"/>
          <w:sz w:val="18"/>
          <w:szCs w:val="18"/>
          <w:lang w:val="es-ES_tradnl"/>
        </w:rPr>
        <w:t xml:space="preserve"> </w:t>
      </w:r>
      <w:r w:rsidRPr="00215465">
        <w:rPr>
          <w:rFonts w:ascii="Arial" w:hAnsi="Arial" w:cs="Arial"/>
          <w:sz w:val="18"/>
          <w:szCs w:val="18"/>
          <w:lang w:val="es-ES_tradnl"/>
        </w:rPr>
        <w:tab/>
        <w:t>Cabe destacar que en Bolivia de acuerdo con el Viceministerio de Electricidad y Energías Alternativas la cobertura eléctrica urbana se estima en 100% y en las áreas rurales en 90%. Una familia que cuenta con un refrigerador, una televisión, una radio y tres bombillos, en promedio consume 153kWh-mes.</w:t>
      </w:r>
    </w:p>
  </w:footnote>
  <w:footnote w:id="9">
    <w:p w14:paraId="2CE25B82" w14:textId="77777777" w:rsidR="00215465" w:rsidRPr="00215465" w:rsidRDefault="00215465" w:rsidP="000A4C92">
      <w:pPr>
        <w:pStyle w:val="FootnoteText"/>
        <w:spacing w:after="0"/>
        <w:rPr>
          <w:rFonts w:ascii="Arial" w:hAnsi="Arial" w:cs="Arial"/>
          <w:sz w:val="18"/>
          <w:szCs w:val="18"/>
          <w:lang w:val="es-ES_tradnl"/>
        </w:rPr>
      </w:pPr>
      <w:r w:rsidRPr="00A069CF">
        <w:rPr>
          <w:rStyle w:val="FootnoteReference"/>
          <w:rFonts w:ascii="Arial" w:hAnsi="Arial" w:cs="Arial"/>
          <w:sz w:val="18"/>
          <w:szCs w:val="18"/>
        </w:rPr>
        <w:footnoteRef/>
      </w:r>
      <w:r w:rsidRPr="00215465">
        <w:rPr>
          <w:rFonts w:ascii="Arial" w:hAnsi="Arial" w:cs="Arial"/>
          <w:sz w:val="18"/>
          <w:szCs w:val="18"/>
          <w:lang w:val="es-ES_tradnl"/>
        </w:rPr>
        <w:t xml:space="preserve"> </w:t>
      </w:r>
      <w:r w:rsidRPr="00215465">
        <w:rPr>
          <w:rFonts w:ascii="Arial" w:hAnsi="Arial" w:cs="Arial"/>
          <w:sz w:val="18"/>
          <w:szCs w:val="18"/>
          <w:lang w:val="es-ES_tradnl"/>
        </w:rPr>
        <w:tab/>
        <w:t xml:space="preserve">Para mayores detalles, ver </w:t>
      </w:r>
      <w:hyperlink r:id="rId4" w:history="1">
        <w:r w:rsidRPr="00215465">
          <w:rPr>
            <w:rStyle w:val="Hyperlink"/>
            <w:lang w:val="es-ES_tradnl"/>
          </w:rPr>
          <w:t>EEO#</w:t>
        </w:r>
        <w:r w:rsidRPr="00215465">
          <w:rPr>
            <w:rStyle w:val="Hyperlink"/>
            <w:rFonts w:ascii="Arial" w:hAnsi="Arial" w:cs="Arial"/>
            <w:sz w:val="18"/>
            <w:szCs w:val="18"/>
            <w:lang w:val="es-ES_tradnl"/>
          </w:rPr>
          <w:t>7</w:t>
        </w:r>
      </w:hyperlink>
      <w:r w:rsidRPr="00215465">
        <w:rPr>
          <w:rFonts w:ascii="Arial" w:hAnsi="Arial" w:cs="Arial"/>
          <w:sz w:val="18"/>
          <w:szCs w:val="18"/>
          <w:lang w:val="es-ES_tradnl"/>
        </w:rPr>
        <w:t>.</w:t>
      </w:r>
    </w:p>
  </w:footnote>
  <w:footnote w:id="10">
    <w:p w14:paraId="6B9EF823" w14:textId="77777777" w:rsidR="00443C4C" w:rsidRPr="003663F3" w:rsidRDefault="00443C4C" w:rsidP="00443C4C">
      <w:pPr>
        <w:pStyle w:val="FootnoteText"/>
        <w:spacing w:after="0"/>
        <w:ind w:left="289"/>
        <w:rPr>
          <w:rFonts w:ascii="Arial" w:hAnsi="Arial" w:cs="Arial"/>
          <w:sz w:val="18"/>
          <w:szCs w:val="18"/>
          <w:lang w:val="es-ES"/>
        </w:rPr>
      </w:pPr>
      <w:r w:rsidRPr="00BB7F4A">
        <w:rPr>
          <w:rStyle w:val="FootnoteReference"/>
          <w:rFonts w:ascii="Arial" w:hAnsi="Arial" w:cs="Arial"/>
          <w:sz w:val="18"/>
          <w:szCs w:val="18"/>
        </w:rPr>
        <w:footnoteRef/>
      </w:r>
      <w:r w:rsidRPr="002B5473">
        <w:rPr>
          <w:rFonts w:ascii="Arial" w:hAnsi="Arial" w:cs="Arial"/>
          <w:sz w:val="18"/>
          <w:szCs w:val="18"/>
          <w:lang w:val="es-ES_tradnl"/>
        </w:rPr>
        <w:t xml:space="preserve"> </w:t>
      </w:r>
      <w:r w:rsidRPr="002B5473">
        <w:rPr>
          <w:rFonts w:ascii="Arial" w:hAnsi="Arial" w:cs="Arial"/>
          <w:sz w:val="18"/>
          <w:szCs w:val="18"/>
          <w:lang w:val="es-ES_tradnl"/>
        </w:rPr>
        <w:tab/>
      </w:r>
      <w:r w:rsidRPr="00BB7F4A">
        <w:rPr>
          <w:rFonts w:ascii="Arial" w:hAnsi="Arial" w:cs="Arial"/>
          <w:sz w:val="18"/>
          <w:szCs w:val="18"/>
          <w:lang w:val="es-ES"/>
        </w:rPr>
        <w:t>El Gobierno de Bolivia financiará la mitad restante del costo de todos los bonos. Al momento del procesamiento de esta operación el Gobierno se encontraba en diálogo con el BM para financi</w:t>
      </w:r>
      <w:r w:rsidRPr="003663F3">
        <w:rPr>
          <w:rFonts w:ascii="Arial" w:hAnsi="Arial" w:cs="Arial"/>
          <w:sz w:val="18"/>
          <w:szCs w:val="18"/>
          <w:lang w:val="es-ES"/>
        </w:rPr>
        <w:t>amiento.</w:t>
      </w:r>
    </w:p>
  </w:footnote>
  <w:footnote w:id="11">
    <w:p w14:paraId="4CA242FC" w14:textId="77777777" w:rsidR="00443C4C" w:rsidRPr="002B5473" w:rsidRDefault="00443C4C" w:rsidP="00443C4C">
      <w:pPr>
        <w:pStyle w:val="FootnoteText"/>
        <w:rPr>
          <w:lang w:val="es-ES_tradnl"/>
        </w:rPr>
      </w:pPr>
      <w:r w:rsidRPr="00E20C38">
        <w:rPr>
          <w:rStyle w:val="FootnoteReference"/>
          <w:rFonts w:ascii="Arial" w:hAnsi="Arial" w:cs="Arial"/>
          <w:sz w:val="18"/>
          <w:szCs w:val="18"/>
        </w:rPr>
        <w:footnoteRef/>
      </w:r>
      <w:r w:rsidRPr="002B5473">
        <w:rPr>
          <w:rFonts w:ascii="Arial" w:hAnsi="Arial" w:cs="Arial"/>
          <w:sz w:val="18"/>
          <w:szCs w:val="18"/>
          <w:lang w:val="es-ES_tradnl"/>
        </w:rPr>
        <w:t xml:space="preserve"> El Banco acompaña estos esfuerzos mediante la cooperación técnica Apoyo a la Gestión e Implementación de la Institucionalidad de los Gobiernos Indígenas Originario Campesinos (</w:t>
      </w:r>
      <w:r w:rsidRPr="002B5473">
        <w:rPr>
          <w:rFonts w:ascii="Arial" w:hAnsi="Arial" w:cs="Arial"/>
          <w:color w:val="0C1320"/>
          <w:sz w:val="18"/>
          <w:szCs w:val="18"/>
          <w:lang w:val="es-ES_tradnl"/>
        </w:rPr>
        <w:t>ATN/JF-16567-BO)</w:t>
      </w:r>
    </w:p>
  </w:footnote>
  <w:footnote w:id="12">
    <w:p w14:paraId="07F0A986" w14:textId="77777777" w:rsidR="00443C4C" w:rsidRPr="002B5473" w:rsidRDefault="00443C4C" w:rsidP="00443C4C">
      <w:pPr>
        <w:pStyle w:val="FootnoteText"/>
        <w:spacing w:after="0"/>
        <w:rPr>
          <w:rFonts w:ascii="Arial" w:hAnsi="Arial" w:cs="Arial"/>
          <w:sz w:val="18"/>
          <w:szCs w:val="18"/>
          <w:lang w:val="es-ES_tradnl"/>
        </w:rPr>
      </w:pPr>
      <w:r w:rsidRPr="00BB7F4A">
        <w:rPr>
          <w:rStyle w:val="FootnoteReference"/>
          <w:rFonts w:ascii="Arial" w:hAnsi="Arial" w:cs="Arial"/>
          <w:sz w:val="18"/>
          <w:szCs w:val="18"/>
        </w:rPr>
        <w:footnoteRef/>
      </w:r>
      <w:r w:rsidRPr="002B5473">
        <w:rPr>
          <w:rFonts w:ascii="Arial" w:hAnsi="Arial" w:cs="Arial"/>
          <w:sz w:val="18"/>
          <w:szCs w:val="18"/>
          <w:lang w:val="es-ES_tradnl"/>
        </w:rPr>
        <w:tab/>
        <w:t xml:space="preserve">Este subcomponente se alinea a lo establecido en el Prototipo de Apoyo a Poblaciones Vulnerables, en específico </w:t>
      </w:r>
      <w:r w:rsidRPr="00896151">
        <w:rPr>
          <w:rFonts w:ascii="Arial" w:hAnsi="Arial" w:cs="Arial"/>
          <w:sz w:val="18"/>
          <w:szCs w:val="18"/>
          <w:lang w:val="es-ES"/>
        </w:rPr>
        <w:t>¶</w:t>
      </w:r>
      <w:r w:rsidRPr="002B5473">
        <w:rPr>
          <w:rFonts w:ascii="Arial" w:hAnsi="Arial" w:cs="Arial"/>
          <w:sz w:val="18"/>
          <w:szCs w:val="18"/>
          <w:lang w:val="es-ES_tradnl"/>
        </w:rPr>
        <w:t xml:space="preserve">1.18, </w:t>
      </w:r>
      <w:r w:rsidRPr="00896151">
        <w:rPr>
          <w:rFonts w:ascii="Arial" w:hAnsi="Arial" w:cs="Arial"/>
          <w:sz w:val="18"/>
          <w:szCs w:val="18"/>
          <w:lang w:val="es-ES"/>
        </w:rPr>
        <w:t>¶</w:t>
      </w:r>
      <w:r w:rsidRPr="002B5473">
        <w:rPr>
          <w:rFonts w:ascii="Arial" w:hAnsi="Arial" w:cs="Arial"/>
          <w:sz w:val="18"/>
          <w:szCs w:val="18"/>
          <w:lang w:val="es-ES_tradnl"/>
        </w:rPr>
        <w:t xml:space="preserve">1.20 y </w:t>
      </w:r>
      <w:r w:rsidRPr="00896151">
        <w:rPr>
          <w:rFonts w:ascii="Arial" w:hAnsi="Arial" w:cs="Arial"/>
          <w:sz w:val="18"/>
          <w:szCs w:val="18"/>
          <w:lang w:val="es-ES"/>
        </w:rPr>
        <w:t>¶</w:t>
      </w:r>
      <w:r w:rsidRPr="002B5473">
        <w:rPr>
          <w:rFonts w:ascii="Arial" w:hAnsi="Arial" w:cs="Arial"/>
          <w:sz w:val="18"/>
          <w:szCs w:val="18"/>
          <w:lang w:val="es-ES_tradnl"/>
        </w:rPr>
        <w:t>1.22, así como la nota al pie 16 del prototipo.</w:t>
      </w:r>
    </w:p>
  </w:footnote>
  <w:footnote w:id="13">
    <w:p w14:paraId="36A42357" w14:textId="77777777" w:rsidR="00443C4C" w:rsidRPr="002B5473" w:rsidRDefault="00443C4C" w:rsidP="00443C4C">
      <w:pPr>
        <w:pStyle w:val="FootnoteText"/>
        <w:spacing w:after="0"/>
        <w:rPr>
          <w:rFonts w:ascii="Arial" w:hAnsi="Arial" w:cs="Arial"/>
          <w:sz w:val="18"/>
          <w:szCs w:val="18"/>
          <w:lang w:val="es-ES_tradnl"/>
        </w:rPr>
      </w:pPr>
      <w:r w:rsidRPr="00BB7F4A">
        <w:rPr>
          <w:rStyle w:val="FootnoteReference"/>
          <w:rFonts w:ascii="Arial" w:hAnsi="Arial" w:cs="Arial"/>
          <w:sz w:val="18"/>
          <w:szCs w:val="18"/>
        </w:rPr>
        <w:footnoteRef/>
      </w:r>
      <w:r w:rsidRPr="002B5473">
        <w:rPr>
          <w:rFonts w:ascii="Arial" w:hAnsi="Arial" w:cs="Arial"/>
          <w:sz w:val="18"/>
          <w:szCs w:val="18"/>
          <w:lang w:val="es-ES_tradnl"/>
        </w:rPr>
        <w:t xml:space="preserve"> </w:t>
      </w:r>
      <w:r w:rsidRPr="002B5473">
        <w:rPr>
          <w:rFonts w:ascii="Arial" w:hAnsi="Arial" w:cs="Arial"/>
          <w:sz w:val="18"/>
          <w:szCs w:val="18"/>
          <w:lang w:val="es-ES_tradnl"/>
        </w:rPr>
        <w:tab/>
        <w:t>De acuerdo con el Decreto Supremo 4206 (</w:t>
      </w:r>
      <w:hyperlink r:id="rId5" w:history="1">
        <w:r w:rsidRPr="002B5473">
          <w:rPr>
            <w:rStyle w:val="Hyperlink"/>
            <w:rFonts w:ascii="Arial" w:hAnsi="Arial" w:cs="Arial"/>
            <w:sz w:val="18"/>
            <w:szCs w:val="18"/>
            <w:lang w:val="es-ES_tradnl"/>
          </w:rPr>
          <w:t>https://boliviaemprende.com/wp-content/uploads/2020/04/Decreto-Supremo-4206-Gaceta-Oficial-de-Bolivia-en-PDF.pdf</w:t>
        </w:r>
      </w:hyperlink>
      <w:r w:rsidRPr="002B5473">
        <w:rPr>
          <w:rFonts w:ascii="Arial" w:hAnsi="Arial" w:cs="Arial"/>
          <w:sz w:val="18"/>
          <w:szCs w:val="18"/>
          <w:lang w:val="es-ES_tradnl"/>
        </w:rPr>
        <w:t>), el apoyo cubrirá el consumo de electricidad y las Tasas de Alumbrado Público y Aseo así como la tasa de la Autoridad de Fiscalización y Control de Cooperativas que se incluyen en las facturas. Estos apoyos beneficiarán también a población vulnerable ocupada en el sector informal. Como se mencionó anteriormente, en Bolivia 82% de los empleos están en el sector informal, y la vulnerabilidad rebasa al 60% de la población.</w:t>
      </w:r>
    </w:p>
  </w:footnote>
  <w:footnote w:id="14">
    <w:p w14:paraId="51EC9A25" w14:textId="77777777" w:rsidR="00443C4C" w:rsidRPr="002B5473" w:rsidRDefault="00443C4C" w:rsidP="00443C4C">
      <w:pPr>
        <w:pStyle w:val="FootnoteText"/>
        <w:spacing w:after="0"/>
        <w:rPr>
          <w:rFonts w:ascii="Arial" w:hAnsi="Arial" w:cs="Arial"/>
          <w:sz w:val="18"/>
          <w:szCs w:val="18"/>
          <w:lang w:val="es-ES_tradnl"/>
        </w:rPr>
      </w:pPr>
      <w:r w:rsidRPr="00BB7F4A">
        <w:rPr>
          <w:rStyle w:val="FootnoteReference"/>
          <w:rFonts w:ascii="Arial" w:hAnsi="Arial" w:cs="Arial"/>
          <w:sz w:val="18"/>
          <w:szCs w:val="18"/>
        </w:rPr>
        <w:footnoteRef/>
      </w:r>
      <w:r w:rsidRPr="002B5473">
        <w:rPr>
          <w:rFonts w:ascii="Arial" w:hAnsi="Arial" w:cs="Arial"/>
          <w:sz w:val="18"/>
          <w:szCs w:val="18"/>
          <w:lang w:val="es-ES_tradnl"/>
        </w:rPr>
        <w:t xml:space="preserve"> </w:t>
      </w:r>
      <w:r w:rsidRPr="002B5473">
        <w:rPr>
          <w:rFonts w:ascii="Arial" w:hAnsi="Arial" w:cs="Arial"/>
          <w:sz w:val="18"/>
          <w:szCs w:val="18"/>
          <w:lang w:val="es-ES_tradnl"/>
        </w:rPr>
        <w:tab/>
        <w:t>A partir de datos de la Encuesta de Hogares 2018, en estas viviendas viven alrededor de 7 millones de personas. El número exacto de beneficiarios se definirá según el consumo efectivo de dichos hogares en los meses que dure el apoyo.</w:t>
      </w:r>
    </w:p>
  </w:footnote>
  <w:footnote w:id="15">
    <w:p w14:paraId="03195B7A" w14:textId="77777777" w:rsidR="007F0423" w:rsidRPr="003B258C" w:rsidRDefault="007F0423" w:rsidP="007F0423">
      <w:pPr>
        <w:pStyle w:val="FootnoteText"/>
        <w:spacing w:after="0"/>
        <w:rPr>
          <w:rFonts w:ascii="Arial" w:hAnsi="Arial" w:cs="Arial"/>
          <w:sz w:val="18"/>
          <w:szCs w:val="18"/>
          <w:lang w:val="es-ES_tradnl"/>
        </w:rPr>
      </w:pPr>
      <w:r w:rsidRPr="00BB7F4A">
        <w:rPr>
          <w:rStyle w:val="FootnoteReference"/>
          <w:rFonts w:ascii="Arial" w:hAnsi="Arial" w:cs="Arial"/>
          <w:sz w:val="18"/>
          <w:szCs w:val="18"/>
        </w:rPr>
        <w:footnoteRef/>
      </w:r>
      <w:r w:rsidRPr="003B258C">
        <w:rPr>
          <w:rFonts w:ascii="Arial" w:hAnsi="Arial" w:cs="Arial"/>
          <w:sz w:val="18"/>
          <w:szCs w:val="18"/>
          <w:lang w:val="es-ES_tradnl"/>
        </w:rPr>
        <w:tab/>
        <w:t>La Gestora está constituida de acuerdo con la Ley 65 del 10 de diciembre del 2010 (</w:t>
      </w:r>
      <w:hyperlink r:id="rId6" w:history="1">
        <w:r w:rsidRPr="003B258C">
          <w:rPr>
            <w:rStyle w:val="Hyperlink"/>
            <w:rFonts w:ascii="Arial" w:hAnsi="Arial" w:cs="Arial"/>
            <w:sz w:val="18"/>
            <w:szCs w:val="18"/>
            <w:lang w:val="es-ES_tradnl"/>
          </w:rPr>
          <w:t>http://www.gestora.bo/archivos/ver?id=193</w:t>
        </w:r>
      </w:hyperlink>
      <w:r w:rsidRPr="003B258C">
        <w:rPr>
          <w:rFonts w:ascii="Arial" w:hAnsi="Arial" w:cs="Arial"/>
          <w:sz w:val="18"/>
          <w:szCs w:val="18"/>
          <w:lang w:val="es-ES_tradnl"/>
        </w:rPr>
        <w:t>) y realiza los pagos asociados a la RD en el Decreto Supremo</w:t>
      </w:r>
      <w:r w:rsidRPr="003B258C">
        <w:rPr>
          <w:rFonts w:ascii="Arial" w:hAnsi="Arial" w:cs="Arial"/>
          <w:sz w:val="18"/>
          <w:szCs w:val="18"/>
          <w:lang w:val="es-ES_tradnl"/>
        </w:rPr>
        <w:noBreakHyphen/>
        <w:t>3333/2017 (</w:t>
      </w:r>
      <w:hyperlink r:id="rId7" w:history="1">
        <w:r w:rsidRPr="003B258C">
          <w:rPr>
            <w:rStyle w:val="Hyperlink"/>
            <w:rFonts w:ascii="Arial" w:hAnsi="Arial" w:cs="Arial"/>
            <w:sz w:val="18"/>
            <w:szCs w:val="18"/>
            <w:lang w:val="es-ES_tradnl"/>
          </w:rPr>
          <w:t>http://www.gestora.bo/archivos/ver?id=197</w:t>
        </w:r>
      </w:hyperlink>
      <w:r w:rsidRPr="003B258C">
        <w:rPr>
          <w:rFonts w:ascii="Arial" w:hAnsi="Arial" w:cs="Arial"/>
          <w:sz w:val="18"/>
          <w:szCs w:val="18"/>
          <w:lang w:val="es-ES_tradnl"/>
        </w:rPr>
        <w:t>) y los pagos de la CF con base en la resolución biministerial 0001/2020 entre el Ministerio de Desarrollo Productivo y Economía Plural y el MEFP (</w:t>
      </w:r>
      <w:hyperlink r:id="rId8" w:history="1">
        <w:r w:rsidRPr="003B258C">
          <w:rPr>
            <w:rStyle w:val="Hyperlink"/>
            <w:rFonts w:ascii="Arial" w:hAnsi="Arial" w:cs="Arial"/>
            <w:sz w:val="18"/>
            <w:szCs w:val="18"/>
            <w:lang w:val="es-ES_tradnl"/>
          </w:rPr>
          <w:t>https://repositorio.economiayfinanzas.gob.bo/documentos/Documentos_de_Interes/2020/RBM_MDPyEP_1_20_CANASTA_FAMILIAR.pdf</w:t>
        </w:r>
      </w:hyperlink>
      <w:r w:rsidRPr="003B258C">
        <w:rPr>
          <w:rFonts w:ascii="Arial" w:hAnsi="Arial" w:cs="Arial"/>
          <w:sz w:val="18"/>
          <w:szCs w:val="18"/>
          <w:lang w:val="es-ES_tradnl"/>
        </w:rPr>
        <w:t xml:space="preserve">). </w:t>
      </w:r>
    </w:p>
  </w:footnote>
  <w:footnote w:id="16">
    <w:p w14:paraId="7ED7167B" w14:textId="77777777" w:rsidR="007F0423" w:rsidRPr="003B258C" w:rsidRDefault="007F0423" w:rsidP="007F0423">
      <w:pPr>
        <w:pStyle w:val="FootnoteText"/>
        <w:spacing w:after="0"/>
        <w:rPr>
          <w:rFonts w:ascii="Arial" w:hAnsi="Arial" w:cs="Arial"/>
          <w:sz w:val="18"/>
          <w:szCs w:val="18"/>
          <w:lang w:val="es-ES_tradnl"/>
        </w:rPr>
      </w:pPr>
      <w:r w:rsidRPr="00BB7F4A">
        <w:rPr>
          <w:rStyle w:val="FootnoteReference"/>
          <w:rFonts w:ascii="Arial" w:hAnsi="Arial" w:cs="Arial"/>
          <w:sz w:val="18"/>
          <w:szCs w:val="18"/>
        </w:rPr>
        <w:footnoteRef/>
      </w:r>
      <w:r w:rsidRPr="003B258C">
        <w:rPr>
          <w:rFonts w:ascii="Arial" w:hAnsi="Arial" w:cs="Arial"/>
          <w:sz w:val="18"/>
          <w:szCs w:val="18"/>
          <w:lang w:val="es-ES_tradnl"/>
        </w:rPr>
        <w:tab/>
        <w:t>La AETN fue establecida mediante el Decreto Supremo 0071 del 9 de abril del 2009 (</w:t>
      </w:r>
      <w:hyperlink r:id="rId9" w:history="1">
        <w:r w:rsidRPr="003B258C">
          <w:rPr>
            <w:rStyle w:val="Hyperlink"/>
            <w:rFonts w:ascii="Arial" w:hAnsi="Arial" w:cs="Arial"/>
            <w:sz w:val="18"/>
            <w:szCs w:val="18"/>
            <w:lang w:val="es-ES_tradnl"/>
          </w:rPr>
          <w:t>https://sawi.ae.gob.bo/docfly/app/webroot/uploads/IMG-ML_NG-admin-2010-09-23-DECRETOSUPREMO0071.pdf</w:t>
        </w:r>
      </w:hyperlink>
      <w:r w:rsidRPr="003B258C">
        <w:rPr>
          <w:rFonts w:ascii="Arial" w:hAnsi="Arial" w:cs="Arial"/>
          <w:sz w:val="18"/>
          <w:szCs w:val="18"/>
          <w:lang w:val="es-ES_tradnl"/>
        </w:rPr>
        <w:t>).</w:t>
      </w:r>
    </w:p>
  </w:footnote>
  <w:footnote w:id="17">
    <w:p w14:paraId="02103315" w14:textId="23DBD250" w:rsidR="006A2D71" w:rsidRPr="00AD1FEC" w:rsidRDefault="006A2D71" w:rsidP="000A4C92">
      <w:pPr>
        <w:pStyle w:val="FootnoteText"/>
        <w:spacing w:after="0"/>
        <w:jc w:val="left"/>
        <w:rPr>
          <w:rFonts w:ascii="Arial" w:hAnsi="Arial" w:cs="Arial"/>
          <w:lang w:val="es-ES_tradnl"/>
        </w:rPr>
      </w:pPr>
      <w:r w:rsidRPr="00AD1FEC">
        <w:rPr>
          <w:rStyle w:val="FootnoteReference"/>
          <w:rFonts w:ascii="Arial" w:hAnsi="Arial" w:cs="Arial"/>
        </w:rPr>
        <w:footnoteRef/>
      </w:r>
      <w:r w:rsidRPr="00AD1FEC">
        <w:rPr>
          <w:rFonts w:ascii="Arial" w:hAnsi="Arial" w:cs="Arial"/>
          <w:lang w:val="es-ES_tradnl"/>
        </w:rPr>
        <w:t xml:space="preserve"> </w:t>
      </w:r>
      <w:hyperlink r:id="rId10" w:history="1">
        <w:r w:rsidRPr="00AD1FEC">
          <w:rPr>
            <w:rStyle w:val="Hyperlink"/>
            <w:rFonts w:ascii="Arial" w:hAnsi="Arial" w:cs="Arial"/>
            <w:sz w:val="18"/>
            <w:szCs w:val="18"/>
            <w:lang w:val="es-ES_tradnl"/>
          </w:rPr>
          <w:t>https://idbg.sharepoint.com/teams/EZ-BO-LON/BO-L1216/15%20LifeCycle%20Milestones/DLP%20EEO6%20Antecedentes%20sobre%20Renta%20Dignidad-BO.docx?d=w199027ab4b984a3fbe84ddd3a34cec03</w:t>
        </w:r>
      </w:hyperlink>
      <w:r w:rsidRPr="00AD1FEC">
        <w:rPr>
          <w:rFonts w:ascii="Arial" w:hAnsi="Arial" w:cs="Arial"/>
          <w:sz w:val="18"/>
          <w:szCs w:val="18"/>
          <w:lang w:val="es-ES_tradnl"/>
        </w:rPr>
        <w:t xml:space="preserve"> </w:t>
      </w:r>
    </w:p>
  </w:footnote>
  <w:footnote w:id="18">
    <w:p w14:paraId="515539DC" w14:textId="3D68CBBB" w:rsidR="005817B8" w:rsidRPr="000741EB" w:rsidRDefault="005817B8" w:rsidP="000A4C92">
      <w:pPr>
        <w:pStyle w:val="FootnoteText"/>
        <w:spacing w:after="0"/>
        <w:jc w:val="left"/>
        <w:rPr>
          <w:rFonts w:ascii="Arial" w:hAnsi="Arial" w:cs="Arial"/>
          <w:sz w:val="18"/>
          <w:szCs w:val="18"/>
          <w:lang w:val="es-ES_tradnl"/>
        </w:rPr>
      </w:pPr>
      <w:r w:rsidRPr="000741EB">
        <w:rPr>
          <w:rStyle w:val="FootnoteReference"/>
          <w:rFonts w:ascii="Arial" w:hAnsi="Arial" w:cs="Arial"/>
          <w:sz w:val="18"/>
          <w:szCs w:val="18"/>
        </w:rPr>
        <w:footnoteRef/>
      </w:r>
      <w:r w:rsidRPr="000741EB">
        <w:rPr>
          <w:rFonts w:ascii="Arial" w:hAnsi="Arial" w:cs="Arial"/>
          <w:sz w:val="18"/>
          <w:szCs w:val="18"/>
          <w:lang w:val="es-ES_tradnl"/>
        </w:rPr>
        <w:t xml:space="preserve"> </w:t>
      </w:r>
      <w:hyperlink r:id="rId11" w:history="1">
        <w:r w:rsidR="000741EB" w:rsidRPr="000741EB">
          <w:rPr>
            <w:rStyle w:val="Hyperlink"/>
            <w:rFonts w:ascii="Arial" w:hAnsi="Arial" w:cs="Arial"/>
            <w:sz w:val="18"/>
            <w:szCs w:val="18"/>
            <w:lang w:val="es-ES_tradnl"/>
          </w:rPr>
          <w:t>https://idbg.sharepoint.com/teams/EZ-BO-LON/BO-L1216/15%20LifeCycle%20Milestones/DLP%20EEO7%20Ingresos%20Consumo%20de%20Electricidad%20y%20Poblaci%C3%B3n%20Vulnerable%20en%20Bolivia.docx?d=wea6993967d9b40da93ee79a6809f13dd</w:t>
        </w:r>
      </w:hyperlink>
    </w:p>
    <w:p w14:paraId="1D181679" w14:textId="77523C09" w:rsidR="000741EB" w:rsidRPr="005817B8" w:rsidRDefault="000741EB" w:rsidP="000A4C92">
      <w:pPr>
        <w:pStyle w:val="FootnoteText"/>
        <w:spacing w:after="0"/>
        <w:rPr>
          <w:lang w:val="es-ES_tradnl"/>
        </w:rPr>
      </w:pPr>
    </w:p>
  </w:footnote>
  <w:footnote w:id="19">
    <w:p w14:paraId="420EEECA" w14:textId="77777777" w:rsidR="00584AF5" w:rsidRPr="006C1331" w:rsidRDefault="00584AF5" w:rsidP="006C1331">
      <w:pPr>
        <w:pStyle w:val="FootnoteText"/>
        <w:spacing w:after="0"/>
        <w:rPr>
          <w:rFonts w:ascii="Arial" w:hAnsi="Arial" w:cs="Arial"/>
          <w:sz w:val="18"/>
          <w:szCs w:val="18"/>
        </w:rPr>
      </w:pPr>
      <w:r w:rsidRPr="006C1331">
        <w:rPr>
          <w:rStyle w:val="FootnoteReference"/>
          <w:rFonts w:ascii="Arial" w:hAnsi="Arial" w:cs="Arial"/>
          <w:sz w:val="18"/>
          <w:szCs w:val="18"/>
        </w:rPr>
        <w:footnoteRef/>
      </w:r>
      <w:r w:rsidRPr="006C1331">
        <w:rPr>
          <w:rFonts w:ascii="Arial" w:hAnsi="Arial" w:cs="Arial"/>
          <w:sz w:val="18"/>
          <w:szCs w:val="18"/>
          <w:lang w:val="es-AR"/>
        </w:rPr>
        <w:t xml:space="preserve"> Para una revisión sistemática ver Ahmed et al. </w:t>
      </w:r>
      <w:r w:rsidRPr="006C1331">
        <w:rPr>
          <w:rFonts w:ascii="Arial" w:hAnsi="Arial" w:cs="Arial"/>
          <w:sz w:val="18"/>
          <w:szCs w:val="18"/>
        </w:rPr>
        <w:t xml:space="preserve">“Effectiveness of workplace social distancing measures in reducing influenza transmission: a systematic review”. BMC Public Health (2018) 18:518. Disponible en: </w:t>
      </w:r>
      <w:hyperlink r:id="rId12" w:history="1">
        <w:r w:rsidRPr="006C1331">
          <w:rPr>
            <w:rStyle w:val="Hyperlink"/>
            <w:rFonts w:ascii="Arial" w:hAnsi="Arial" w:cs="Arial"/>
            <w:sz w:val="18"/>
            <w:szCs w:val="18"/>
          </w:rPr>
          <w:t>https://doi.org/10.1186/s12889-018-5446-1</w:t>
        </w:r>
      </w:hyperlink>
      <w:r w:rsidRPr="006C1331">
        <w:rPr>
          <w:rFonts w:ascii="Arial" w:hAnsi="Arial" w:cs="Arial"/>
          <w:sz w:val="18"/>
          <w:szCs w:val="18"/>
        </w:rPr>
        <w:t xml:space="preserve"> </w:t>
      </w:r>
    </w:p>
  </w:footnote>
  <w:footnote w:id="20">
    <w:p w14:paraId="51EB802B" w14:textId="00958BC2" w:rsidR="00584AF5" w:rsidRPr="006C1331" w:rsidRDefault="00584AF5" w:rsidP="006C1331">
      <w:pPr>
        <w:pStyle w:val="FootnoteText"/>
        <w:spacing w:after="0"/>
        <w:rPr>
          <w:rFonts w:ascii="Arial" w:hAnsi="Arial" w:cs="Arial"/>
          <w:sz w:val="18"/>
          <w:szCs w:val="18"/>
          <w:lang w:val="fr-FR"/>
        </w:rPr>
      </w:pPr>
      <w:r w:rsidRPr="006C1331">
        <w:rPr>
          <w:rStyle w:val="FootnoteReference"/>
          <w:rFonts w:ascii="Arial" w:hAnsi="Arial" w:cs="Arial"/>
          <w:sz w:val="18"/>
          <w:szCs w:val="18"/>
        </w:rPr>
        <w:footnoteRef/>
      </w:r>
      <w:r w:rsidRPr="006C1331">
        <w:rPr>
          <w:rFonts w:ascii="Arial" w:hAnsi="Arial" w:cs="Arial"/>
          <w:sz w:val="18"/>
          <w:szCs w:val="18"/>
        </w:rPr>
        <w:t xml:space="preserve"> </w:t>
      </w:r>
      <w:r w:rsidR="006C1331">
        <w:rPr>
          <w:rFonts w:ascii="Arial" w:hAnsi="Arial" w:cs="Arial"/>
          <w:sz w:val="18"/>
          <w:szCs w:val="18"/>
        </w:rPr>
        <w:tab/>
      </w:r>
      <w:r w:rsidRPr="006C1331">
        <w:rPr>
          <w:rFonts w:ascii="Arial" w:hAnsi="Arial" w:cs="Arial"/>
          <w:sz w:val="18"/>
          <w:szCs w:val="18"/>
        </w:rPr>
        <w:t xml:space="preserve">Dalton et al (2020). Pre-Emptive Low Cost Social Distancing and Enhanced Hygiene Implemented before Local COVID-19 Transmission Could Decrease the Number and Severity of Cases. </w:t>
      </w:r>
      <w:r w:rsidRPr="006C1331">
        <w:rPr>
          <w:rFonts w:ascii="Arial" w:hAnsi="Arial" w:cs="Arial"/>
          <w:sz w:val="18"/>
          <w:szCs w:val="18"/>
          <w:lang w:val="fr-FR"/>
        </w:rPr>
        <w:t>Disponible en: https://papers.ssrn.com/sol3/papers.cfm?abstract_id=3549276</w:t>
      </w:r>
    </w:p>
  </w:footnote>
  <w:footnote w:id="21">
    <w:p w14:paraId="52A0C1B8" w14:textId="041F4DF3" w:rsidR="00584AF5" w:rsidRPr="006C1331" w:rsidRDefault="00584AF5" w:rsidP="006C1331">
      <w:pPr>
        <w:pStyle w:val="FootnoteText"/>
        <w:spacing w:after="0"/>
        <w:rPr>
          <w:rFonts w:ascii="Arial" w:hAnsi="Arial" w:cs="Arial"/>
          <w:sz w:val="18"/>
          <w:szCs w:val="18"/>
        </w:rPr>
      </w:pPr>
      <w:r w:rsidRPr="006C1331">
        <w:rPr>
          <w:rStyle w:val="FootnoteReference"/>
          <w:rFonts w:ascii="Arial" w:hAnsi="Arial" w:cs="Arial"/>
          <w:sz w:val="18"/>
          <w:szCs w:val="18"/>
        </w:rPr>
        <w:footnoteRef/>
      </w:r>
      <w:r w:rsidRPr="006C1331">
        <w:rPr>
          <w:rFonts w:ascii="Arial" w:hAnsi="Arial" w:cs="Arial"/>
          <w:sz w:val="18"/>
          <w:szCs w:val="18"/>
          <w:lang w:val="fr-FR"/>
        </w:rPr>
        <w:t xml:space="preserve"> </w:t>
      </w:r>
      <w:r w:rsidR="006C1331">
        <w:rPr>
          <w:rFonts w:ascii="Arial" w:hAnsi="Arial" w:cs="Arial"/>
          <w:sz w:val="18"/>
          <w:szCs w:val="18"/>
          <w:lang w:val="fr-FR"/>
        </w:rPr>
        <w:tab/>
      </w:r>
      <w:r w:rsidRPr="006C1331">
        <w:rPr>
          <w:rFonts w:ascii="Arial" w:hAnsi="Arial" w:cs="Arial"/>
          <w:sz w:val="18"/>
          <w:szCs w:val="18"/>
          <w:lang w:val="fr-FR"/>
        </w:rPr>
        <w:t xml:space="preserve">Chang et al (2020). </w:t>
      </w:r>
      <w:r w:rsidRPr="006C1331">
        <w:rPr>
          <w:rFonts w:ascii="Arial" w:hAnsi="Arial" w:cs="Arial"/>
          <w:sz w:val="18"/>
          <w:szCs w:val="18"/>
        </w:rPr>
        <w:t>“Modelling transmission and control of the COVID-19 pandemic in Australia”. Centre for Complex Systems, Faculty of Engineering, University of Sydney, Sydney, NSW 2006, Australia</w:t>
      </w:r>
    </w:p>
  </w:footnote>
  <w:footnote w:id="22">
    <w:p w14:paraId="7C349059" w14:textId="2B42DAE1" w:rsidR="00584AF5" w:rsidRPr="006C1331" w:rsidRDefault="00584AF5" w:rsidP="006C1331">
      <w:pPr>
        <w:pStyle w:val="FootnoteText"/>
        <w:spacing w:after="0"/>
        <w:rPr>
          <w:rFonts w:ascii="Arial" w:hAnsi="Arial" w:cs="Arial"/>
          <w:color w:val="000000"/>
          <w:sz w:val="18"/>
          <w:szCs w:val="18"/>
        </w:rPr>
      </w:pPr>
      <w:r w:rsidRPr="006C1331">
        <w:rPr>
          <w:rStyle w:val="FootnoteReference"/>
          <w:rFonts w:ascii="Arial" w:hAnsi="Arial" w:cs="Arial"/>
          <w:sz w:val="18"/>
          <w:szCs w:val="18"/>
        </w:rPr>
        <w:footnoteRef/>
      </w:r>
      <w:r w:rsidRPr="006C1331">
        <w:rPr>
          <w:rFonts w:ascii="Arial" w:hAnsi="Arial" w:cs="Arial"/>
          <w:sz w:val="18"/>
          <w:szCs w:val="18"/>
        </w:rPr>
        <w:t xml:space="preserve"> </w:t>
      </w:r>
      <w:r w:rsidR="006C1331">
        <w:rPr>
          <w:rFonts w:ascii="Arial" w:hAnsi="Arial" w:cs="Arial"/>
          <w:sz w:val="18"/>
          <w:szCs w:val="18"/>
        </w:rPr>
        <w:tab/>
      </w:r>
      <w:r w:rsidRPr="006C1331">
        <w:rPr>
          <w:rFonts w:ascii="Arial" w:hAnsi="Arial" w:cs="Arial"/>
          <w:color w:val="000000"/>
          <w:sz w:val="18"/>
          <w:szCs w:val="18"/>
        </w:rPr>
        <w:t>O’Brien, C., Holmes, R., Scott, Z., &amp; Barca, V. (2018). </w:t>
      </w:r>
      <w:r w:rsidRPr="006C1331">
        <w:rPr>
          <w:rFonts w:ascii="Arial" w:hAnsi="Arial" w:cs="Arial"/>
          <w:i/>
          <w:iCs/>
          <w:color w:val="000000"/>
          <w:sz w:val="18"/>
          <w:szCs w:val="18"/>
        </w:rPr>
        <w:t>Shock-Responsive Social Protection Systems Toolkit. Appraising the use of social protection in addressing large-scale shocks</w:t>
      </w:r>
      <w:r w:rsidRPr="006C1331">
        <w:rPr>
          <w:rFonts w:ascii="Arial" w:hAnsi="Arial" w:cs="Arial"/>
          <w:color w:val="000000"/>
          <w:sz w:val="18"/>
          <w:szCs w:val="18"/>
        </w:rPr>
        <w:t xml:space="preserve">. Oxford, Inglaterra. </w:t>
      </w:r>
      <w:hyperlink r:id="rId13" w:history="1">
        <w:r w:rsidRPr="006C1331">
          <w:rPr>
            <w:rFonts w:ascii="Arial" w:hAnsi="Arial" w:cs="Arial"/>
            <w:color w:val="0563C1"/>
            <w:sz w:val="18"/>
            <w:szCs w:val="18"/>
            <w:u w:val="single"/>
          </w:rPr>
          <w:t>https://www.opml.co.uk/files/Publications/a0408-shock-responsive-social-protection-systems/srsp-toolkit.pdf?noredirect=1</w:t>
        </w:r>
      </w:hyperlink>
    </w:p>
  </w:footnote>
  <w:footnote w:id="23">
    <w:p w14:paraId="0792A4BD" w14:textId="4174055A" w:rsidR="00584AF5" w:rsidRPr="006C1331" w:rsidRDefault="00584AF5" w:rsidP="006C1331">
      <w:pPr>
        <w:pStyle w:val="FootnoteText"/>
        <w:spacing w:after="0"/>
        <w:rPr>
          <w:rFonts w:ascii="Arial" w:hAnsi="Arial" w:cs="Arial"/>
          <w:sz w:val="18"/>
          <w:szCs w:val="18"/>
        </w:rPr>
      </w:pPr>
      <w:r w:rsidRPr="006C1331">
        <w:rPr>
          <w:rStyle w:val="FootnoteReference"/>
          <w:rFonts w:ascii="Arial" w:hAnsi="Arial" w:cs="Arial"/>
          <w:sz w:val="18"/>
          <w:szCs w:val="18"/>
        </w:rPr>
        <w:footnoteRef/>
      </w:r>
      <w:r w:rsidR="006C1331">
        <w:rPr>
          <w:rFonts w:ascii="Arial" w:hAnsi="Arial" w:cs="Arial"/>
          <w:sz w:val="18"/>
          <w:szCs w:val="18"/>
        </w:rPr>
        <w:tab/>
      </w:r>
      <w:r w:rsidRPr="006C1331">
        <w:rPr>
          <w:rFonts w:ascii="Arial" w:hAnsi="Arial" w:cs="Arial"/>
          <w:sz w:val="18"/>
          <w:szCs w:val="18"/>
        </w:rPr>
        <w:t xml:space="preserve"> http://documents.worldbank.org/curated/en/456681468045552129/pdf/Understanding-the-poverty-impact-of-the-global-financial-crisis-in-Latin-America-and-the-Caribbean.pdf</w:t>
      </w:r>
    </w:p>
  </w:footnote>
  <w:footnote w:id="24">
    <w:p w14:paraId="1FC6AA9F" w14:textId="5A6D3076" w:rsidR="00584AF5" w:rsidRPr="006C1331" w:rsidRDefault="00584AF5" w:rsidP="006C1331">
      <w:pPr>
        <w:pStyle w:val="FootnoteText"/>
        <w:spacing w:after="0"/>
        <w:jc w:val="left"/>
        <w:rPr>
          <w:rFonts w:ascii="Arial" w:hAnsi="Arial" w:cs="Arial"/>
          <w:sz w:val="18"/>
          <w:szCs w:val="18"/>
        </w:rPr>
      </w:pPr>
      <w:r w:rsidRPr="006C1331">
        <w:rPr>
          <w:rStyle w:val="FootnoteReference"/>
          <w:rFonts w:ascii="Arial" w:hAnsi="Arial" w:cs="Arial"/>
          <w:sz w:val="18"/>
          <w:szCs w:val="18"/>
        </w:rPr>
        <w:footnoteRef/>
      </w:r>
      <w:r w:rsidRPr="006C1331">
        <w:rPr>
          <w:rFonts w:ascii="Arial" w:hAnsi="Arial" w:cs="Arial"/>
          <w:sz w:val="18"/>
          <w:szCs w:val="18"/>
        </w:rPr>
        <w:t xml:space="preserve"> </w:t>
      </w:r>
      <w:r w:rsidR="006C1331">
        <w:rPr>
          <w:rFonts w:ascii="Arial" w:hAnsi="Arial" w:cs="Arial"/>
          <w:sz w:val="18"/>
          <w:szCs w:val="18"/>
        </w:rPr>
        <w:tab/>
      </w:r>
      <w:hyperlink r:id="rId14" w:anchor="page70" w:history="1">
        <w:r w:rsidR="006C1331" w:rsidRPr="00790096">
          <w:rPr>
            <w:rStyle w:val="Hyperlink"/>
            <w:rFonts w:ascii="Arial" w:hAnsi="Arial" w:cs="Arial"/>
            <w:sz w:val="18"/>
            <w:szCs w:val="18"/>
          </w:rPr>
          <w:t>https://www.opml.co.uk/files/Publications/a1537-shock-responsive-social-protection-latin-america-caribbean/hallazgos-principals-y-recomendaciones.pdf?noredirect=1#page70</w:t>
        </w:r>
      </w:hyperlink>
    </w:p>
  </w:footnote>
  <w:footnote w:id="25">
    <w:p w14:paraId="238C65F0" w14:textId="6AF2F9E8" w:rsidR="00584AF5" w:rsidRPr="006C1331" w:rsidRDefault="00584AF5" w:rsidP="006C1331">
      <w:pPr>
        <w:pStyle w:val="FootnoteText"/>
        <w:spacing w:after="0"/>
        <w:rPr>
          <w:rFonts w:ascii="Arial" w:hAnsi="Arial" w:cs="Arial"/>
          <w:sz w:val="18"/>
          <w:szCs w:val="18"/>
        </w:rPr>
      </w:pPr>
      <w:r w:rsidRPr="006C1331">
        <w:rPr>
          <w:rStyle w:val="FootnoteReference"/>
          <w:rFonts w:ascii="Arial" w:hAnsi="Arial" w:cs="Arial"/>
          <w:sz w:val="18"/>
          <w:szCs w:val="18"/>
        </w:rPr>
        <w:footnoteRef/>
      </w:r>
      <w:r w:rsidRPr="006C1331">
        <w:rPr>
          <w:rFonts w:ascii="Arial" w:hAnsi="Arial" w:cs="Arial"/>
          <w:sz w:val="18"/>
          <w:szCs w:val="18"/>
        </w:rPr>
        <w:t xml:space="preserve"> </w:t>
      </w:r>
      <w:r w:rsidR="006C1331">
        <w:rPr>
          <w:rFonts w:ascii="Arial" w:hAnsi="Arial" w:cs="Arial"/>
          <w:sz w:val="18"/>
          <w:szCs w:val="18"/>
        </w:rPr>
        <w:tab/>
      </w:r>
      <w:r w:rsidRPr="006C1331">
        <w:rPr>
          <w:rFonts w:ascii="Arial" w:hAnsi="Arial" w:cs="Arial"/>
          <w:sz w:val="18"/>
          <w:szCs w:val="18"/>
        </w:rPr>
        <w:t xml:space="preserve">Gentilini, Ugo, Mohamed Almenfi y Ian Orton, Social Protection and Jobs Responses to COVID-19: A Real-Time Review of Country Measures: A “living paper”, version 2 (2020), Acutalización del 27 de marzo 2020. </w:t>
      </w:r>
      <w:hyperlink r:id="rId15" w:history="1">
        <w:r w:rsidRPr="006C1331">
          <w:rPr>
            <w:rStyle w:val="Hyperlink"/>
            <w:rFonts w:ascii="Arial" w:hAnsi="Arial" w:cs="Arial"/>
            <w:sz w:val="18"/>
            <w:szCs w:val="18"/>
          </w:rPr>
          <w:t>http://www.ugogentilini.net/wp-content/uploads/2020/03/global-review-of-social-protection-responses-to-COVID-19-2.pdf</w:t>
        </w:r>
      </w:hyperlink>
      <w:r w:rsidR="006C1331">
        <w:rPr>
          <w:rStyle w:val="Hyperlink"/>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rPr>
        <w:rFonts w:ascii="Arial" w:hAnsi="Arial" w:cs="Arial"/>
        <w:sz w:val="18"/>
        <w:szCs w:val="18"/>
      </w:rPr>
    </w:sdtEndPr>
    <w:sdtContent>
      <w:p w14:paraId="13711AEA" w14:textId="2B14D9CB" w:rsidR="007D024C" w:rsidRPr="007D024C" w:rsidRDefault="007D024C">
        <w:pPr>
          <w:pStyle w:val="Header"/>
          <w:jc w:val="right"/>
          <w:rPr>
            <w:rFonts w:ascii="Arial" w:hAnsi="Arial" w:cs="Arial"/>
            <w:sz w:val="18"/>
            <w:szCs w:val="18"/>
          </w:rPr>
        </w:pPr>
        <w:r w:rsidRPr="007D024C">
          <w:rPr>
            <w:rFonts w:ascii="Arial" w:hAnsi="Arial" w:cs="Arial"/>
            <w:sz w:val="18"/>
            <w:szCs w:val="18"/>
          </w:rPr>
          <w:t>EER#1-BO-L1216</w:t>
        </w:r>
      </w:p>
      <w:p w14:paraId="4A4B48FF" w14:textId="5A4E932D" w:rsidR="007D024C" w:rsidRPr="007D024C" w:rsidRDefault="007D024C">
        <w:pPr>
          <w:pStyle w:val="Header"/>
          <w:jc w:val="right"/>
          <w:rPr>
            <w:rFonts w:ascii="Arial" w:hAnsi="Arial" w:cs="Arial"/>
            <w:sz w:val="18"/>
            <w:szCs w:val="18"/>
          </w:rPr>
        </w:pPr>
        <w:r w:rsidRPr="007D024C">
          <w:rPr>
            <w:rFonts w:ascii="Arial" w:hAnsi="Arial" w:cs="Arial"/>
            <w:sz w:val="18"/>
            <w:szCs w:val="18"/>
          </w:rPr>
          <w:t xml:space="preserve">Página </w:t>
        </w:r>
        <w:r w:rsidRPr="007D024C">
          <w:rPr>
            <w:rFonts w:ascii="Arial" w:hAnsi="Arial" w:cs="Arial"/>
            <w:sz w:val="18"/>
            <w:szCs w:val="18"/>
          </w:rPr>
          <w:fldChar w:fldCharType="begin"/>
        </w:r>
        <w:r w:rsidRPr="007D024C">
          <w:rPr>
            <w:rFonts w:ascii="Arial" w:hAnsi="Arial" w:cs="Arial"/>
            <w:sz w:val="18"/>
            <w:szCs w:val="18"/>
          </w:rPr>
          <w:instrText xml:space="preserve"> PAGE </w:instrText>
        </w:r>
        <w:r w:rsidRPr="007D024C">
          <w:rPr>
            <w:rFonts w:ascii="Arial" w:hAnsi="Arial" w:cs="Arial"/>
            <w:sz w:val="18"/>
            <w:szCs w:val="18"/>
          </w:rPr>
          <w:fldChar w:fldCharType="separate"/>
        </w:r>
        <w:r w:rsidRPr="007D024C">
          <w:rPr>
            <w:rFonts w:ascii="Arial" w:hAnsi="Arial" w:cs="Arial"/>
            <w:noProof/>
            <w:sz w:val="18"/>
            <w:szCs w:val="18"/>
          </w:rPr>
          <w:t>2</w:t>
        </w:r>
        <w:r w:rsidRPr="007D024C">
          <w:rPr>
            <w:rFonts w:ascii="Arial" w:hAnsi="Arial" w:cs="Arial"/>
            <w:sz w:val="18"/>
            <w:szCs w:val="18"/>
          </w:rPr>
          <w:fldChar w:fldCharType="end"/>
        </w:r>
        <w:r w:rsidRPr="007D024C">
          <w:rPr>
            <w:rFonts w:ascii="Arial" w:hAnsi="Arial" w:cs="Arial"/>
            <w:sz w:val="18"/>
            <w:szCs w:val="18"/>
          </w:rPr>
          <w:t xml:space="preserve"> de </w:t>
        </w:r>
        <w:r w:rsidRPr="007D024C">
          <w:rPr>
            <w:rFonts w:ascii="Arial" w:hAnsi="Arial" w:cs="Arial"/>
            <w:sz w:val="18"/>
            <w:szCs w:val="18"/>
          </w:rPr>
          <w:fldChar w:fldCharType="begin"/>
        </w:r>
        <w:r w:rsidRPr="007D024C">
          <w:rPr>
            <w:rFonts w:ascii="Arial" w:hAnsi="Arial" w:cs="Arial"/>
            <w:sz w:val="18"/>
            <w:szCs w:val="18"/>
          </w:rPr>
          <w:instrText xml:space="preserve"> NUMPAGES  </w:instrText>
        </w:r>
        <w:r w:rsidRPr="007D024C">
          <w:rPr>
            <w:rFonts w:ascii="Arial" w:hAnsi="Arial" w:cs="Arial"/>
            <w:sz w:val="18"/>
            <w:szCs w:val="18"/>
          </w:rPr>
          <w:fldChar w:fldCharType="separate"/>
        </w:r>
        <w:r w:rsidRPr="007D024C">
          <w:rPr>
            <w:rFonts w:ascii="Arial" w:hAnsi="Arial" w:cs="Arial"/>
            <w:noProof/>
            <w:sz w:val="18"/>
            <w:szCs w:val="18"/>
          </w:rPr>
          <w:t>2</w:t>
        </w:r>
        <w:r w:rsidRPr="007D024C">
          <w:rPr>
            <w:rFonts w:ascii="Arial" w:hAnsi="Arial" w:cs="Arial"/>
            <w:sz w:val="18"/>
            <w:szCs w:val="18"/>
          </w:rPr>
          <w:fldChar w:fldCharType="end"/>
        </w:r>
      </w:p>
    </w:sdtContent>
  </w:sdt>
  <w:p w14:paraId="59AFBDC2" w14:textId="77777777" w:rsidR="007D024C" w:rsidRDefault="007D0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421FC"/>
    <w:multiLevelType w:val="multilevel"/>
    <w:tmpl w:val="C7E66982"/>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720" w:hanging="720"/>
      </w:pPr>
      <w:rPr>
        <w:rFonts w:hint="default"/>
      </w:rPr>
    </w:lvl>
    <w:lvl w:ilvl="2">
      <w:start w:val="2"/>
      <w:numFmt w:val="lowerLetter"/>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A62E6"/>
    <w:multiLevelType w:val="hybridMultilevel"/>
    <w:tmpl w:val="80744672"/>
    <w:lvl w:ilvl="0" w:tplc="D88E6D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1624B28">
      <w:start w:val="1"/>
      <w:numFmt w:val="lowerRoman"/>
      <w:lvlText w:val="%3)"/>
      <w:lvlJc w:val="left"/>
      <w:pPr>
        <w:ind w:left="2700" w:hanging="720"/>
      </w:pPr>
      <w:rPr>
        <w:rFonts w:hint="default"/>
      </w:rPr>
    </w:lvl>
    <w:lvl w:ilvl="3" w:tplc="123008DC">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C1D07"/>
    <w:multiLevelType w:val="multilevel"/>
    <w:tmpl w:val="C7E66982"/>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720" w:hanging="720"/>
      </w:pPr>
      <w:rPr>
        <w:rFonts w:hint="default"/>
      </w:rPr>
    </w:lvl>
    <w:lvl w:ilvl="2">
      <w:start w:val="2"/>
      <w:numFmt w:val="lowerLetter"/>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0CA2"/>
    <w:multiLevelType w:val="hybridMultilevel"/>
    <w:tmpl w:val="487086DA"/>
    <w:lvl w:ilvl="0" w:tplc="B9F8D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204E1"/>
    <w:multiLevelType w:val="multilevel"/>
    <w:tmpl w:val="DC3ECD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9B4991"/>
    <w:multiLevelType w:val="multilevel"/>
    <w:tmpl w:val="A4F4C8E6"/>
    <w:lvl w:ilvl="0">
      <w:start w:val="1"/>
      <w:numFmt w:val="upperRoman"/>
      <w:lvlRestart w:val="0"/>
      <w:lvlText w:val="%1."/>
      <w:lvlJc w:val="center"/>
      <w:pPr>
        <w:tabs>
          <w:tab w:val="num" w:pos="1800"/>
        </w:tabs>
        <w:ind w:left="1152" w:firstLine="288"/>
      </w:pPr>
      <w:rPr>
        <w:b/>
        <w:i w:val="0"/>
      </w:rPr>
    </w:lvl>
    <w:lvl w:ilvl="1">
      <w:start w:val="1"/>
      <w:numFmt w:val="decima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6" w15:restartNumberingAfterBreak="0">
    <w:nsid w:val="3762750F"/>
    <w:multiLevelType w:val="hybridMultilevel"/>
    <w:tmpl w:val="B2388AA2"/>
    <w:lvl w:ilvl="0" w:tplc="91D89676">
      <w:start w:val="1"/>
      <w:numFmt w:val="low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40E4B"/>
    <w:multiLevelType w:val="hybridMultilevel"/>
    <w:tmpl w:val="F9582B06"/>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8" w15:restartNumberingAfterBreak="0">
    <w:nsid w:val="44594911"/>
    <w:multiLevelType w:val="multilevel"/>
    <w:tmpl w:val="3FB6AE34"/>
    <w:lvl w:ilvl="0">
      <w:start w:val="1"/>
      <w:numFmt w:val="decimal"/>
      <w:lvlText w:val="%1"/>
      <w:lvlJc w:val="left"/>
      <w:pPr>
        <w:ind w:left="360" w:hanging="360"/>
      </w:pPr>
      <w:rPr>
        <w:rFonts w:hint="default"/>
      </w:rPr>
    </w:lvl>
    <w:lvl w:ilvl="1">
      <w:start w:val="1"/>
      <w:numFmt w:val="decimal"/>
      <w:lvlText w:val="%1.%2"/>
      <w:lvlJc w:val="left"/>
      <w:pPr>
        <w:ind w:left="1440" w:hanging="360"/>
      </w:pPr>
      <w:rPr>
        <w:rFonts w:ascii="Arial" w:hAnsi="Arial" w:cs="Arial" w:hint="default"/>
        <w:b w:val="0"/>
        <w:bCs w:val="0"/>
        <w:sz w:val="22"/>
        <w:szCs w:val="22"/>
        <w:lang w:val="es-ES_tradn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360156"/>
    <w:multiLevelType w:val="hybridMultilevel"/>
    <w:tmpl w:val="5B2C18F4"/>
    <w:lvl w:ilvl="0" w:tplc="C65E90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30A9C"/>
    <w:multiLevelType w:val="multilevel"/>
    <w:tmpl w:val="7A4C2E3A"/>
    <w:lvl w:ilvl="0">
      <w:start w:val="1"/>
      <w:numFmt w:val="upperRoman"/>
      <w:lvlRestart w:val="0"/>
      <w:lvlText w:val="%1."/>
      <w:lvlJc w:val="center"/>
      <w:pPr>
        <w:tabs>
          <w:tab w:val="num" w:pos="1800"/>
        </w:tabs>
        <w:ind w:left="1152" w:firstLine="288"/>
      </w:pPr>
      <w:rPr>
        <w:b/>
        <w:i w:val="0"/>
      </w:rPr>
    </w:lvl>
    <w:lvl w:ilvl="1">
      <w:start w:val="1"/>
      <w:numFmt w:val="decima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1" w15:restartNumberingAfterBreak="0">
    <w:nsid w:val="5B9A7602"/>
    <w:multiLevelType w:val="hybridMultilevel"/>
    <w:tmpl w:val="9A380202"/>
    <w:lvl w:ilvl="0" w:tplc="D88E6D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1624B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F41D9"/>
    <w:multiLevelType w:val="hybridMultilevel"/>
    <w:tmpl w:val="EC4A4FFA"/>
    <w:lvl w:ilvl="0" w:tplc="97088774">
      <w:start w:val="1"/>
      <w:numFmt w:val="decimal"/>
      <w:lvlText w:val="%1."/>
      <w:lvlJc w:val="left"/>
      <w:pPr>
        <w:ind w:left="1080" w:hanging="360"/>
      </w:pPr>
      <w:rPr>
        <w:rFonts w:ascii="Arial" w:eastAsia="Arial" w:hAnsi="Arial" w:cs="Arial"/>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4F4FE8"/>
    <w:multiLevelType w:val="hybridMultilevel"/>
    <w:tmpl w:val="F4E6C338"/>
    <w:lvl w:ilvl="0" w:tplc="2D7A03C4">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4" w15:restartNumberingAfterBreak="0">
    <w:nsid w:val="6B992D03"/>
    <w:multiLevelType w:val="multilevel"/>
    <w:tmpl w:val="F0A80DDA"/>
    <w:lvl w:ilvl="0">
      <w:start w:val="1"/>
      <w:numFmt w:val="decimal"/>
      <w:pStyle w:val="Chapter"/>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15" w15:restartNumberingAfterBreak="0">
    <w:nsid w:val="71355538"/>
    <w:multiLevelType w:val="hybridMultilevel"/>
    <w:tmpl w:val="1F52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27A90"/>
    <w:multiLevelType w:val="hybridMultilevel"/>
    <w:tmpl w:val="AD703500"/>
    <w:lvl w:ilvl="0" w:tplc="0CCE84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C25A2"/>
    <w:multiLevelType w:val="hybridMultilevel"/>
    <w:tmpl w:val="EB6E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8434E"/>
    <w:multiLevelType w:val="hybridMultilevel"/>
    <w:tmpl w:val="810407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40648F"/>
    <w:multiLevelType w:val="multilevel"/>
    <w:tmpl w:val="87F668AE"/>
    <w:lvl w:ilvl="0">
      <w:start w:val="1"/>
      <w:numFmt w:val="decimal"/>
      <w:lvlText w:val="%1"/>
      <w:lvlJc w:val="left"/>
      <w:pPr>
        <w:ind w:left="360" w:hanging="360"/>
      </w:pPr>
    </w:lvl>
    <w:lvl w:ilvl="1">
      <w:start w:val="1"/>
      <w:numFmt w:val="decimal"/>
      <w:lvlText w:val="%1.%2"/>
      <w:lvlJc w:val="left"/>
      <w:pPr>
        <w:ind w:left="1512" w:hanging="360"/>
      </w:pPr>
      <w:rPr>
        <w:rFonts w:ascii="Arial" w:hAnsi="Arial" w:cs="Arial" w:hint="default"/>
        <w:b w:val="0"/>
        <w:bCs/>
        <w:sz w:val="22"/>
        <w:szCs w:val="22"/>
      </w:rPr>
    </w:lvl>
    <w:lvl w:ilvl="2">
      <w:start w:val="1"/>
      <w:numFmt w:val="decimal"/>
      <w:lvlText w:val="%1.%2.%3"/>
      <w:lvlJc w:val="left"/>
      <w:pPr>
        <w:ind w:left="3024" w:hanging="720"/>
      </w:pPr>
    </w:lvl>
    <w:lvl w:ilvl="3">
      <w:start w:val="1"/>
      <w:numFmt w:val="decimal"/>
      <w:lvlText w:val="%1.%2.%3.%4"/>
      <w:lvlJc w:val="left"/>
      <w:pPr>
        <w:ind w:left="4176" w:hanging="720"/>
      </w:pPr>
    </w:lvl>
    <w:lvl w:ilvl="4">
      <w:start w:val="1"/>
      <w:numFmt w:val="decimal"/>
      <w:lvlText w:val="%1.%2.%3.%4.%5"/>
      <w:lvlJc w:val="left"/>
      <w:pPr>
        <w:ind w:left="5688" w:hanging="1080"/>
      </w:pPr>
    </w:lvl>
    <w:lvl w:ilvl="5">
      <w:start w:val="1"/>
      <w:numFmt w:val="decimal"/>
      <w:lvlText w:val="%1.%2.%3.%4.%5.%6"/>
      <w:lvlJc w:val="left"/>
      <w:pPr>
        <w:ind w:left="6840" w:hanging="1080"/>
      </w:pPr>
    </w:lvl>
    <w:lvl w:ilvl="6">
      <w:start w:val="1"/>
      <w:numFmt w:val="decimal"/>
      <w:lvlText w:val="%1.%2.%3.%4.%5.%6.%7"/>
      <w:lvlJc w:val="left"/>
      <w:pPr>
        <w:ind w:left="8352" w:hanging="1440"/>
      </w:pPr>
    </w:lvl>
    <w:lvl w:ilvl="7">
      <w:start w:val="1"/>
      <w:numFmt w:val="decimal"/>
      <w:lvlText w:val="%1.%2.%3.%4.%5.%6.%7.%8"/>
      <w:lvlJc w:val="left"/>
      <w:pPr>
        <w:ind w:left="9504" w:hanging="1440"/>
      </w:pPr>
    </w:lvl>
    <w:lvl w:ilvl="8">
      <w:start w:val="1"/>
      <w:numFmt w:val="decimal"/>
      <w:lvlText w:val="%1.%2.%3.%4.%5.%6.%7.%8.%9"/>
      <w:lvlJc w:val="left"/>
      <w:pPr>
        <w:ind w:left="11016" w:hanging="1800"/>
      </w:pPr>
    </w:lvl>
  </w:abstractNum>
  <w:abstractNum w:abstractNumId="20" w15:restartNumberingAfterBreak="0">
    <w:nsid w:val="7DAA440B"/>
    <w:multiLevelType w:val="hybridMultilevel"/>
    <w:tmpl w:val="2D34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33DDA"/>
    <w:multiLevelType w:val="hybridMultilevel"/>
    <w:tmpl w:val="0AD4C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2"/>
  </w:num>
  <w:num w:numId="5">
    <w:abstractNumId w:val="14"/>
  </w:num>
  <w:num w:numId="6">
    <w:abstractNumId w:val="0"/>
  </w:num>
  <w:num w:numId="7">
    <w:abstractNumId w:val="18"/>
  </w:num>
  <w:num w:numId="8">
    <w:abstractNumId w:val="15"/>
  </w:num>
  <w:num w:numId="9">
    <w:abstractNumId w:val="9"/>
  </w:num>
  <w:num w:numId="10">
    <w:abstractNumId w:val="21"/>
  </w:num>
  <w:num w:numId="11">
    <w:abstractNumId w:val="6"/>
  </w:num>
  <w:num w:numId="12">
    <w:abstractNumId w:val="20"/>
  </w:num>
  <w:num w:numId="13">
    <w:abstractNumId w:val="3"/>
  </w:num>
  <w:num w:numId="14">
    <w:abstractNumId w:val="5"/>
  </w:num>
  <w:num w:numId="15">
    <w:abstractNumId w:val="16"/>
  </w:num>
  <w:num w:numId="16">
    <w:abstractNumId w:val="1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7"/>
  </w:num>
  <w:num w:numId="21">
    <w:abstractNumId w:val="4"/>
  </w:num>
  <w:num w:numId="2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84"/>
    <w:rsid w:val="00007F0A"/>
    <w:rsid w:val="000110B5"/>
    <w:rsid w:val="0001629E"/>
    <w:rsid w:val="00020831"/>
    <w:rsid w:val="00025A0F"/>
    <w:rsid w:val="00037884"/>
    <w:rsid w:val="00040E95"/>
    <w:rsid w:val="0004377C"/>
    <w:rsid w:val="000442CE"/>
    <w:rsid w:val="00056911"/>
    <w:rsid w:val="0006684C"/>
    <w:rsid w:val="00071C8C"/>
    <w:rsid w:val="00073CC4"/>
    <w:rsid w:val="000741EB"/>
    <w:rsid w:val="00074681"/>
    <w:rsid w:val="00075FAC"/>
    <w:rsid w:val="0007609D"/>
    <w:rsid w:val="000834AD"/>
    <w:rsid w:val="00084520"/>
    <w:rsid w:val="0008552A"/>
    <w:rsid w:val="00092737"/>
    <w:rsid w:val="00092A4B"/>
    <w:rsid w:val="00093A64"/>
    <w:rsid w:val="00093FE5"/>
    <w:rsid w:val="0009610B"/>
    <w:rsid w:val="00097006"/>
    <w:rsid w:val="000A2521"/>
    <w:rsid w:val="000A331B"/>
    <w:rsid w:val="000A4C92"/>
    <w:rsid w:val="000A7DEC"/>
    <w:rsid w:val="000C325A"/>
    <w:rsid w:val="000C3B5E"/>
    <w:rsid w:val="000C45D0"/>
    <w:rsid w:val="000C5D09"/>
    <w:rsid w:val="000C786A"/>
    <w:rsid w:val="000D11CA"/>
    <w:rsid w:val="000D2DF1"/>
    <w:rsid w:val="000D5C01"/>
    <w:rsid w:val="000D7BFC"/>
    <w:rsid w:val="000E305B"/>
    <w:rsid w:val="000F6A56"/>
    <w:rsid w:val="00100748"/>
    <w:rsid w:val="00100AF5"/>
    <w:rsid w:val="001040D8"/>
    <w:rsid w:val="00105AFA"/>
    <w:rsid w:val="00106DB1"/>
    <w:rsid w:val="00113E0A"/>
    <w:rsid w:val="00114B1C"/>
    <w:rsid w:val="00123258"/>
    <w:rsid w:val="00125678"/>
    <w:rsid w:val="001316D6"/>
    <w:rsid w:val="00131813"/>
    <w:rsid w:val="001367F7"/>
    <w:rsid w:val="00136F64"/>
    <w:rsid w:val="0014055A"/>
    <w:rsid w:val="00140E81"/>
    <w:rsid w:val="00141C71"/>
    <w:rsid w:val="001540C8"/>
    <w:rsid w:val="0015541E"/>
    <w:rsid w:val="00155936"/>
    <w:rsid w:val="001623E3"/>
    <w:rsid w:val="00165696"/>
    <w:rsid w:val="001710B5"/>
    <w:rsid w:val="00171F61"/>
    <w:rsid w:val="00174565"/>
    <w:rsid w:val="00175CB2"/>
    <w:rsid w:val="00182716"/>
    <w:rsid w:val="0018563A"/>
    <w:rsid w:val="00190876"/>
    <w:rsid w:val="001947CA"/>
    <w:rsid w:val="001958A2"/>
    <w:rsid w:val="00197372"/>
    <w:rsid w:val="001A1413"/>
    <w:rsid w:val="001A4A48"/>
    <w:rsid w:val="001A53D0"/>
    <w:rsid w:val="001A5CA1"/>
    <w:rsid w:val="001A5FE0"/>
    <w:rsid w:val="001B5186"/>
    <w:rsid w:val="001C0FF4"/>
    <w:rsid w:val="001C2BDA"/>
    <w:rsid w:val="001C30B9"/>
    <w:rsid w:val="001D5989"/>
    <w:rsid w:val="001D60CC"/>
    <w:rsid w:val="001E1861"/>
    <w:rsid w:val="001E2CB9"/>
    <w:rsid w:val="001E3B9D"/>
    <w:rsid w:val="001E4BCD"/>
    <w:rsid w:val="001E5ED5"/>
    <w:rsid w:val="001E6019"/>
    <w:rsid w:val="001F0D5D"/>
    <w:rsid w:val="001F50D4"/>
    <w:rsid w:val="001F6C6F"/>
    <w:rsid w:val="0020390C"/>
    <w:rsid w:val="00204689"/>
    <w:rsid w:val="00204D46"/>
    <w:rsid w:val="00205165"/>
    <w:rsid w:val="00207FCB"/>
    <w:rsid w:val="00212721"/>
    <w:rsid w:val="00215465"/>
    <w:rsid w:val="00215E78"/>
    <w:rsid w:val="00216324"/>
    <w:rsid w:val="002173E9"/>
    <w:rsid w:val="002230F7"/>
    <w:rsid w:val="00231FD8"/>
    <w:rsid w:val="00233926"/>
    <w:rsid w:val="00235B96"/>
    <w:rsid w:val="00240A56"/>
    <w:rsid w:val="00240D81"/>
    <w:rsid w:val="00241A52"/>
    <w:rsid w:val="00242D15"/>
    <w:rsid w:val="0024380C"/>
    <w:rsid w:val="00244BA3"/>
    <w:rsid w:val="00247C54"/>
    <w:rsid w:val="00252F50"/>
    <w:rsid w:val="00267377"/>
    <w:rsid w:val="00273D2E"/>
    <w:rsid w:val="0027682D"/>
    <w:rsid w:val="00286190"/>
    <w:rsid w:val="00286708"/>
    <w:rsid w:val="00286C85"/>
    <w:rsid w:val="00293842"/>
    <w:rsid w:val="0029573D"/>
    <w:rsid w:val="002A671D"/>
    <w:rsid w:val="002A6A94"/>
    <w:rsid w:val="002A7369"/>
    <w:rsid w:val="002B2785"/>
    <w:rsid w:val="002B27F5"/>
    <w:rsid w:val="002B4CB7"/>
    <w:rsid w:val="002B5473"/>
    <w:rsid w:val="002B766C"/>
    <w:rsid w:val="002C03C7"/>
    <w:rsid w:val="002C0985"/>
    <w:rsid w:val="002C3532"/>
    <w:rsid w:val="002C55C9"/>
    <w:rsid w:val="002C7268"/>
    <w:rsid w:val="002C7CC5"/>
    <w:rsid w:val="002D0455"/>
    <w:rsid w:val="002D267E"/>
    <w:rsid w:val="002D3425"/>
    <w:rsid w:val="002D3BB8"/>
    <w:rsid w:val="002D5242"/>
    <w:rsid w:val="002E0069"/>
    <w:rsid w:val="002E044F"/>
    <w:rsid w:val="002E0AD4"/>
    <w:rsid w:val="002E2CF6"/>
    <w:rsid w:val="002E6125"/>
    <w:rsid w:val="002F1DBF"/>
    <w:rsid w:val="002F2051"/>
    <w:rsid w:val="002F2421"/>
    <w:rsid w:val="002F2AEE"/>
    <w:rsid w:val="002F2E17"/>
    <w:rsid w:val="002F665A"/>
    <w:rsid w:val="00305DEC"/>
    <w:rsid w:val="00306C3E"/>
    <w:rsid w:val="00311362"/>
    <w:rsid w:val="003130AD"/>
    <w:rsid w:val="003171FB"/>
    <w:rsid w:val="00324426"/>
    <w:rsid w:val="00324AFC"/>
    <w:rsid w:val="003250CA"/>
    <w:rsid w:val="00330C18"/>
    <w:rsid w:val="003470B7"/>
    <w:rsid w:val="00351A4C"/>
    <w:rsid w:val="003605CE"/>
    <w:rsid w:val="003644D5"/>
    <w:rsid w:val="00365A58"/>
    <w:rsid w:val="00372465"/>
    <w:rsid w:val="00373C25"/>
    <w:rsid w:val="0037728B"/>
    <w:rsid w:val="003812F7"/>
    <w:rsid w:val="00384D1E"/>
    <w:rsid w:val="003870BC"/>
    <w:rsid w:val="00387409"/>
    <w:rsid w:val="003942ED"/>
    <w:rsid w:val="003967AC"/>
    <w:rsid w:val="003B258C"/>
    <w:rsid w:val="003B2FDC"/>
    <w:rsid w:val="003B3ECE"/>
    <w:rsid w:val="003C02D1"/>
    <w:rsid w:val="003D26FA"/>
    <w:rsid w:val="003D2E4D"/>
    <w:rsid w:val="003E26E9"/>
    <w:rsid w:val="003E2741"/>
    <w:rsid w:val="003F2169"/>
    <w:rsid w:val="003F6917"/>
    <w:rsid w:val="004078EC"/>
    <w:rsid w:val="00411DBF"/>
    <w:rsid w:val="00414B96"/>
    <w:rsid w:val="00417465"/>
    <w:rsid w:val="00426FE5"/>
    <w:rsid w:val="00432482"/>
    <w:rsid w:val="004329A5"/>
    <w:rsid w:val="00432DCB"/>
    <w:rsid w:val="00434E23"/>
    <w:rsid w:val="00436110"/>
    <w:rsid w:val="004365F5"/>
    <w:rsid w:val="0044029C"/>
    <w:rsid w:val="00443C4C"/>
    <w:rsid w:val="00452BED"/>
    <w:rsid w:val="0045734F"/>
    <w:rsid w:val="0046168E"/>
    <w:rsid w:val="004666FB"/>
    <w:rsid w:val="00473350"/>
    <w:rsid w:val="00473FBD"/>
    <w:rsid w:val="00476E7F"/>
    <w:rsid w:val="00477E09"/>
    <w:rsid w:val="00482FAE"/>
    <w:rsid w:val="004863CD"/>
    <w:rsid w:val="00487E28"/>
    <w:rsid w:val="004909FD"/>
    <w:rsid w:val="004964DC"/>
    <w:rsid w:val="004A5678"/>
    <w:rsid w:val="004B17E7"/>
    <w:rsid w:val="004B191A"/>
    <w:rsid w:val="004B2CF8"/>
    <w:rsid w:val="004C0C27"/>
    <w:rsid w:val="004C1E31"/>
    <w:rsid w:val="004C2A97"/>
    <w:rsid w:val="004C55FD"/>
    <w:rsid w:val="004C75C7"/>
    <w:rsid w:val="004D0B13"/>
    <w:rsid w:val="004D61A3"/>
    <w:rsid w:val="004E0F3F"/>
    <w:rsid w:val="004E3D1E"/>
    <w:rsid w:val="004E4248"/>
    <w:rsid w:val="004E4D87"/>
    <w:rsid w:val="004E55B1"/>
    <w:rsid w:val="004E6030"/>
    <w:rsid w:val="004E75FF"/>
    <w:rsid w:val="004E7920"/>
    <w:rsid w:val="004F1101"/>
    <w:rsid w:val="004F2B03"/>
    <w:rsid w:val="004F4C53"/>
    <w:rsid w:val="00500393"/>
    <w:rsid w:val="00503CBA"/>
    <w:rsid w:val="00503FAF"/>
    <w:rsid w:val="00504ABB"/>
    <w:rsid w:val="00505EF4"/>
    <w:rsid w:val="0050610D"/>
    <w:rsid w:val="0051125D"/>
    <w:rsid w:val="00512E46"/>
    <w:rsid w:val="005209A3"/>
    <w:rsid w:val="0053026B"/>
    <w:rsid w:val="00531512"/>
    <w:rsid w:val="00531B00"/>
    <w:rsid w:val="0053403B"/>
    <w:rsid w:val="00535EBE"/>
    <w:rsid w:val="005407B8"/>
    <w:rsid w:val="00543EBC"/>
    <w:rsid w:val="00545C08"/>
    <w:rsid w:val="005502FF"/>
    <w:rsid w:val="00554FFD"/>
    <w:rsid w:val="0055740D"/>
    <w:rsid w:val="00562B33"/>
    <w:rsid w:val="005650CD"/>
    <w:rsid w:val="0056733D"/>
    <w:rsid w:val="00570E8D"/>
    <w:rsid w:val="005775DF"/>
    <w:rsid w:val="005817B8"/>
    <w:rsid w:val="005828D6"/>
    <w:rsid w:val="00584512"/>
    <w:rsid w:val="00584AF5"/>
    <w:rsid w:val="0059011D"/>
    <w:rsid w:val="005A1E89"/>
    <w:rsid w:val="005A483C"/>
    <w:rsid w:val="005A58E7"/>
    <w:rsid w:val="005B65E7"/>
    <w:rsid w:val="005C140E"/>
    <w:rsid w:val="005C4839"/>
    <w:rsid w:val="005C5B58"/>
    <w:rsid w:val="005D0B82"/>
    <w:rsid w:val="005D1D74"/>
    <w:rsid w:val="005D2720"/>
    <w:rsid w:val="005E094A"/>
    <w:rsid w:val="005E6B91"/>
    <w:rsid w:val="005E7FFB"/>
    <w:rsid w:val="005F02E9"/>
    <w:rsid w:val="005F14B7"/>
    <w:rsid w:val="005F68CD"/>
    <w:rsid w:val="005F7D3B"/>
    <w:rsid w:val="006001BB"/>
    <w:rsid w:val="0060033F"/>
    <w:rsid w:val="00601D07"/>
    <w:rsid w:val="0060597D"/>
    <w:rsid w:val="0061441C"/>
    <w:rsid w:val="00621968"/>
    <w:rsid w:val="0062226F"/>
    <w:rsid w:val="00623105"/>
    <w:rsid w:val="00625904"/>
    <w:rsid w:val="00631508"/>
    <w:rsid w:val="006366ED"/>
    <w:rsid w:val="00640B0F"/>
    <w:rsid w:val="0064345B"/>
    <w:rsid w:val="006504BB"/>
    <w:rsid w:val="0065132F"/>
    <w:rsid w:val="00651C50"/>
    <w:rsid w:val="00662A0A"/>
    <w:rsid w:val="00664745"/>
    <w:rsid w:val="00665CCE"/>
    <w:rsid w:val="006660F8"/>
    <w:rsid w:val="00674D11"/>
    <w:rsid w:val="00674E50"/>
    <w:rsid w:val="006803A3"/>
    <w:rsid w:val="006847FA"/>
    <w:rsid w:val="0069192D"/>
    <w:rsid w:val="006A2D71"/>
    <w:rsid w:val="006A5550"/>
    <w:rsid w:val="006A5FB5"/>
    <w:rsid w:val="006A7219"/>
    <w:rsid w:val="006B0994"/>
    <w:rsid w:val="006B19A0"/>
    <w:rsid w:val="006B3BC4"/>
    <w:rsid w:val="006C1331"/>
    <w:rsid w:val="006C2DB8"/>
    <w:rsid w:val="006C3B5F"/>
    <w:rsid w:val="006D0DC7"/>
    <w:rsid w:val="006D15DA"/>
    <w:rsid w:val="006D3D8B"/>
    <w:rsid w:val="006D5757"/>
    <w:rsid w:val="006E5D8A"/>
    <w:rsid w:val="006F2EFC"/>
    <w:rsid w:val="006F7B43"/>
    <w:rsid w:val="00700345"/>
    <w:rsid w:val="00706DEF"/>
    <w:rsid w:val="0070724C"/>
    <w:rsid w:val="00720431"/>
    <w:rsid w:val="00726A0D"/>
    <w:rsid w:val="00734D97"/>
    <w:rsid w:val="0074232B"/>
    <w:rsid w:val="00743DB5"/>
    <w:rsid w:val="00755546"/>
    <w:rsid w:val="00756FFA"/>
    <w:rsid w:val="0075752C"/>
    <w:rsid w:val="00765D47"/>
    <w:rsid w:val="00782325"/>
    <w:rsid w:val="00786C39"/>
    <w:rsid w:val="00787A70"/>
    <w:rsid w:val="00790AA6"/>
    <w:rsid w:val="00792662"/>
    <w:rsid w:val="0079319F"/>
    <w:rsid w:val="00793E51"/>
    <w:rsid w:val="007942F6"/>
    <w:rsid w:val="00794632"/>
    <w:rsid w:val="00795B11"/>
    <w:rsid w:val="00795BA5"/>
    <w:rsid w:val="0079661E"/>
    <w:rsid w:val="00796DF5"/>
    <w:rsid w:val="007A1D93"/>
    <w:rsid w:val="007A601B"/>
    <w:rsid w:val="007B3635"/>
    <w:rsid w:val="007B45CE"/>
    <w:rsid w:val="007B5482"/>
    <w:rsid w:val="007C3C25"/>
    <w:rsid w:val="007D024C"/>
    <w:rsid w:val="007D0895"/>
    <w:rsid w:val="007D1DD3"/>
    <w:rsid w:val="007D4A59"/>
    <w:rsid w:val="007E470B"/>
    <w:rsid w:val="007E6DB1"/>
    <w:rsid w:val="007E7361"/>
    <w:rsid w:val="007F0423"/>
    <w:rsid w:val="007F17A2"/>
    <w:rsid w:val="00804895"/>
    <w:rsid w:val="008049A5"/>
    <w:rsid w:val="00805297"/>
    <w:rsid w:val="00805EC3"/>
    <w:rsid w:val="00815B29"/>
    <w:rsid w:val="00815F3F"/>
    <w:rsid w:val="008171AF"/>
    <w:rsid w:val="00821FF4"/>
    <w:rsid w:val="0082493F"/>
    <w:rsid w:val="00830672"/>
    <w:rsid w:val="00833ECF"/>
    <w:rsid w:val="00835C70"/>
    <w:rsid w:val="00835D61"/>
    <w:rsid w:val="00836D19"/>
    <w:rsid w:val="00846DC0"/>
    <w:rsid w:val="00850BAC"/>
    <w:rsid w:val="00851953"/>
    <w:rsid w:val="00851961"/>
    <w:rsid w:val="008546C6"/>
    <w:rsid w:val="00854A1B"/>
    <w:rsid w:val="00855EB7"/>
    <w:rsid w:val="0086261D"/>
    <w:rsid w:val="00862B4D"/>
    <w:rsid w:val="00870A0F"/>
    <w:rsid w:val="008720F4"/>
    <w:rsid w:val="00890F49"/>
    <w:rsid w:val="00892391"/>
    <w:rsid w:val="00892764"/>
    <w:rsid w:val="0089432D"/>
    <w:rsid w:val="008946AA"/>
    <w:rsid w:val="008A33E6"/>
    <w:rsid w:val="008A68F5"/>
    <w:rsid w:val="008A774C"/>
    <w:rsid w:val="008B0F0A"/>
    <w:rsid w:val="008B23DD"/>
    <w:rsid w:val="008B3178"/>
    <w:rsid w:val="008B60EF"/>
    <w:rsid w:val="008B61DF"/>
    <w:rsid w:val="008B62EF"/>
    <w:rsid w:val="008B7995"/>
    <w:rsid w:val="008B79DC"/>
    <w:rsid w:val="008C42B6"/>
    <w:rsid w:val="008C73A5"/>
    <w:rsid w:val="008C7F85"/>
    <w:rsid w:val="008D20E4"/>
    <w:rsid w:val="008D57C7"/>
    <w:rsid w:val="008E2801"/>
    <w:rsid w:val="008E29E3"/>
    <w:rsid w:val="008E39A0"/>
    <w:rsid w:val="008F5CF8"/>
    <w:rsid w:val="008F5E40"/>
    <w:rsid w:val="008F606A"/>
    <w:rsid w:val="008F796A"/>
    <w:rsid w:val="0090476B"/>
    <w:rsid w:val="00904B28"/>
    <w:rsid w:val="0091296F"/>
    <w:rsid w:val="0091435E"/>
    <w:rsid w:val="00917F53"/>
    <w:rsid w:val="00921752"/>
    <w:rsid w:val="00925AD7"/>
    <w:rsid w:val="00932457"/>
    <w:rsid w:val="00936B2E"/>
    <w:rsid w:val="00937330"/>
    <w:rsid w:val="009374C4"/>
    <w:rsid w:val="009411C1"/>
    <w:rsid w:val="00944757"/>
    <w:rsid w:val="00945F92"/>
    <w:rsid w:val="00946212"/>
    <w:rsid w:val="00951581"/>
    <w:rsid w:val="00952925"/>
    <w:rsid w:val="00952E40"/>
    <w:rsid w:val="00953778"/>
    <w:rsid w:val="00957711"/>
    <w:rsid w:val="00957BEE"/>
    <w:rsid w:val="00960974"/>
    <w:rsid w:val="009609F6"/>
    <w:rsid w:val="00961250"/>
    <w:rsid w:val="00963792"/>
    <w:rsid w:val="00964EBC"/>
    <w:rsid w:val="00965F1F"/>
    <w:rsid w:val="00970C86"/>
    <w:rsid w:val="00977D45"/>
    <w:rsid w:val="0098005D"/>
    <w:rsid w:val="00986B8A"/>
    <w:rsid w:val="009879DE"/>
    <w:rsid w:val="00987F90"/>
    <w:rsid w:val="0099224C"/>
    <w:rsid w:val="00994929"/>
    <w:rsid w:val="00996053"/>
    <w:rsid w:val="009962E1"/>
    <w:rsid w:val="00996956"/>
    <w:rsid w:val="009A4C6B"/>
    <w:rsid w:val="009A4CF2"/>
    <w:rsid w:val="009A5C88"/>
    <w:rsid w:val="009A7681"/>
    <w:rsid w:val="009B0F6A"/>
    <w:rsid w:val="009B240A"/>
    <w:rsid w:val="009B3D04"/>
    <w:rsid w:val="009C0E85"/>
    <w:rsid w:val="009C7093"/>
    <w:rsid w:val="009D392D"/>
    <w:rsid w:val="009E1C7E"/>
    <w:rsid w:val="009E4742"/>
    <w:rsid w:val="009E6E4B"/>
    <w:rsid w:val="009F0043"/>
    <w:rsid w:val="009F0BDE"/>
    <w:rsid w:val="009F0D56"/>
    <w:rsid w:val="009F1A4A"/>
    <w:rsid w:val="009F48D0"/>
    <w:rsid w:val="009F55E7"/>
    <w:rsid w:val="00A030AF"/>
    <w:rsid w:val="00A0534D"/>
    <w:rsid w:val="00A078EF"/>
    <w:rsid w:val="00A1369F"/>
    <w:rsid w:val="00A216DC"/>
    <w:rsid w:val="00A321A3"/>
    <w:rsid w:val="00A350F1"/>
    <w:rsid w:val="00A356C2"/>
    <w:rsid w:val="00A358CC"/>
    <w:rsid w:val="00A373E5"/>
    <w:rsid w:val="00A41940"/>
    <w:rsid w:val="00A41CF9"/>
    <w:rsid w:val="00A41EE3"/>
    <w:rsid w:val="00A42DAE"/>
    <w:rsid w:val="00A42DC2"/>
    <w:rsid w:val="00A47277"/>
    <w:rsid w:val="00A477B4"/>
    <w:rsid w:val="00A53ABF"/>
    <w:rsid w:val="00A55131"/>
    <w:rsid w:val="00A56A72"/>
    <w:rsid w:val="00A702B6"/>
    <w:rsid w:val="00A7519F"/>
    <w:rsid w:val="00A80F94"/>
    <w:rsid w:val="00A81D7C"/>
    <w:rsid w:val="00A85679"/>
    <w:rsid w:val="00A9014B"/>
    <w:rsid w:val="00A921C9"/>
    <w:rsid w:val="00A96491"/>
    <w:rsid w:val="00A97554"/>
    <w:rsid w:val="00A978D6"/>
    <w:rsid w:val="00AA4799"/>
    <w:rsid w:val="00AA5F2E"/>
    <w:rsid w:val="00AA73DC"/>
    <w:rsid w:val="00AB0223"/>
    <w:rsid w:val="00AC0352"/>
    <w:rsid w:val="00AC225F"/>
    <w:rsid w:val="00AC6C7A"/>
    <w:rsid w:val="00AC7335"/>
    <w:rsid w:val="00AD1FEC"/>
    <w:rsid w:val="00AD254A"/>
    <w:rsid w:val="00AD296B"/>
    <w:rsid w:val="00AD4DDC"/>
    <w:rsid w:val="00AE4433"/>
    <w:rsid w:val="00AE6187"/>
    <w:rsid w:val="00AE6519"/>
    <w:rsid w:val="00AF1EF9"/>
    <w:rsid w:val="00AF388F"/>
    <w:rsid w:val="00AF3E9E"/>
    <w:rsid w:val="00B003D2"/>
    <w:rsid w:val="00B02846"/>
    <w:rsid w:val="00B066C2"/>
    <w:rsid w:val="00B102DD"/>
    <w:rsid w:val="00B12331"/>
    <w:rsid w:val="00B139FD"/>
    <w:rsid w:val="00B2016D"/>
    <w:rsid w:val="00B202E2"/>
    <w:rsid w:val="00B20EE9"/>
    <w:rsid w:val="00B2403C"/>
    <w:rsid w:val="00B24BC9"/>
    <w:rsid w:val="00B270FB"/>
    <w:rsid w:val="00B3161F"/>
    <w:rsid w:val="00B345A9"/>
    <w:rsid w:val="00B4379A"/>
    <w:rsid w:val="00B43D3D"/>
    <w:rsid w:val="00B453DF"/>
    <w:rsid w:val="00B706D3"/>
    <w:rsid w:val="00B7143F"/>
    <w:rsid w:val="00B74B07"/>
    <w:rsid w:val="00B8271D"/>
    <w:rsid w:val="00B847A3"/>
    <w:rsid w:val="00B850C3"/>
    <w:rsid w:val="00B909C6"/>
    <w:rsid w:val="00B90EE0"/>
    <w:rsid w:val="00B972FA"/>
    <w:rsid w:val="00BA0FEF"/>
    <w:rsid w:val="00BA1954"/>
    <w:rsid w:val="00BA1C77"/>
    <w:rsid w:val="00BA4613"/>
    <w:rsid w:val="00BA4D8D"/>
    <w:rsid w:val="00BB1286"/>
    <w:rsid w:val="00BB28A5"/>
    <w:rsid w:val="00BB3913"/>
    <w:rsid w:val="00BC05B1"/>
    <w:rsid w:val="00BC736A"/>
    <w:rsid w:val="00BF5E54"/>
    <w:rsid w:val="00C0304E"/>
    <w:rsid w:val="00C04C94"/>
    <w:rsid w:val="00C06375"/>
    <w:rsid w:val="00C06A91"/>
    <w:rsid w:val="00C17FE4"/>
    <w:rsid w:val="00C203AD"/>
    <w:rsid w:val="00C27DD7"/>
    <w:rsid w:val="00C32A84"/>
    <w:rsid w:val="00C33D77"/>
    <w:rsid w:val="00C3596A"/>
    <w:rsid w:val="00C4000F"/>
    <w:rsid w:val="00C40881"/>
    <w:rsid w:val="00C41EC1"/>
    <w:rsid w:val="00C43536"/>
    <w:rsid w:val="00C4524A"/>
    <w:rsid w:val="00C46D8A"/>
    <w:rsid w:val="00C47B79"/>
    <w:rsid w:val="00C51AFA"/>
    <w:rsid w:val="00C53BAA"/>
    <w:rsid w:val="00C545B5"/>
    <w:rsid w:val="00C56D67"/>
    <w:rsid w:val="00C57C49"/>
    <w:rsid w:val="00C62647"/>
    <w:rsid w:val="00C71509"/>
    <w:rsid w:val="00C737A2"/>
    <w:rsid w:val="00C82181"/>
    <w:rsid w:val="00C83500"/>
    <w:rsid w:val="00C83E6F"/>
    <w:rsid w:val="00C8659D"/>
    <w:rsid w:val="00C95A1F"/>
    <w:rsid w:val="00CA44B2"/>
    <w:rsid w:val="00CA59E9"/>
    <w:rsid w:val="00CA74E5"/>
    <w:rsid w:val="00CB18D7"/>
    <w:rsid w:val="00CB1985"/>
    <w:rsid w:val="00CB2A93"/>
    <w:rsid w:val="00CB3758"/>
    <w:rsid w:val="00CB689F"/>
    <w:rsid w:val="00CC4119"/>
    <w:rsid w:val="00CC77EE"/>
    <w:rsid w:val="00CD1BD4"/>
    <w:rsid w:val="00CD2A01"/>
    <w:rsid w:val="00CD5704"/>
    <w:rsid w:val="00CD5736"/>
    <w:rsid w:val="00CE3D35"/>
    <w:rsid w:val="00CE5941"/>
    <w:rsid w:val="00CF4316"/>
    <w:rsid w:val="00CF6833"/>
    <w:rsid w:val="00CF6ADB"/>
    <w:rsid w:val="00CF75AE"/>
    <w:rsid w:val="00D00A72"/>
    <w:rsid w:val="00D050E8"/>
    <w:rsid w:val="00D10DDB"/>
    <w:rsid w:val="00D14EC6"/>
    <w:rsid w:val="00D20C0D"/>
    <w:rsid w:val="00D23B78"/>
    <w:rsid w:val="00D34C6E"/>
    <w:rsid w:val="00D355A5"/>
    <w:rsid w:val="00D4084A"/>
    <w:rsid w:val="00D506C2"/>
    <w:rsid w:val="00D51495"/>
    <w:rsid w:val="00D55192"/>
    <w:rsid w:val="00D56A27"/>
    <w:rsid w:val="00D62F8C"/>
    <w:rsid w:val="00D64401"/>
    <w:rsid w:val="00D66032"/>
    <w:rsid w:val="00D71D04"/>
    <w:rsid w:val="00D73FB6"/>
    <w:rsid w:val="00D80255"/>
    <w:rsid w:val="00D87D9A"/>
    <w:rsid w:val="00D91461"/>
    <w:rsid w:val="00D919E2"/>
    <w:rsid w:val="00D91F82"/>
    <w:rsid w:val="00D942D8"/>
    <w:rsid w:val="00D9469C"/>
    <w:rsid w:val="00D94969"/>
    <w:rsid w:val="00DA386A"/>
    <w:rsid w:val="00DA4332"/>
    <w:rsid w:val="00DB26E7"/>
    <w:rsid w:val="00DB34E1"/>
    <w:rsid w:val="00DB3D94"/>
    <w:rsid w:val="00DB592B"/>
    <w:rsid w:val="00DC1047"/>
    <w:rsid w:val="00DC2EF8"/>
    <w:rsid w:val="00DC3D53"/>
    <w:rsid w:val="00DC525F"/>
    <w:rsid w:val="00DC62F0"/>
    <w:rsid w:val="00DD0063"/>
    <w:rsid w:val="00DE20C9"/>
    <w:rsid w:val="00DE3D5C"/>
    <w:rsid w:val="00DE6A87"/>
    <w:rsid w:val="00DF046A"/>
    <w:rsid w:val="00DF588A"/>
    <w:rsid w:val="00E03975"/>
    <w:rsid w:val="00E07A38"/>
    <w:rsid w:val="00E2331C"/>
    <w:rsid w:val="00E31709"/>
    <w:rsid w:val="00E407EA"/>
    <w:rsid w:val="00E40906"/>
    <w:rsid w:val="00E430EE"/>
    <w:rsid w:val="00E4390A"/>
    <w:rsid w:val="00E46A17"/>
    <w:rsid w:val="00E47B78"/>
    <w:rsid w:val="00E500A7"/>
    <w:rsid w:val="00E510C2"/>
    <w:rsid w:val="00E560E1"/>
    <w:rsid w:val="00E617A4"/>
    <w:rsid w:val="00E6184B"/>
    <w:rsid w:val="00E627E8"/>
    <w:rsid w:val="00E63053"/>
    <w:rsid w:val="00E70275"/>
    <w:rsid w:val="00E71A3D"/>
    <w:rsid w:val="00E71DA4"/>
    <w:rsid w:val="00E73E47"/>
    <w:rsid w:val="00E75F10"/>
    <w:rsid w:val="00E8013D"/>
    <w:rsid w:val="00E83C90"/>
    <w:rsid w:val="00E84375"/>
    <w:rsid w:val="00E852B0"/>
    <w:rsid w:val="00E86516"/>
    <w:rsid w:val="00E91719"/>
    <w:rsid w:val="00E97224"/>
    <w:rsid w:val="00E972A5"/>
    <w:rsid w:val="00E97BDE"/>
    <w:rsid w:val="00EA28DB"/>
    <w:rsid w:val="00EA2BC3"/>
    <w:rsid w:val="00EA426C"/>
    <w:rsid w:val="00EA5F69"/>
    <w:rsid w:val="00EB038A"/>
    <w:rsid w:val="00EB1A5F"/>
    <w:rsid w:val="00EB359B"/>
    <w:rsid w:val="00EB4E77"/>
    <w:rsid w:val="00EB5064"/>
    <w:rsid w:val="00EB5A11"/>
    <w:rsid w:val="00EC36EF"/>
    <w:rsid w:val="00EE44CD"/>
    <w:rsid w:val="00EE5A9E"/>
    <w:rsid w:val="00EF0E9C"/>
    <w:rsid w:val="00EF17C9"/>
    <w:rsid w:val="00EF2CBA"/>
    <w:rsid w:val="00EF49EB"/>
    <w:rsid w:val="00EF7C9D"/>
    <w:rsid w:val="00F041BE"/>
    <w:rsid w:val="00F07BEE"/>
    <w:rsid w:val="00F12ADB"/>
    <w:rsid w:val="00F132FF"/>
    <w:rsid w:val="00F13A35"/>
    <w:rsid w:val="00F22526"/>
    <w:rsid w:val="00F22E14"/>
    <w:rsid w:val="00F239D8"/>
    <w:rsid w:val="00F371CC"/>
    <w:rsid w:val="00F44B24"/>
    <w:rsid w:val="00F4565D"/>
    <w:rsid w:val="00F510BC"/>
    <w:rsid w:val="00F51C49"/>
    <w:rsid w:val="00F5203B"/>
    <w:rsid w:val="00F52EAE"/>
    <w:rsid w:val="00F54FCE"/>
    <w:rsid w:val="00F62A47"/>
    <w:rsid w:val="00F6654A"/>
    <w:rsid w:val="00F66D67"/>
    <w:rsid w:val="00F66FB6"/>
    <w:rsid w:val="00F673AD"/>
    <w:rsid w:val="00F67617"/>
    <w:rsid w:val="00F76199"/>
    <w:rsid w:val="00F76BA7"/>
    <w:rsid w:val="00F81259"/>
    <w:rsid w:val="00F844E1"/>
    <w:rsid w:val="00F8759C"/>
    <w:rsid w:val="00F94977"/>
    <w:rsid w:val="00F95317"/>
    <w:rsid w:val="00F968D0"/>
    <w:rsid w:val="00FA1098"/>
    <w:rsid w:val="00FA4CEB"/>
    <w:rsid w:val="00FA714C"/>
    <w:rsid w:val="00FB490E"/>
    <w:rsid w:val="00FB4C19"/>
    <w:rsid w:val="00FC1B71"/>
    <w:rsid w:val="00FC49BE"/>
    <w:rsid w:val="00FD2BD7"/>
    <w:rsid w:val="00FD5839"/>
    <w:rsid w:val="00FE3BEC"/>
    <w:rsid w:val="00FE4A57"/>
    <w:rsid w:val="03263CDA"/>
    <w:rsid w:val="03CA3C3D"/>
    <w:rsid w:val="0F9ACD97"/>
    <w:rsid w:val="134E416D"/>
    <w:rsid w:val="164BA371"/>
    <w:rsid w:val="1CA225F6"/>
    <w:rsid w:val="21011B57"/>
    <w:rsid w:val="2409BF09"/>
    <w:rsid w:val="24CEE22C"/>
    <w:rsid w:val="26C53000"/>
    <w:rsid w:val="26DC7141"/>
    <w:rsid w:val="27CC9A11"/>
    <w:rsid w:val="2A6A8669"/>
    <w:rsid w:val="2BA16143"/>
    <w:rsid w:val="2C437452"/>
    <w:rsid w:val="2CBF5327"/>
    <w:rsid w:val="2E2059B2"/>
    <w:rsid w:val="2F23BC9B"/>
    <w:rsid w:val="33627002"/>
    <w:rsid w:val="35D87D65"/>
    <w:rsid w:val="3AF2B7CA"/>
    <w:rsid w:val="3B356BD8"/>
    <w:rsid w:val="3B3769EC"/>
    <w:rsid w:val="3E7C0677"/>
    <w:rsid w:val="40985243"/>
    <w:rsid w:val="4374005A"/>
    <w:rsid w:val="4700A81F"/>
    <w:rsid w:val="486F0EFD"/>
    <w:rsid w:val="48FED1F7"/>
    <w:rsid w:val="49DBE1FE"/>
    <w:rsid w:val="4A447D9E"/>
    <w:rsid w:val="4F7A0359"/>
    <w:rsid w:val="561AC586"/>
    <w:rsid w:val="56B732FD"/>
    <w:rsid w:val="5C7B2934"/>
    <w:rsid w:val="5D1306EC"/>
    <w:rsid w:val="5D161A5D"/>
    <w:rsid w:val="63FD2DB0"/>
    <w:rsid w:val="668EEDCA"/>
    <w:rsid w:val="6E353ED2"/>
    <w:rsid w:val="6E872290"/>
    <w:rsid w:val="6E9B8D3E"/>
    <w:rsid w:val="6F3BB0A7"/>
    <w:rsid w:val="6FCF69E8"/>
    <w:rsid w:val="70C1F124"/>
    <w:rsid w:val="73AC8DDE"/>
    <w:rsid w:val="76B50CBB"/>
    <w:rsid w:val="7735EAE3"/>
    <w:rsid w:val="7A7E40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19EA"/>
  <w15:docId w15:val="{61440474-91D2-4708-8B3A-4C18474A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6E2C"/>
    <w:pPr>
      <w:spacing w:after="200" w:line="276" w:lineRule="auto"/>
    </w:pPr>
    <w:rPr>
      <w:sz w:val="22"/>
      <w:szCs w:val="22"/>
      <w:lang w:val="en-US" w:eastAsia="en-US"/>
    </w:rPr>
  </w:style>
  <w:style w:type="paragraph" w:styleId="Heading2">
    <w:name w:val="heading 2"/>
    <w:basedOn w:val="Normal"/>
    <w:next w:val="Normal"/>
    <w:link w:val="Heading2Char"/>
    <w:qFormat/>
    <w:rsid w:val="00816867"/>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16867"/>
    <w:pPr>
      <w:keepNext/>
      <w:numPr>
        <w:ilvl w:val="2"/>
        <w:numId w:val="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16867"/>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qFormat/>
    <w:rsid w:val="00816867"/>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16867"/>
    <w:pPr>
      <w:numPr>
        <w:ilvl w:val="5"/>
        <w:numId w:val="5"/>
      </w:numPr>
      <w:spacing w:before="240" w:after="60"/>
      <w:outlineLvl w:val="5"/>
    </w:pPr>
    <w:rPr>
      <w:rFonts w:eastAsia="Times New Roman"/>
      <w:b/>
      <w:bCs/>
    </w:rPr>
  </w:style>
  <w:style w:type="paragraph" w:styleId="Heading7">
    <w:name w:val="heading 7"/>
    <w:basedOn w:val="Normal"/>
    <w:next w:val="Normal"/>
    <w:link w:val="Heading7Char"/>
    <w:qFormat/>
    <w:rsid w:val="00816867"/>
    <w:pPr>
      <w:numPr>
        <w:ilvl w:val="6"/>
        <w:numId w:val="5"/>
      </w:numPr>
      <w:spacing w:before="240" w:after="60"/>
      <w:outlineLvl w:val="6"/>
    </w:pPr>
    <w:rPr>
      <w:rFonts w:eastAsia="Times New Roman"/>
      <w:sz w:val="24"/>
      <w:szCs w:val="24"/>
    </w:rPr>
  </w:style>
  <w:style w:type="paragraph" w:styleId="Heading8">
    <w:name w:val="heading 8"/>
    <w:basedOn w:val="Normal"/>
    <w:next w:val="Normal"/>
    <w:link w:val="Heading8Char"/>
    <w:qFormat/>
    <w:rsid w:val="00816867"/>
    <w:pPr>
      <w:numPr>
        <w:ilvl w:val="7"/>
        <w:numId w:val="5"/>
      </w:numPr>
      <w:spacing w:before="240" w:after="60"/>
      <w:outlineLvl w:val="7"/>
    </w:pPr>
    <w:rPr>
      <w:rFonts w:eastAsia="Times New Roman"/>
      <w:i/>
      <w:iCs/>
      <w:sz w:val="24"/>
      <w:szCs w:val="24"/>
    </w:rPr>
  </w:style>
  <w:style w:type="paragraph" w:styleId="Heading9">
    <w:name w:val="heading 9"/>
    <w:basedOn w:val="Normal"/>
    <w:next w:val="Normal"/>
    <w:link w:val="Heading9Char"/>
    <w:qFormat/>
    <w:rsid w:val="00816867"/>
    <w:pPr>
      <w:numPr>
        <w:ilvl w:val="8"/>
        <w:numId w:val="5"/>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FC0621"/>
    <w:rPr>
      <w:rFonts w:ascii="Tahoma" w:eastAsia="Times New Roman" w:hAnsi="Tahoma" w:cs="Tahoma"/>
      <w:sz w:val="16"/>
      <w:szCs w:val="16"/>
    </w:rPr>
  </w:style>
  <w:style w:type="paragraph" w:styleId="FootnoteText">
    <w:name w:val="footnote text"/>
    <w:aliases w:val="fn,foottextfra,footnote,F,Texto nota pie IIRSA,Texto de rodapé,nota_rodapé,nota de rodapé,FOOTNOTES,single space,footnote text,Style 25,Texto nota piepddes Car Car,Texto nota piepddes Car,ft,ft Car Car,Texto nota pie2,ft1,ft Car Car Car1"/>
    <w:basedOn w:val="Normal"/>
    <w:link w:val="FootnoteTextChar"/>
    <w:uiPriority w:val="99"/>
    <w:unhideWhenUsed/>
    <w:qFormat/>
    <w:rsid w:val="00902F77"/>
    <w:pPr>
      <w:keepNext/>
      <w:keepLines/>
      <w:spacing w:after="120" w:line="240" w:lineRule="auto"/>
      <w:ind w:left="288" w:hanging="288"/>
      <w:jc w:val="both"/>
    </w:pPr>
    <w:rPr>
      <w:rFonts w:ascii="Times New Roman" w:hAnsi="Times New Roman"/>
      <w:spacing w:val="-3"/>
      <w:sz w:val="20"/>
      <w:szCs w:val="24"/>
    </w:rPr>
  </w:style>
  <w:style w:type="character" w:customStyle="1" w:styleId="FootnoteTextChar">
    <w:name w:val="Footnote Text Char"/>
    <w:aliases w:val="fn Char,foottextfra Char,footnote Char,F Char,Texto nota pie IIRSA Char,Texto de rodapé Char,nota_rodapé Char,nota de rodapé Char,FOOTNOTES Char,single space Char,footnote text Char,Style 25 Char,Texto nota piepddes Car Car Char"/>
    <w:link w:val="FootnoteText"/>
    <w:uiPriority w:val="99"/>
    <w:rsid w:val="00902F77"/>
    <w:rPr>
      <w:rFonts w:ascii="Times New Roman" w:hAnsi="Times New Roman"/>
      <w:spacing w:val="-3"/>
      <w:szCs w:val="24"/>
    </w:rPr>
  </w:style>
  <w:style w:type="character" w:styleId="FootnoteReference">
    <w:name w:val="footnote reference"/>
    <w:aliases w:val="titulo 2,Style 24,pie pddes,referencia nota al pie,Texto de nota al pie,Ref,de nota al pie,Nota de pie,Texto nota al pie,de nota al pi,Ref. de nota al pie2,Massilia Footnote Reference,Massilia Footnote Referen,Footnote symbol,Footnot"/>
    <w:uiPriority w:val="99"/>
    <w:unhideWhenUsed/>
    <w:qFormat/>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1E55D5"/>
    <w:rPr>
      <w:sz w:val="16"/>
      <w:szCs w:val="16"/>
    </w:rPr>
  </w:style>
  <w:style w:type="paragraph" w:styleId="CommentText">
    <w:name w:val="annotation text"/>
    <w:basedOn w:val="Normal"/>
    <w:link w:val="CommentTextChar"/>
    <w:rsid w:val="001E55D5"/>
    <w:rPr>
      <w:sz w:val="20"/>
      <w:szCs w:val="20"/>
    </w:rPr>
  </w:style>
  <w:style w:type="character" w:customStyle="1" w:styleId="CommentTextChar">
    <w:name w:val="Comment Text Char"/>
    <w:basedOn w:val="DefaultParagraphFont"/>
    <w:link w:val="CommentText"/>
    <w:uiPriority w:val="99"/>
    <w:rsid w:val="001E55D5"/>
  </w:style>
  <w:style w:type="paragraph" w:styleId="CommentSubject">
    <w:name w:val="annotation subject"/>
    <w:basedOn w:val="CommentText"/>
    <w:next w:val="CommentText"/>
    <w:link w:val="CommentSubjectChar"/>
    <w:rsid w:val="001E55D5"/>
    <w:rPr>
      <w:b/>
      <w:bCs/>
    </w:rPr>
  </w:style>
  <w:style w:type="character" w:customStyle="1" w:styleId="CommentSubjectChar">
    <w:name w:val="Comment Subject Char"/>
    <w:link w:val="CommentSubject"/>
    <w:rsid w:val="001E55D5"/>
    <w:rPr>
      <w:b/>
      <w:bCs/>
    </w:rPr>
  </w:style>
  <w:style w:type="paragraph" w:customStyle="1" w:styleId="Chapter">
    <w:name w:val="Chapter"/>
    <w:basedOn w:val="Normal"/>
    <w:next w:val="Normal"/>
    <w:link w:val="ChapterChar"/>
    <w:rsid w:val="00816867"/>
    <w:pPr>
      <w:keepNext/>
      <w:numPr>
        <w:numId w:val="5"/>
      </w:numPr>
      <w:tabs>
        <w:tab w:val="num" w:pos="648"/>
        <w:tab w:val="left" w:pos="1440"/>
      </w:tabs>
      <w:spacing w:before="240" w:after="240" w:line="240" w:lineRule="auto"/>
      <w:ind w:left="0" w:firstLine="288"/>
      <w:jc w:val="center"/>
    </w:pPr>
    <w:rPr>
      <w:rFonts w:ascii="Times New Roman" w:hAnsi="Times New Roman"/>
      <w:b/>
      <w:smallCaps/>
      <w:sz w:val="24"/>
    </w:rPr>
  </w:style>
  <w:style w:type="character" w:customStyle="1" w:styleId="ColorfulList-Accent1Char">
    <w:name w:val="Colorful List - Accent 1 Char"/>
    <w:link w:val="ColorfulList-Accent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lang w:val="en-US" w:eastAsia="en-US"/>
    </w:rPr>
  </w:style>
  <w:style w:type="paragraph" w:customStyle="1" w:styleId="FirstHeading">
    <w:name w:val="FirstHeading"/>
    <w:basedOn w:val="Normal"/>
    <w:next w:val="Normal"/>
    <w:link w:val="FirstHeadingChar"/>
    <w:rsid w:val="00816867"/>
    <w:pPr>
      <w:keepNext/>
      <w:tabs>
        <w:tab w:val="left" w:pos="0"/>
        <w:tab w:val="left" w:pos="86"/>
      </w:tabs>
      <w:spacing w:before="120" w:after="120" w:line="240" w:lineRule="auto"/>
      <w:ind w:hanging="720"/>
    </w:pPr>
    <w:rPr>
      <w:rFonts w:ascii="Times New Roman" w:hAnsi="Times New Roman"/>
      <w:b/>
      <w:sz w:val="24"/>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line="240" w:lineRule="auto"/>
      <w:ind w:left="1296" w:hanging="576"/>
    </w:pPr>
    <w:rPr>
      <w:rFonts w:ascii="Times New Roman" w:hAnsi="Times New Roman"/>
      <w:b/>
      <w:sz w:val="24"/>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qFormat/>
    <w:rsid w:val="00816867"/>
    <w:pPr>
      <w:tabs>
        <w:tab w:val="num" w:pos="720"/>
      </w:tabs>
      <w:spacing w:before="120"/>
      <w:ind w:hanging="720"/>
      <w:jc w:val="both"/>
      <w:outlineLvl w:val="1"/>
    </w:pPr>
  </w:style>
  <w:style w:type="character" w:customStyle="1" w:styleId="ParagraphChar">
    <w:name w:val="Paragraph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basedOn w:val="Normal"/>
    <w:link w:val="RegtableChar"/>
    <w:rsid w:val="00816867"/>
    <w:pPr>
      <w:keepLines/>
      <w:framePr w:wrap="around" w:vAnchor="text" w:hAnchor="text" w:y="1"/>
      <w:spacing w:before="20" w:after="20" w:line="240" w:lineRule="auto"/>
    </w:pPr>
    <w:rPr>
      <w:rFonts w:ascii="Times New Roman" w:hAnsi="Times New Roman"/>
      <w:sz w:val="20"/>
    </w:rPr>
  </w:style>
  <w:style w:type="character" w:customStyle="1" w:styleId="RegtableChar">
    <w:name w:val="Regtable Char"/>
    <w:link w:val="Regtable"/>
    <w:rsid w:val="00816867"/>
    <w:rPr>
      <w:rFonts w:ascii="Times New Roman" w:hAnsi="Times New Roman"/>
      <w:sz w:val="22"/>
      <w:szCs w:val="22"/>
    </w:rPr>
  </w:style>
  <w:style w:type="paragraph" w:customStyle="1" w:styleId="TableTitle">
    <w:name w:val="TableTitle"/>
    <w:basedOn w:val="ColorfulList-Accent11"/>
    <w:link w:val="TableTitleChar"/>
    <w:rsid w:val="00816867"/>
    <w:pPr>
      <w:keepNext/>
      <w:spacing w:before="20" w:after="20" w:line="240" w:lineRule="auto"/>
      <w:ind w:left="0"/>
      <w:contextualSpacing w:val="0"/>
      <w:jc w:val="center"/>
    </w:pPr>
    <w:rPr>
      <w:rFonts w:ascii="Times New Roman Bold" w:hAnsi="Times New Roman Bold"/>
      <w:b/>
      <w:spacing w:val="-3"/>
      <w:sz w:val="20"/>
    </w:rPr>
  </w:style>
  <w:style w:type="character" w:customStyle="1" w:styleId="TableTitleChar">
    <w:name w:val="TableTitle Char"/>
    <w:link w:val="TableTitle"/>
    <w:rsid w:val="00816867"/>
    <w:rPr>
      <w:rFonts w:ascii="Times New Roman Bold" w:hAnsi="Times New Roman Bold"/>
      <w:b/>
      <w:spacing w:val="-3"/>
      <w:sz w:val="22"/>
      <w:szCs w:val="22"/>
    </w:rPr>
  </w:style>
  <w:style w:type="character" w:customStyle="1" w:styleId="Heading2Char">
    <w:name w:val="Heading 2 Char"/>
    <w:link w:val="Heading2"/>
    <w:rsid w:val="00816867"/>
    <w:rPr>
      <w:rFonts w:ascii="Cambria" w:eastAsia="Times New Roman" w:hAnsi="Cambria"/>
      <w:b/>
      <w:bCs/>
      <w:i/>
      <w:iCs/>
      <w:sz w:val="28"/>
      <w:szCs w:val="28"/>
      <w:lang w:val="en-US" w:eastAsia="en-US"/>
    </w:rPr>
  </w:style>
  <w:style w:type="character" w:customStyle="1" w:styleId="Heading3Char">
    <w:name w:val="Heading 3 Char"/>
    <w:link w:val="Heading3"/>
    <w:rsid w:val="00816867"/>
    <w:rPr>
      <w:rFonts w:ascii="Cambria" w:eastAsia="Times New Roman" w:hAnsi="Cambria"/>
      <w:b/>
      <w:bCs/>
      <w:sz w:val="26"/>
      <w:szCs w:val="26"/>
      <w:lang w:val="en-US" w:eastAsia="en-US"/>
    </w:rPr>
  </w:style>
  <w:style w:type="character" w:customStyle="1" w:styleId="Heading4Char">
    <w:name w:val="Heading 4 Char"/>
    <w:link w:val="Heading4"/>
    <w:rsid w:val="00816867"/>
    <w:rPr>
      <w:rFonts w:eastAsia="Times New Roman"/>
      <w:b/>
      <w:bCs/>
      <w:sz w:val="28"/>
      <w:szCs w:val="28"/>
      <w:lang w:val="en-US" w:eastAsia="en-US"/>
    </w:rPr>
  </w:style>
  <w:style w:type="character" w:customStyle="1" w:styleId="Heading5Char">
    <w:name w:val="Heading 5 Char"/>
    <w:link w:val="Heading5"/>
    <w:rsid w:val="00816867"/>
    <w:rPr>
      <w:rFonts w:eastAsia="Times New Roman"/>
      <w:b/>
      <w:bCs/>
      <w:i/>
      <w:iCs/>
      <w:sz w:val="26"/>
      <w:szCs w:val="26"/>
      <w:lang w:val="en-US" w:eastAsia="en-US"/>
    </w:rPr>
  </w:style>
  <w:style w:type="character" w:customStyle="1" w:styleId="Heading6Char">
    <w:name w:val="Heading 6 Char"/>
    <w:link w:val="Heading6"/>
    <w:rsid w:val="00816867"/>
    <w:rPr>
      <w:rFonts w:eastAsia="Times New Roman"/>
      <w:b/>
      <w:bCs/>
      <w:sz w:val="22"/>
      <w:szCs w:val="22"/>
      <w:lang w:val="en-US" w:eastAsia="en-US"/>
    </w:rPr>
  </w:style>
  <w:style w:type="character" w:customStyle="1" w:styleId="Heading7Char">
    <w:name w:val="Heading 7 Char"/>
    <w:link w:val="Heading7"/>
    <w:rsid w:val="00816867"/>
    <w:rPr>
      <w:rFonts w:eastAsia="Times New Roman"/>
      <w:sz w:val="24"/>
      <w:szCs w:val="24"/>
      <w:lang w:val="en-US" w:eastAsia="en-US"/>
    </w:rPr>
  </w:style>
  <w:style w:type="character" w:customStyle="1" w:styleId="Heading8Char">
    <w:name w:val="Heading 8 Char"/>
    <w:link w:val="Heading8"/>
    <w:rsid w:val="00816867"/>
    <w:rPr>
      <w:rFonts w:eastAsia="Times New Roman"/>
      <w:i/>
      <w:iCs/>
      <w:sz w:val="24"/>
      <w:szCs w:val="24"/>
      <w:lang w:val="en-US" w:eastAsia="en-US"/>
    </w:rPr>
  </w:style>
  <w:style w:type="character" w:customStyle="1" w:styleId="Heading9Char">
    <w:name w:val="Heading 9 Char"/>
    <w:link w:val="Heading9"/>
    <w:rsid w:val="00816867"/>
    <w:rPr>
      <w:rFonts w:ascii="Cambria" w:eastAsia="Times New Roman" w:hAnsi="Cambria"/>
      <w:sz w:val="22"/>
      <w:szCs w:val="22"/>
      <w:lang w:val="en-US" w:eastAsia="en-US"/>
    </w:rPr>
  </w:style>
  <w:style w:type="paragraph" w:styleId="BodyTextIndent">
    <w:name w:val="Body Text Indent"/>
    <w:basedOn w:val="Normal"/>
    <w:link w:val="BodyTextIndentChar"/>
    <w:rsid w:val="00816867"/>
    <w:pPr>
      <w:spacing w:after="120" w:line="240" w:lineRule="auto"/>
      <w:ind w:left="360"/>
    </w:pPr>
    <w:rPr>
      <w:rFonts w:ascii="Times New Roman" w:hAnsi="Times New Roman"/>
      <w:sz w:val="24"/>
    </w:rPr>
  </w:style>
  <w:style w:type="character" w:customStyle="1" w:styleId="BodyTextIndentChar">
    <w:name w:val="Body Text Indent Char"/>
    <w:link w:val="BodyTextIndent"/>
    <w:rsid w:val="00816867"/>
    <w:rPr>
      <w:rFonts w:ascii="Times New Roman" w:hAnsi="Times New Roman"/>
      <w:sz w:val="24"/>
      <w:szCs w:val="22"/>
    </w:rPr>
  </w:style>
  <w:style w:type="paragraph" w:styleId="BodyTextIndent3">
    <w:name w:val="Body Text Indent 3"/>
    <w:basedOn w:val="Normal"/>
    <w:link w:val="BodyTextIndent3Char"/>
    <w:rsid w:val="00816867"/>
    <w:pPr>
      <w:spacing w:after="120" w:line="240" w:lineRule="auto"/>
      <w:ind w:left="360"/>
    </w:pPr>
    <w:rPr>
      <w:rFonts w:ascii="Times New Roman" w:hAnsi="Times New Roman"/>
      <w:sz w:val="24"/>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uiPriority w:val="99"/>
    <w:rsid w:val="00BA0FEF"/>
    <w:rPr>
      <w:color w:val="0000FF"/>
      <w:u w:val="single"/>
    </w:rPr>
  </w:style>
  <w:style w:type="character" w:styleId="FollowedHyperlink">
    <w:name w:val="FollowedHyperlink"/>
    <w:rsid w:val="00BA0FEF"/>
    <w:rPr>
      <w:color w:val="800080"/>
      <w:u w:val="single"/>
    </w:rPr>
  </w:style>
  <w:style w:type="paragraph" w:styleId="ListParagraph">
    <w:name w:val="List Paragraph"/>
    <w:aliases w:val="titulo 5"/>
    <w:basedOn w:val="Normal"/>
    <w:link w:val="ListParagraphChar"/>
    <w:uiPriority w:val="34"/>
    <w:qFormat/>
    <w:rsid w:val="00500393"/>
    <w:pPr>
      <w:ind w:left="708"/>
    </w:pPr>
  </w:style>
  <w:style w:type="paragraph" w:styleId="HTMLPreformatted">
    <w:name w:val="HTML Preformatted"/>
    <w:basedOn w:val="Normal"/>
    <w:link w:val="HTMLPreformattedChar"/>
    <w:uiPriority w:val="99"/>
    <w:semiHidden/>
    <w:unhideWhenUsed/>
    <w:rsid w:val="002C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7268"/>
    <w:rPr>
      <w:rFonts w:ascii="Courier New" w:eastAsia="Times New Roman" w:hAnsi="Courier New" w:cs="Courier New"/>
      <w:lang w:val="en-US" w:eastAsia="en-US"/>
    </w:rPr>
  </w:style>
  <w:style w:type="character" w:customStyle="1" w:styleId="ListParagraphChar">
    <w:name w:val="List Paragraph Char"/>
    <w:aliases w:val="titulo 5 Char"/>
    <w:link w:val="ListParagraph"/>
    <w:uiPriority w:val="34"/>
    <w:locked/>
    <w:rsid w:val="00D71D04"/>
    <w:rPr>
      <w:sz w:val="22"/>
      <w:szCs w:val="22"/>
      <w:lang w:val="en-US" w:eastAsia="en-US"/>
    </w:rPr>
  </w:style>
  <w:style w:type="character" w:customStyle="1" w:styleId="normaltextrun">
    <w:name w:val="normaltextrun"/>
    <w:basedOn w:val="DefaultParagraphFont"/>
    <w:rsid w:val="003644D5"/>
  </w:style>
  <w:style w:type="character" w:customStyle="1" w:styleId="eop">
    <w:name w:val="eop"/>
    <w:basedOn w:val="DefaultParagraphFont"/>
    <w:rsid w:val="005F68CD"/>
  </w:style>
  <w:style w:type="character" w:customStyle="1" w:styleId="spellingerror">
    <w:name w:val="spellingerror"/>
    <w:basedOn w:val="DefaultParagraphFont"/>
    <w:rsid w:val="005F68CD"/>
  </w:style>
  <w:style w:type="paragraph" w:styleId="Revision">
    <w:name w:val="Revision"/>
    <w:hidden/>
    <w:semiHidden/>
    <w:rsid w:val="001E2CB9"/>
    <w:rPr>
      <w:sz w:val="22"/>
      <w:szCs w:val="22"/>
      <w:lang w:val="en-US" w:eastAsia="en-US"/>
    </w:rPr>
  </w:style>
  <w:style w:type="character" w:styleId="UnresolvedMention">
    <w:name w:val="Unresolved Mention"/>
    <w:basedOn w:val="DefaultParagraphFont"/>
    <w:uiPriority w:val="99"/>
    <w:semiHidden/>
    <w:unhideWhenUsed/>
    <w:rsid w:val="006C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9386">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819238">
      <w:bodyDiv w:val="1"/>
      <w:marLeft w:val="0"/>
      <w:marRight w:val="0"/>
      <w:marTop w:val="0"/>
      <w:marBottom w:val="0"/>
      <w:divBdr>
        <w:top w:val="none" w:sz="0" w:space="0" w:color="auto"/>
        <w:left w:val="none" w:sz="0" w:space="0" w:color="auto"/>
        <w:bottom w:val="none" w:sz="0" w:space="0" w:color="auto"/>
        <w:right w:val="none" w:sz="0" w:space="0" w:color="auto"/>
      </w:divBdr>
    </w:div>
    <w:div w:id="543833298">
      <w:bodyDiv w:val="1"/>
      <w:marLeft w:val="0"/>
      <w:marRight w:val="0"/>
      <w:marTop w:val="0"/>
      <w:marBottom w:val="0"/>
      <w:divBdr>
        <w:top w:val="none" w:sz="0" w:space="0" w:color="auto"/>
        <w:left w:val="none" w:sz="0" w:space="0" w:color="auto"/>
        <w:bottom w:val="none" w:sz="0" w:space="0" w:color="auto"/>
        <w:right w:val="none" w:sz="0" w:space="0" w:color="auto"/>
      </w:divBdr>
    </w:div>
    <w:div w:id="590160892">
      <w:bodyDiv w:val="1"/>
      <w:marLeft w:val="0"/>
      <w:marRight w:val="0"/>
      <w:marTop w:val="0"/>
      <w:marBottom w:val="0"/>
      <w:divBdr>
        <w:top w:val="none" w:sz="0" w:space="0" w:color="auto"/>
        <w:left w:val="none" w:sz="0" w:space="0" w:color="auto"/>
        <w:bottom w:val="none" w:sz="0" w:space="0" w:color="auto"/>
        <w:right w:val="none" w:sz="0" w:space="0" w:color="auto"/>
      </w:divBdr>
    </w:div>
    <w:div w:id="838694349">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5952">
      <w:bodyDiv w:val="1"/>
      <w:marLeft w:val="0"/>
      <w:marRight w:val="0"/>
      <w:marTop w:val="0"/>
      <w:marBottom w:val="0"/>
      <w:divBdr>
        <w:top w:val="none" w:sz="0" w:space="0" w:color="auto"/>
        <w:left w:val="none" w:sz="0" w:space="0" w:color="auto"/>
        <w:bottom w:val="none" w:sz="0" w:space="0" w:color="auto"/>
        <w:right w:val="none" w:sz="0" w:space="0" w:color="auto"/>
      </w:divBdr>
    </w:div>
    <w:div w:id="1050039171">
      <w:bodyDiv w:val="1"/>
      <w:marLeft w:val="0"/>
      <w:marRight w:val="0"/>
      <w:marTop w:val="0"/>
      <w:marBottom w:val="0"/>
      <w:divBdr>
        <w:top w:val="none" w:sz="0" w:space="0" w:color="auto"/>
        <w:left w:val="none" w:sz="0" w:space="0" w:color="auto"/>
        <w:bottom w:val="none" w:sz="0" w:space="0" w:color="auto"/>
        <w:right w:val="none" w:sz="0" w:space="0" w:color="auto"/>
      </w:divBdr>
    </w:div>
    <w:div w:id="1059398316">
      <w:bodyDiv w:val="1"/>
      <w:marLeft w:val="0"/>
      <w:marRight w:val="0"/>
      <w:marTop w:val="0"/>
      <w:marBottom w:val="0"/>
      <w:divBdr>
        <w:top w:val="none" w:sz="0" w:space="0" w:color="auto"/>
        <w:left w:val="none" w:sz="0" w:space="0" w:color="auto"/>
        <w:bottom w:val="none" w:sz="0" w:space="0" w:color="auto"/>
        <w:right w:val="none" w:sz="0" w:space="0" w:color="auto"/>
      </w:divBdr>
    </w:div>
    <w:div w:id="1179346449">
      <w:bodyDiv w:val="1"/>
      <w:marLeft w:val="0"/>
      <w:marRight w:val="0"/>
      <w:marTop w:val="0"/>
      <w:marBottom w:val="0"/>
      <w:divBdr>
        <w:top w:val="none" w:sz="0" w:space="0" w:color="auto"/>
        <w:left w:val="none" w:sz="0" w:space="0" w:color="auto"/>
        <w:bottom w:val="none" w:sz="0" w:space="0" w:color="auto"/>
        <w:right w:val="none" w:sz="0" w:space="0" w:color="auto"/>
      </w:divBdr>
    </w:div>
    <w:div w:id="1196503710">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372456482">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28120554">
      <w:bodyDiv w:val="1"/>
      <w:marLeft w:val="0"/>
      <w:marRight w:val="0"/>
      <w:marTop w:val="0"/>
      <w:marBottom w:val="0"/>
      <w:divBdr>
        <w:top w:val="none" w:sz="0" w:space="0" w:color="auto"/>
        <w:left w:val="none" w:sz="0" w:space="0" w:color="auto"/>
        <w:bottom w:val="none" w:sz="0" w:space="0" w:color="auto"/>
        <w:right w:val="none" w:sz="0" w:space="0" w:color="auto"/>
      </w:divBdr>
      <w:divsChild>
        <w:div w:id="614334520">
          <w:marLeft w:val="0"/>
          <w:marRight w:val="0"/>
          <w:marTop w:val="0"/>
          <w:marBottom w:val="0"/>
          <w:divBdr>
            <w:top w:val="none" w:sz="0" w:space="0" w:color="auto"/>
            <w:left w:val="none" w:sz="0" w:space="0" w:color="auto"/>
            <w:bottom w:val="none" w:sz="0" w:space="0" w:color="auto"/>
            <w:right w:val="none" w:sz="0" w:space="0" w:color="auto"/>
          </w:divBdr>
        </w:div>
        <w:div w:id="1264266598">
          <w:marLeft w:val="0"/>
          <w:marRight w:val="0"/>
          <w:marTop w:val="0"/>
          <w:marBottom w:val="0"/>
          <w:divBdr>
            <w:top w:val="none" w:sz="0" w:space="0" w:color="auto"/>
            <w:left w:val="none" w:sz="0" w:space="0" w:color="auto"/>
            <w:bottom w:val="none" w:sz="0" w:space="0" w:color="auto"/>
            <w:right w:val="none" w:sz="0" w:space="0" w:color="auto"/>
          </w:divBdr>
        </w:div>
      </w:divsChild>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776905984">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ugogentilini.net/wp-content/uploads/2020/03/global-review-of-social-protection-responses-to-COVID-19-2.pdf" TargetMode="External"/><Relationship Id="rId3" Type="http://schemas.openxmlformats.org/officeDocument/2006/relationships/customXml" Target="../customXml/item3.xml"/><Relationship Id="rId21" Type="http://schemas.openxmlformats.org/officeDocument/2006/relationships/hyperlink" Target="https://www.who.int/docs/default-source/coronaviruse/situation-reports/20200305-sitrep-45-covid-19.pdf?sfvrsn=ed2ba78b_2"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opml.co.uk/files/Publications/a1537-shock-responsive-social-protection-latin-america-caribbean/hallazgos-principals-y-recomendaciones.pdf?noredirect=1" TargetMode="External"/><Relationship Id="rId2" Type="http://schemas.openxmlformats.org/officeDocument/2006/relationships/customXml" Target="../customXml/item2.xml"/><Relationship Id="rId16" Type="http://schemas.openxmlformats.org/officeDocument/2006/relationships/hyperlink" Target="https://doi.org/10.1186/s12889-018-5446-1" TargetMode="External"/><Relationship Id="rId20" Type="http://schemas.openxmlformats.org/officeDocument/2006/relationships/hyperlink" Target="https://www.opml.co.uk/files/Publications/a0408-shock-responsive-social-protection-systems/srsp-toolkit.pdf?noredirect=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documents.worldbank.org/curated/en/456681468045552129/pdf/Understanding-the-poverty-impact-of-the-global-financial-crisis-in-Latin-America-and-the-Caribbean.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positorio.economiayfinanzas.gob.bo/documentos/Documentos_de_Interes/2020/RBM_MDPyEP_1_20_CANASTA_FAMILIAR.pdf" TargetMode="External"/><Relationship Id="rId13" Type="http://schemas.openxmlformats.org/officeDocument/2006/relationships/hyperlink" Target="https://www.opml.co.uk/files/Publications/a0408-shock-responsive-social-protection-systems/srsp-toolkit.pdf?noredirect=1" TargetMode="External"/><Relationship Id="rId3" Type="http://schemas.openxmlformats.org/officeDocument/2006/relationships/hyperlink" Target="http://idbdocs.iadb.org/wsdocs/getDocument.aspx?DOCNUM=EZSHARE-1489285279-3" TargetMode="External"/><Relationship Id="rId7" Type="http://schemas.openxmlformats.org/officeDocument/2006/relationships/hyperlink" Target="http://www.gestora.bo/archivos/ver?id=197" TargetMode="External"/><Relationship Id="rId12" Type="http://schemas.openxmlformats.org/officeDocument/2006/relationships/hyperlink" Target="https://doi.org/10.1186/s12889-018-5446-1" TargetMode="External"/><Relationship Id="rId2" Type="http://schemas.openxmlformats.org/officeDocument/2006/relationships/hyperlink" Target="https://www.who.int/es/emergencies/diseases/novel-coronavirus-2019/advice-for-public/q-a-coronaviruses" TargetMode="External"/><Relationship Id="rId1" Type="http://schemas.openxmlformats.org/officeDocument/2006/relationships/hyperlink" Target="https://www.who.int/emergencies/diseases/novel-coronavirus-2019" TargetMode="External"/><Relationship Id="rId6" Type="http://schemas.openxmlformats.org/officeDocument/2006/relationships/hyperlink" Target="http://www.gestora.bo/archivos/ver?id=193" TargetMode="External"/><Relationship Id="rId11" Type="http://schemas.openxmlformats.org/officeDocument/2006/relationships/hyperlink" Target="https://idbg.sharepoint.com/teams/EZ-BO-LON/BO-L1216/15%20LifeCycle%20Milestones/DLP%20EEO7%20Ingresos%20Consumo%20de%20Electricidad%20y%20Poblaci%C3%B3n%20Vulnerable%20en%20Bolivia.docx?d=wea6993967d9b40da93ee79a6809f13dd" TargetMode="External"/><Relationship Id="rId5" Type="http://schemas.openxmlformats.org/officeDocument/2006/relationships/hyperlink" Target="https://boliviaemprende.com/wp-content/uploads/2020/04/Decreto-Supremo-4206-Gaceta-Oficial-de-Bolivia-en-PDF.pdf" TargetMode="External"/><Relationship Id="rId15" Type="http://schemas.openxmlformats.org/officeDocument/2006/relationships/hyperlink" Target="http://www.ugogentilini.net/wp-content/uploads/2020/03/global-review-of-social-protection-responses-to-COVID-19-2.pdf" TargetMode="External"/><Relationship Id="rId10" Type="http://schemas.openxmlformats.org/officeDocument/2006/relationships/hyperlink" Target="https://idbg.sharepoint.com/teams/EZ-BO-LON/BO-L1216/15%20LifeCycle%20Milestones/DLP%20EEO6%20Antecedentes%20sobre%20Renta%20Dignidad-BO.docx?d=w199027ab4b984a3fbe84ddd3a34cec03" TargetMode="External"/><Relationship Id="rId4" Type="http://schemas.openxmlformats.org/officeDocument/2006/relationships/hyperlink" Target="http://idbdocs.iadb.org/wsdocs/getDocument.aspx?DOCNUM=EZSHARE-1489285279-4" TargetMode="External"/><Relationship Id="rId9" Type="http://schemas.openxmlformats.org/officeDocument/2006/relationships/hyperlink" Target="https://sawi.ae.gob.bo/docfly/app/webroot/uploads/IMG-ML_NG-admin-2010-09-23-DECRETOSUPREMO0071.pdf" TargetMode="External"/><Relationship Id="rId14" Type="http://schemas.openxmlformats.org/officeDocument/2006/relationships/hyperlink" Target="https://www.opml.co.uk/files/Publications/a1537-shock-responsive-social-protection-latin-america-caribbean/hallazgos-principals-y-recomendaciones.pdf?noredirec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0227233A05173E488838498826B1FA7F" ma:contentTypeVersion="0" ma:contentTypeDescription="A content type to manage public (operations) IDB documents" ma:contentTypeScope="" ma:versionID="574bf9310ce3518fba0e6ece492a40bf">
  <xsd:schema xmlns:xsd="http://www.w3.org/2001/XMLSchema" xmlns:xs="http://www.w3.org/2001/XMLSchema" xmlns:p="http://schemas.microsoft.com/office/2006/metadata/properties" xmlns:ns2="cdc7663a-08f0-4737-9e8c-148ce897a09c" targetNamespace="http://schemas.microsoft.com/office/2006/metadata/properties" ma:root="true" ma:fieldsID="88175d51e1797af223cc37070fea672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BO</TermName>
          <TermId xmlns="http://schemas.microsoft.com/office/infopath/2007/PartnerControls">6445a937-aea4-4907-9f24-bff96a7c61c8</TermId>
        </TermInfo>
      </Terms>
    </ic46d7e087fd4a108fb86518ca413cc6>
    <IDBDocs_x0020_Number xmlns="cdc7663a-08f0-4737-9e8c-148ce897a09c" xsi:nil="true"/>
    <Division_x0020_or_x0020_Unit xmlns="cdc7663a-08f0-4737-9e8c-148ce897a09c">SCL/SPH</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Silveira Sheyla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IS-POV</TermName>
          <TermId xmlns="http://schemas.microsoft.com/office/infopath/2007/PartnerControls">c99b9e13-7d25-4ef5-800d-099d9545c397</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55</Value>
      <Value>26</Value>
      <Value>1</Value>
      <Value>56</Value>
    </TaxCatchAll>
    <Operation_x0020_Type xmlns="cdc7663a-08f0-4737-9e8c-148ce897a09c">LON</Operation_x0020_Type>
    <Package_x0020_Code xmlns="cdc7663a-08f0-4737-9e8c-148ce897a09c" xsi:nil="true"/>
    <Identifier xmlns="cdc7663a-08f0-4737-9e8c-148ce897a09c" xsi:nil="true"/>
    <Project_x0020_Number xmlns="cdc7663a-08f0-4737-9e8c-148ce897a09c">BO-L1216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IS</TermName>
          <TermId xmlns="http://schemas.microsoft.com/office/infopath/2007/PartnerControls">3f908695-d5b5-49f6-941f-76876b39564f</TermId>
        </TermInfo>
      </Terms>
    </nddeef1749674d76abdbe4b239a70bc6>
    <Record_x0020_Number xmlns="cdc7663a-08f0-4737-9e8c-148ce897a09c" xsi:nil="true"/>
    <_dlc_DocId xmlns="cdc7663a-08f0-4737-9e8c-148ce897a09c">EZSHARE-1489285279-1</_dlc_DocId>
    <_dlc_DocIdUrl xmlns="cdc7663a-08f0-4737-9e8c-148ce897a09c">
      <Url>https://idbg.sharepoint.com/teams/EZ-BO-LON/BO-L1216/_layouts/15/DocIdRedir.aspx?ID=EZSHARE-1489285279-1</Url>
      <Description>EZSHARE-1489285279-1</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14A9-54E8-4C6F-840E-FDC9487D9D9E}">
  <ds:schemaRefs>
    <ds:schemaRef ds:uri="http://schemas.microsoft.com/sharepoint/events"/>
  </ds:schemaRefs>
</ds:datastoreItem>
</file>

<file path=customXml/itemProps2.xml><?xml version="1.0" encoding="utf-8"?>
<ds:datastoreItem xmlns:ds="http://schemas.openxmlformats.org/officeDocument/2006/customXml" ds:itemID="{6ACD48B8-5AB4-4235-AC45-ABE53C68531B}"/>
</file>

<file path=customXml/itemProps3.xml><?xml version="1.0" encoding="utf-8"?>
<ds:datastoreItem xmlns:ds="http://schemas.openxmlformats.org/officeDocument/2006/customXml" ds:itemID="{566CEF77-BBD0-4C8C-B923-AA2F9C947176}">
  <ds:schemaRefs>
    <ds:schemaRef ds:uri="http://schemas.microsoft.com/office/2006/documentManagement/types"/>
    <ds:schemaRef ds:uri="http://purl.org/dc/elements/1.1/"/>
    <ds:schemaRef ds:uri="http://schemas.microsoft.com/office/2006/metadata/properties"/>
    <ds:schemaRef ds:uri="cdc7663a-08f0-4737-9e8c-148ce897a09c"/>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F8A7B5F-2033-4DF9-9003-B3B6A6DC43D2}"/>
</file>

<file path=customXml/itemProps5.xml><?xml version="1.0" encoding="utf-8"?>
<ds:datastoreItem xmlns:ds="http://schemas.openxmlformats.org/officeDocument/2006/customXml" ds:itemID="{A711A389-A9F7-4BC5-9BF4-5316A9B3896C}"/>
</file>

<file path=customXml/itemProps6.xml><?xml version="1.0" encoding="utf-8"?>
<ds:datastoreItem xmlns:ds="http://schemas.openxmlformats.org/officeDocument/2006/customXml" ds:itemID="{EC894DC3-A6CF-4674-9D05-2A95D726A49A}">
  <ds:schemaRefs>
    <ds:schemaRef ds:uri="http://schemas.microsoft.com/sharepoint/v3/contenttype/forms"/>
  </ds:schemaRefs>
</ds:datastoreItem>
</file>

<file path=customXml/itemProps7.xml><?xml version="1.0" encoding="utf-8"?>
<ds:datastoreItem xmlns:ds="http://schemas.openxmlformats.org/officeDocument/2006/customXml" ds:itemID="{2D4F8833-69D3-4936-920D-F685F60A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7805</Words>
  <Characters>42384</Characters>
  <Application>Microsoft Office Word</Application>
  <DocSecurity>0</DocSecurity>
  <Lines>864</Lines>
  <Paragraphs>291</Paragraphs>
  <ScaleCrop>false</ScaleCrop>
  <Company>Inter-American Development Bank</Company>
  <LinksUpToDate>false</LinksUpToDate>
  <CharactersWithSpaces>49898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shakirahc</dc:creator>
  <cp:keywords/>
  <dc:description/>
  <cp:lastModifiedBy>Silveira, Sheyla</cp:lastModifiedBy>
  <cp:revision>48</cp:revision>
  <cp:lastPrinted>2010-02-22T21:09:00Z</cp:lastPrinted>
  <dcterms:created xsi:type="dcterms:W3CDTF">2020-04-22T20:11:00Z</dcterms:created>
  <dcterms:modified xsi:type="dcterms:W3CDTF">2020-05-06T18:43:00Z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56;#IS-POV|c99b9e13-7d25-4ef5-800d-099d9545c397</vt:lpwstr>
  </property>
  <property fmtid="{D5CDD505-2E9C-101B-9397-08002B2CF9AE}" pid="7" name="Fund IDB">
    <vt:lpwstr/>
  </property>
  <property fmtid="{D5CDD505-2E9C-101B-9397-08002B2CF9AE}" pid="8" name="Country">
    <vt:lpwstr>26;#BO|6445a937-aea4-4907-9f24-bff96a7c61c8</vt:lpwstr>
  </property>
  <property fmtid="{D5CDD505-2E9C-101B-9397-08002B2CF9AE}" pid="9" name="Sector IDB">
    <vt:lpwstr>55;#IS|3f908695-d5b5-49f6-941f-76876b39564f</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86daf73b-eac7-4967-9d8b-3d67c7941cd0</vt:lpwstr>
  </property>
  <property fmtid="{D5CDD505-2E9C-101B-9397-08002B2CF9AE}" pid="12" name="Disclosure Activity">
    <vt:lpwstr>Loan Proposal</vt:lpwstr>
  </property>
  <property fmtid="{D5CDD505-2E9C-101B-9397-08002B2CF9AE}" pid="13" name="ContentTypeId">
    <vt:lpwstr>0x0101001A458A224826124E8B45B1D613300CFC000227233A05173E488838498826B1FA7F</vt:lpwstr>
  </property>
</Properties>
</file>