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E922" w14:textId="77777777" w:rsidR="00495320" w:rsidRPr="00DB08FA" w:rsidRDefault="797FBB80" w:rsidP="797FBB80">
      <w:pPr>
        <w:pStyle w:val="Chapter"/>
        <w:tabs>
          <w:tab w:val="clear" w:pos="648"/>
        </w:tabs>
        <w:spacing w:before="60" w:after="60"/>
        <w:ind w:firstLine="0"/>
        <w:rPr>
          <w:rFonts w:ascii="Arial" w:eastAsia="Arial" w:hAnsi="Arial" w:cs="Arial"/>
        </w:rPr>
      </w:pPr>
      <w:r w:rsidRPr="797FBB80">
        <w:rPr>
          <w:rFonts w:ascii="Arial" w:eastAsia="Arial" w:hAnsi="Arial" w:cs="Arial"/>
        </w:rPr>
        <w:t>Matriz de Medios de Verificación</w:t>
      </w:r>
    </w:p>
    <w:p w14:paraId="5650A042" w14:textId="77777777" w:rsidR="00495320" w:rsidRPr="00DB08FA" w:rsidRDefault="00495320" w:rsidP="00495320">
      <w:pPr>
        <w:rPr>
          <w:rFonts w:ascii="Arial" w:hAnsi="Arial" w:cs="Arial"/>
          <w:lang w:val="es-ES_tradnl"/>
        </w:rPr>
      </w:pP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4244"/>
        <w:gridCol w:w="3184"/>
        <w:gridCol w:w="2108"/>
      </w:tblGrid>
      <w:tr w:rsidR="007B5D9D" w:rsidRPr="008B0883" w14:paraId="4EAF58E3" w14:textId="77777777" w:rsidTr="797FBB80">
        <w:trPr>
          <w:trHeight w:val="130"/>
          <w:tblHeader/>
          <w:jc w:val="center"/>
        </w:trPr>
        <w:tc>
          <w:tcPr>
            <w:tcW w:w="3223" w:type="dxa"/>
            <w:shd w:val="clear" w:color="auto" w:fill="BFBFBF" w:themeFill="background1" w:themeFillShade="BF"/>
            <w:vAlign w:val="center"/>
            <w:hideMark/>
          </w:tcPr>
          <w:p w14:paraId="6E20D4D2" w14:textId="77777777" w:rsidR="00994C03" w:rsidRPr="008B0883" w:rsidRDefault="00994C03" w:rsidP="797FBB80">
            <w:pPr>
              <w:spacing w:before="120" w:after="120" w:line="240" w:lineRule="auto"/>
              <w:jc w:val="center"/>
              <w:rPr>
                <w:rFonts w:ascii="Arial" w:eastAsia="Arial" w:hAnsi="Arial" w:cs="Arial"/>
                <w:b/>
                <w:bCs/>
                <w:sz w:val="20"/>
                <w:szCs w:val="20"/>
                <w:lang w:val="es-ES"/>
              </w:rPr>
            </w:pPr>
            <w:r w:rsidRPr="008B0883">
              <w:rPr>
                <w:rFonts w:ascii="Arial" w:eastAsia="Arial" w:hAnsi="Arial" w:cs="Arial"/>
                <w:b/>
                <w:bCs/>
                <w:smallCaps/>
                <w:sz w:val="20"/>
                <w:szCs w:val="20"/>
                <w:lang w:val="es-ES"/>
              </w:rPr>
              <w:t>Objetivos de Política</w:t>
            </w:r>
          </w:p>
        </w:tc>
        <w:tc>
          <w:tcPr>
            <w:tcW w:w="4320" w:type="dxa"/>
            <w:shd w:val="clear" w:color="auto" w:fill="BFBFBF" w:themeFill="background1" w:themeFillShade="BF"/>
            <w:vAlign w:val="center"/>
            <w:hideMark/>
          </w:tcPr>
          <w:p w14:paraId="7C917C1D" w14:textId="77777777" w:rsidR="00C23A72" w:rsidRPr="008B0883" w:rsidRDefault="00C23A72" w:rsidP="797FBB80">
            <w:pPr>
              <w:spacing w:after="0" w:line="240" w:lineRule="auto"/>
              <w:jc w:val="center"/>
              <w:rPr>
                <w:rFonts w:ascii="Arial" w:eastAsia="Arial" w:hAnsi="Arial" w:cs="Arial"/>
                <w:b/>
                <w:bCs/>
                <w:sz w:val="20"/>
                <w:szCs w:val="20"/>
                <w:lang w:val="pt-BR"/>
              </w:rPr>
            </w:pPr>
            <w:r w:rsidRPr="008B0883">
              <w:rPr>
                <w:rFonts w:ascii="Arial" w:eastAsia="Arial" w:hAnsi="Arial" w:cs="Arial"/>
                <w:b/>
                <w:bCs/>
                <w:smallCaps/>
                <w:sz w:val="20"/>
                <w:szCs w:val="20"/>
                <w:lang w:val="pt-BR"/>
              </w:rPr>
              <w:t>Medidas de Política Acordada</w:t>
            </w:r>
          </w:p>
          <w:p w14:paraId="7453603D" w14:textId="77777777" w:rsidR="00994C03" w:rsidRPr="008B0883" w:rsidRDefault="00994C03" w:rsidP="797FBB80">
            <w:pPr>
              <w:spacing w:after="0" w:line="240" w:lineRule="auto"/>
              <w:jc w:val="center"/>
              <w:rPr>
                <w:rFonts w:ascii="Arial" w:eastAsia="Arial" w:hAnsi="Arial" w:cs="Arial"/>
                <w:b/>
                <w:bCs/>
                <w:sz w:val="20"/>
                <w:szCs w:val="20"/>
                <w:lang w:val="pt-BR"/>
              </w:rPr>
            </w:pPr>
            <w:r w:rsidRPr="008B0883">
              <w:rPr>
                <w:rFonts w:ascii="Arial" w:eastAsia="Arial" w:hAnsi="Arial" w:cs="Arial"/>
                <w:b/>
                <w:bCs/>
                <w:smallCaps/>
                <w:sz w:val="20"/>
                <w:szCs w:val="20"/>
                <w:lang w:val="pt-BR"/>
              </w:rPr>
              <w:t>Programa I</w:t>
            </w:r>
            <w:r w:rsidR="001F00BE" w:rsidRPr="008B0883">
              <w:rPr>
                <w:rFonts w:ascii="Arial" w:eastAsia="Arial" w:hAnsi="Arial" w:cs="Arial"/>
                <w:b/>
                <w:bCs/>
                <w:smallCaps/>
                <w:sz w:val="20"/>
                <w:szCs w:val="20"/>
                <w:lang w:val="pt-BR"/>
              </w:rPr>
              <w:t>I</w:t>
            </w:r>
          </w:p>
        </w:tc>
        <w:tc>
          <w:tcPr>
            <w:tcW w:w="3240" w:type="dxa"/>
            <w:shd w:val="clear" w:color="auto" w:fill="BFBFBF" w:themeFill="background1" w:themeFillShade="BF"/>
            <w:vAlign w:val="center"/>
            <w:hideMark/>
          </w:tcPr>
          <w:p w14:paraId="3DA0002B" w14:textId="77777777" w:rsidR="00994C03" w:rsidRPr="008B0883" w:rsidRDefault="00994C03" w:rsidP="797FBB80">
            <w:pPr>
              <w:spacing w:before="120" w:after="120" w:line="240" w:lineRule="auto"/>
              <w:jc w:val="center"/>
              <w:rPr>
                <w:rFonts w:ascii="Arial" w:eastAsia="Arial" w:hAnsi="Arial" w:cs="Arial"/>
                <w:b/>
                <w:bCs/>
                <w:sz w:val="20"/>
                <w:szCs w:val="20"/>
                <w:lang w:val="es-ES"/>
              </w:rPr>
            </w:pPr>
            <w:r w:rsidRPr="008B0883">
              <w:rPr>
                <w:rFonts w:ascii="Arial" w:eastAsia="Arial" w:hAnsi="Arial" w:cs="Arial"/>
                <w:b/>
                <w:bCs/>
                <w:smallCaps/>
                <w:sz w:val="20"/>
                <w:szCs w:val="20"/>
                <w:lang w:val="es-ES"/>
              </w:rPr>
              <w:t>Medios De Verificación</w:t>
            </w:r>
          </w:p>
        </w:tc>
        <w:tc>
          <w:tcPr>
            <w:tcW w:w="2143" w:type="dxa"/>
            <w:shd w:val="clear" w:color="auto" w:fill="BFBFBF" w:themeFill="background1" w:themeFillShade="BF"/>
          </w:tcPr>
          <w:p w14:paraId="3E333CC6" w14:textId="77777777" w:rsidR="00994C03" w:rsidRPr="008B0883" w:rsidRDefault="00994C03" w:rsidP="797FBB80">
            <w:pPr>
              <w:spacing w:before="120" w:after="120" w:line="240" w:lineRule="auto"/>
              <w:jc w:val="center"/>
              <w:rPr>
                <w:rFonts w:ascii="Arial" w:eastAsia="Arial" w:hAnsi="Arial" w:cs="Arial"/>
                <w:b/>
                <w:bCs/>
                <w:sz w:val="20"/>
                <w:szCs w:val="20"/>
                <w:lang w:val="es-ES"/>
              </w:rPr>
            </w:pPr>
            <w:r w:rsidRPr="008B0883">
              <w:rPr>
                <w:rFonts w:ascii="Arial" w:eastAsia="Arial" w:hAnsi="Arial" w:cs="Arial"/>
                <w:b/>
                <w:bCs/>
                <w:smallCaps/>
                <w:sz w:val="20"/>
                <w:szCs w:val="20"/>
                <w:lang w:val="es-ES"/>
              </w:rPr>
              <w:t>Unidad responsable</w:t>
            </w:r>
          </w:p>
        </w:tc>
      </w:tr>
      <w:tr w:rsidR="007B5D9D" w:rsidRPr="008B0883" w14:paraId="53F67D29" w14:textId="77777777" w:rsidTr="797FBB80">
        <w:trPr>
          <w:trHeight w:val="247"/>
          <w:jc w:val="center"/>
        </w:trPr>
        <w:tc>
          <w:tcPr>
            <w:tcW w:w="12926" w:type="dxa"/>
            <w:gridSpan w:val="4"/>
            <w:shd w:val="clear" w:color="auto" w:fill="BFBFBF" w:themeFill="background1" w:themeFillShade="BF"/>
          </w:tcPr>
          <w:p w14:paraId="37F1D7F4" w14:textId="77777777" w:rsidR="00A62278" w:rsidRPr="008B0883" w:rsidRDefault="797FBB80" w:rsidP="797FBB80">
            <w:pPr>
              <w:spacing w:before="80" w:after="80" w:line="240" w:lineRule="auto"/>
              <w:rPr>
                <w:rFonts w:ascii="Arial" w:eastAsia="Arial" w:hAnsi="Arial" w:cs="Arial"/>
                <w:b/>
                <w:bCs/>
                <w:sz w:val="20"/>
                <w:szCs w:val="20"/>
                <w:lang w:val="es-ES"/>
              </w:rPr>
            </w:pPr>
            <w:r w:rsidRPr="008B0883">
              <w:rPr>
                <w:rFonts w:ascii="Arial" w:eastAsia="Arial" w:hAnsi="Arial" w:cs="Arial"/>
                <w:b/>
                <w:bCs/>
                <w:sz w:val="20"/>
                <w:szCs w:val="20"/>
                <w:lang w:val="es-ES"/>
              </w:rPr>
              <w:t>Componente I: Estabilidad Macroeconómica.</w:t>
            </w:r>
          </w:p>
        </w:tc>
      </w:tr>
      <w:tr w:rsidR="002C49DD" w:rsidRPr="008B0883" w14:paraId="32E1B935" w14:textId="77777777" w:rsidTr="797FBB80">
        <w:trPr>
          <w:jc w:val="center"/>
        </w:trPr>
        <w:tc>
          <w:tcPr>
            <w:tcW w:w="3223" w:type="dxa"/>
            <w:shd w:val="clear" w:color="auto" w:fill="auto"/>
            <w:hideMark/>
          </w:tcPr>
          <w:p w14:paraId="322C7FB6" w14:textId="77777777" w:rsidR="002C49DD" w:rsidRPr="008B0883" w:rsidRDefault="797FBB80" w:rsidP="797FBB80">
            <w:pPr>
              <w:pStyle w:val="ListParagraph"/>
              <w:numPr>
                <w:ilvl w:val="0"/>
                <w:numId w:val="7"/>
              </w:numPr>
              <w:spacing w:after="0" w:line="240" w:lineRule="auto"/>
              <w:ind w:left="281" w:hanging="270"/>
              <w:rPr>
                <w:rFonts w:ascii="Arial" w:eastAsia="Arial" w:hAnsi="Arial" w:cs="Arial"/>
                <w:sz w:val="20"/>
                <w:szCs w:val="20"/>
                <w:lang w:val="es-ES"/>
              </w:rPr>
            </w:pPr>
            <w:r w:rsidRPr="008B0883">
              <w:rPr>
                <w:rFonts w:ascii="Arial" w:eastAsia="Arial" w:hAnsi="Arial" w:cs="Arial"/>
                <w:sz w:val="20"/>
                <w:szCs w:val="20"/>
                <w:lang w:val="es-ES"/>
              </w:rPr>
              <w:t xml:space="preserve">Mantener un entorno macroeconómico consistente con los objetivos del Programa y con los lineamientos de la carta de política sectorial. </w:t>
            </w:r>
          </w:p>
        </w:tc>
        <w:tc>
          <w:tcPr>
            <w:tcW w:w="4320" w:type="dxa"/>
            <w:shd w:val="clear" w:color="auto" w:fill="auto"/>
            <w:hideMark/>
          </w:tcPr>
          <w:p w14:paraId="702C3F95" w14:textId="77777777" w:rsidR="002C49DD" w:rsidRPr="008B0883" w:rsidRDefault="797FBB80" w:rsidP="797FBB80">
            <w:pPr>
              <w:spacing w:after="0" w:line="240" w:lineRule="auto"/>
              <w:rPr>
                <w:rFonts w:ascii="Arial" w:eastAsia="Arial" w:hAnsi="Arial" w:cs="Arial"/>
                <w:sz w:val="20"/>
                <w:szCs w:val="20"/>
                <w:lang w:val="es-ES"/>
              </w:rPr>
            </w:pPr>
            <w:r w:rsidRPr="008B0883">
              <w:rPr>
                <w:rFonts w:ascii="Arial" w:eastAsia="Arial" w:hAnsi="Arial" w:cs="Arial"/>
                <w:sz w:val="20"/>
                <w:szCs w:val="20"/>
                <w:lang w:val="es-ES"/>
              </w:rPr>
              <w:t>El entorno macroeconómico sigue siendo consistente con los objetivos del programa y con los lineamientos de la carta de política sectorial.</w:t>
            </w:r>
          </w:p>
        </w:tc>
        <w:tc>
          <w:tcPr>
            <w:tcW w:w="3240" w:type="dxa"/>
            <w:shd w:val="clear" w:color="auto" w:fill="auto"/>
            <w:hideMark/>
          </w:tcPr>
          <w:p w14:paraId="6C90287E" w14:textId="77777777" w:rsidR="002C49DD" w:rsidRPr="008B0883" w:rsidRDefault="797FBB80" w:rsidP="797FBB80">
            <w:pPr>
              <w:spacing w:after="0" w:line="240" w:lineRule="auto"/>
              <w:rPr>
                <w:rFonts w:ascii="Arial" w:eastAsia="Arial,Times New Roman" w:hAnsi="Arial" w:cs="Arial"/>
                <w:sz w:val="20"/>
                <w:szCs w:val="20"/>
                <w:lang w:val="es-ES"/>
              </w:rPr>
            </w:pPr>
            <w:r w:rsidRPr="008B0883">
              <w:rPr>
                <w:rFonts w:ascii="Arial" w:eastAsia="Arial,Times New Roman" w:hAnsi="Arial" w:cs="Arial"/>
                <w:sz w:val="20"/>
                <w:szCs w:val="20"/>
                <w:lang w:val="es-ES"/>
              </w:rPr>
              <w:t>IAMC.</w:t>
            </w:r>
          </w:p>
        </w:tc>
        <w:tc>
          <w:tcPr>
            <w:tcW w:w="2143" w:type="dxa"/>
          </w:tcPr>
          <w:p w14:paraId="716E633B" w14:textId="77777777" w:rsidR="002C49DD" w:rsidRPr="008B0883" w:rsidRDefault="002C49DD" w:rsidP="005208BB">
            <w:pPr>
              <w:spacing w:after="0" w:line="240" w:lineRule="auto"/>
              <w:rPr>
                <w:rFonts w:ascii="Arial" w:hAnsi="Arial" w:cs="Arial"/>
                <w:sz w:val="20"/>
                <w:szCs w:val="20"/>
                <w:lang w:val="es-ES_tradnl"/>
              </w:rPr>
            </w:pPr>
          </w:p>
        </w:tc>
      </w:tr>
      <w:tr w:rsidR="002C49DD" w:rsidRPr="00125C44" w14:paraId="26A3B4FF" w14:textId="77777777" w:rsidTr="797FBB80">
        <w:trPr>
          <w:cantSplit/>
          <w:jc w:val="center"/>
        </w:trPr>
        <w:tc>
          <w:tcPr>
            <w:tcW w:w="12926" w:type="dxa"/>
            <w:gridSpan w:val="4"/>
            <w:tcBorders>
              <w:bottom w:val="single" w:sz="4" w:space="0" w:color="auto"/>
            </w:tcBorders>
            <w:shd w:val="clear" w:color="auto" w:fill="BFBFBF" w:themeFill="background1" w:themeFillShade="BF"/>
          </w:tcPr>
          <w:p w14:paraId="188AF9F4" w14:textId="77777777" w:rsidR="002C49DD" w:rsidRPr="008B0883" w:rsidRDefault="797FBB80" w:rsidP="797FBB80">
            <w:pPr>
              <w:spacing w:before="80" w:after="80" w:line="240" w:lineRule="auto"/>
              <w:rPr>
                <w:rFonts w:ascii="Arial" w:eastAsia="Arial" w:hAnsi="Arial" w:cs="Arial"/>
                <w:b/>
                <w:bCs/>
                <w:sz w:val="20"/>
                <w:szCs w:val="20"/>
                <w:lang w:val="es-ES"/>
              </w:rPr>
            </w:pPr>
            <w:r w:rsidRPr="008B0883">
              <w:rPr>
                <w:rFonts w:ascii="Arial" w:eastAsia="Arial" w:hAnsi="Arial" w:cs="Arial"/>
                <w:b/>
                <w:bCs/>
                <w:sz w:val="20"/>
                <w:szCs w:val="20"/>
                <w:lang w:val="es-ES"/>
              </w:rPr>
              <w:t>Componente II: Mejora del financiamiento para el desarrollo productivo y las alianzas público-privadas.</w:t>
            </w:r>
          </w:p>
        </w:tc>
      </w:tr>
      <w:tr w:rsidR="002C49DD" w:rsidRPr="00125C44" w14:paraId="1DD8D1B5" w14:textId="77777777" w:rsidTr="797FBB80">
        <w:trPr>
          <w:jc w:val="center"/>
        </w:trPr>
        <w:tc>
          <w:tcPr>
            <w:tcW w:w="3223" w:type="dxa"/>
            <w:vMerge w:val="restart"/>
            <w:shd w:val="clear" w:color="auto" w:fill="auto"/>
          </w:tcPr>
          <w:p w14:paraId="71636CAE" w14:textId="77777777" w:rsidR="002C49DD" w:rsidRPr="008B0883" w:rsidRDefault="797FBB80" w:rsidP="797FBB80">
            <w:pPr>
              <w:pStyle w:val="ListParagraph"/>
              <w:numPr>
                <w:ilvl w:val="0"/>
                <w:numId w:val="11"/>
              </w:numPr>
              <w:spacing w:after="0" w:line="240" w:lineRule="auto"/>
              <w:ind w:left="281" w:hanging="270"/>
              <w:rPr>
                <w:rFonts w:ascii="Arial" w:eastAsia="Arial" w:hAnsi="Arial" w:cs="Arial"/>
                <w:sz w:val="20"/>
                <w:szCs w:val="20"/>
                <w:lang w:val="es-ES"/>
              </w:rPr>
            </w:pPr>
            <w:r w:rsidRPr="008B0883">
              <w:rPr>
                <w:rFonts w:ascii="Arial" w:eastAsia="Arial" w:hAnsi="Arial" w:cs="Arial"/>
                <w:sz w:val="20"/>
                <w:szCs w:val="20"/>
                <w:lang w:val="es-ES"/>
              </w:rPr>
              <w:t>Fortalecimiento a los sistemas de garantías para el desarrollo productivo.</w:t>
            </w:r>
          </w:p>
        </w:tc>
        <w:tc>
          <w:tcPr>
            <w:tcW w:w="4320" w:type="dxa"/>
            <w:tcBorders>
              <w:bottom w:val="nil"/>
              <w:right w:val="single" w:sz="4" w:space="0" w:color="auto"/>
            </w:tcBorders>
            <w:shd w:val="clear" w:color="auto" w:fill="auto"/>
          </w:tcPr>
          <w:p w14:paraId="0E4D4B72" w14:textId="77777777" w:rsidR="002C49DD" w:rsidRPr="008B0883" w:rsidRDefault="797FBB80" w:rsidP="797FBB80">
            <w:pPr>
              <w:spacing w:after="0" w:line="240" w:lineRule="auto"/>
              <w:rPr>
                <w:rFonts w:ascii="Arial" w:eastAsia="Arial" w:hAnsi="Arial" w:cs="Arial"/>
                <w:sz w:val="20"/>
                <w:szCs w:val="20"/>
                <w:lang w:val="es-ES"/>
              </w:rPr>
            </w:pPr>
            <w:r w:rsidRPr="008B0883">
              <w:rPr>
                <w:rFonts w:ascii="Arial" w:eastAsia="Arial,Times New Roman" w:hAnsi="Arial" w:cs="Arial"/>
                <w:sz w:val="20"/>
                <w:szCs w:val="20"/>
                <w:lang w:val="es-ES"/>
              </w:rPr>
              <w:t>Se han adoptado medidas para mejorar el acceso al financiamiento productivo por parte de las firmas colombianas, incluidas como mínimo las siguientes medidas:</w:t>
            </w:r>
          </w:p>
        </w:tc>
        <w:tc>
          <w:tcPr>
            <w:tcW w:w="3240" w:type="dxa"/>
            <w:tcBorders>
              <w:top w:val="single" w:sz="4" w:space="0" w:color="auto"/>
              <w:left w:val="single" w:sz="4" w:space="0" w:color="auto"/>
              <w:bottom w:val="nil"/>
              <w:right w:val="single" w:sz="4" w:space="0" w:color="auto"/>
            </w:tcBorders>
            <w:shd w:val="clear" w:color="auto" w:fill="auto"/>
          </w:tcPr>
          <w:p w14:paraId="46540E2F" w14:textId="77777777" w:rsidR="002C49DD" w:rsidRPr="008B0883" w:rsidRDefault="002C49DD" w:rsidP="00B46930">
            <w:pPr>
              <w:spacing w:after="0" w:line="240" w:lineRule="auto"/>
              <w:rPr>
                <w:rFonts w:ascii="Arial" w:hAnsi="Arial" w:cs="Arial"/>
                <w:sz w:val="20"/>
                <w:szCs w:val="20"/>
                <w:lang w:val="es-ES_tradnl"/>
              </w:rPr>
            </w:pPr>
          </w:p>
        </w:tc>
        <w:tc>
          <w:tcPr>
            <w:tcW w:w="2143" w:type="dxa"/>
            <w:tcBorders>
              <w:top w:val="single" w:sz="4" w:space="0" w:color="auto"/>
              <w:left w:val="single" w:sz="4" w:space="0" w:color="auto"/>
              <w:bottom w:val="nil"/>
              <w:right w:val="single" w:sz="4" w:space="0" w:color="auto"/>
            </w:tcBorders>
          </w:tcPr>
          <w:p w14:paraId="21B0FCA4" w14:textId="77777777" w:rsidR="002C49DD" w:rsidRPr="008B0883" w:rsidRDefault="002C49DD" w:rsidP="005208BB">
            <w:pPr>
              <w:spacing w:after="0" w:line="240" w:lineRule="auto"/>
              <w:rPr>
                <w:rFonts w:ascii="Arial" w:hAnsi="Arial" w:cs="Arial"/>
                <w:sz w:val="20"/>
                <w:szCs w:val="20"/>
                <w:lang w:val="es-ES_tradnl"/>
              </w:rPr>
            </w:pPr>
          </w:p>
        </w:tc>
      </w:tr>
      <w:tr w:rsidR="002C49DD" w:rsidRPr="00125C44" w14:paraId="2468ECA7" w14:textId="77777777" w:rsidTr="797FBB80">
        <w:trPr>
          <w:jc w:val="center"/>
        </w:trPr>
        <w:tc>
          <w:tcPr>
            <w:tcW w:w="3223" w:type="dxa"/>
            <w:vMerge/>
            <w:shd w:val="clear" w:color="auto" w:fill="auto"/>
          </w:tcPr>
          <w:p w14:paraId="21F1D416" w14:textId="77777777" w:rsidR="002C49DD" w:rsidRPr="008B0883" w:rsidRDefault="002C49DD"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556226D5" w14:textId="77777777" w:rsidR="002C49DD" w:rsidRPr="008B0883"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8B0883">
              <w:rPr>
                <w:rFonts w:ascii="Arial" w:eastAsia="Arial" w:hAnsi="Arial" w:cs="Arial"/>
                <w:sz w:val="20"/>
                <w:szCs w:val="20"/>
                <w:lang w:val="es-ES"/>
              </w:rPr>
              <w:t>El Decreto que reglamenta la ejecución de garantías mobiliarias por parte de las entidades de crédito ha sido emitido por el Gobierno Nacional (MHCP).</w:t>
            </w:r>
          </w:p>
        </w:tc>
        <w:tc>
          <w:tcPr>
            <w:tcW w:w="3240" w:type="dxa"/>
            <w:tcBorders>
              <w:top w:val="nil"/>
              <w:left w:val="single" w:sz="4" w:space="0" w:color="auto"/>
              <w:bottom w:val="nil"/>
              <w:right w:val="single" w:sz="4" w:space="0" w:color="auto"/>
            </w:tcBorders>
            <w:shd w:val="clear" w:color="auto" w:fill="auto"/>
          </w:tcPr>
          <w:p w14:paraId="3178A73A" w14:textId="77777777" w:rsidR="002C49DD" w:rsidRPr="008B0883" w:rsidRDefault="797FBB80" w:rsidP="797FBB80">
            <w:pPr>
              <w:spacing w:after="0" w:line="240" w:lineRule="auto"/>
              <w:rPr>
                <w:rFonts w:ascii="Arial" w:eastAsia="Arial,Times New Roman" w:hAnsi="Arial" w:cs="Arial"/>
                <w:sz w:val="20"/>
                <w:szCs w:val="20"/>
                <w:lang w:val="es-ES"/>
              </w:rPr>
            </w:pPr>
            <w:r w:rsidRPr="008B0883">
              <w:rPr>
                <w:rFonts w:ascii="Arial" w:eastAsia="Arial,Times New Roman" w:hAnsi="Arial" w:cs="Arial"/>
                <w:sz w:val="20"/>
                <w:szCs w:val="20"/>
                <w:lang w:val="es-ES"/>
              </w:rPr>
              <w:t>Decreto Número 466 del 17 de marzo de 2016.</w:t>
            </w:r>
          </w:p>
        </w:tc>
        <w:tc>
          <w:tcPr>
            <w:tcW w:w="2143" w:type="dxa"/>
            <w:tcBorders>
              <w:top w:val="nil"/>
              <w:left w:val="single" w:sz="4" w:space="0" w:color="auto"/>
              <w:bottom w:val="nil"/>
              <w:right w:val="single" w:sz="4" w:space="0" w:color="auto"/>
            </w:tcBorders>
          </w:tcPr>
          <w:p w14:paraId="7CB41A7B" w14:textId="77777777" w:rsidR="002C49DD" w:rsidRPr="008B0883" w:rsidRDefault="797FBB80" w:rsidP="797FBB80">
            <w:pPr>
              <w:spacing w:after="0" w:line="240" w:lineRule="auto"/>
              <w:rPr>
                <w:rFonts w:ascii="Arial" w:eastAsia="Arial,Times New Roman" w:hAnsi="Arial" w:cs="Arial"/>
                <w:sz w:val="20"/>
                <w:szCs w:val="20"/>
                <w:lang w:val="es-ES"/>
              </w:rPr>
            </w:pPr>
            <w:r w:rsidRPr="008B0883">
              <w:rPr>
                <w:rFonts w:ascii="Arial" w:eastAsia="Arial,Times New Roman" w:hAnsi="Arial" w:cs="Arial"/>
                <w:sz w:val="20"/>
                <w:szCs w:val="20"/>
                <w:lang w:val="es-ES"/>
              </w:rPr>
              <w:t>Ministerio de Hacienda y Crédito Público</w:t>
            </w:r>
          </w:p>
        </w:tc>
      </w:tr>
      <w:tr w:rsidR="002C49DD" w:rsidRPr="008B0883" w14:paraId="7B9BE377" w14:textId="77777777" w:rsidTr="797FBB80">
        <w:trPr>
          <w:jc w:val="center"/>
        </w:trPr>
        <w:tc>
          <w:tcPr>
            <w:tcW w:w="3223" w:type="dxa"/>
            <w:vMerge/>
            <w:shd w:val="clear" w:color="auto" w:fill="auto"/>
          </w:tcPr>
          <w:p w14:paraId="684B81D5" w14:textId="77777777" w:rsidR="002C49DD" w:rsidRPr="008B0883" w:rsidRDefault="002C49DD"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33C0A6F1" w14:textId="77777777" w:rsidR="002C49DD" w:rsidRPr="008B0883"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8B0883">
              <w:rPr>
                <w:rFonts w:ascii="Arial" w:eastAsia="Arial" w:hAnsi="Arial" w:cs="Arial"/>
                <w:sz w:val="20"/>
                <w:szCs w:val="20"/>
                <w:lang w:val="es-ES"/>
              </w:rPr>
              <w:t>La Circular sobre mecanismos de valoración de las garantías mobiliarias ha sido emitida por la Superintendencia Financiera.</w:t>
            </w:r>
          </w:p>
        </w:tc>
        <w:tc>
          <w:tcPr>
            <w:tcW w:w="3240" w:type="dxa"/>
            <w:tcBorders>
              <w:top w:val="nil"/>
              <w:left w:val="single" w:sz="4" w:space="0" w:color="auto"/>
              <w:bottom w:val="nil"/>
              <w:right w:val="single" w:sz="4" w:space="0" w:color="auto"/>
            </w:tcBorders>
            <w:shd w:val="clear" w:color="auto" w:fill="auto"/>
          </w:tcPr>
          <w:p w14:paraId="00D127DF" w14:textId="1B658820" w:rsidR="002C49DD" w:rsidRPr="008B0883" w:rsidRDefault="797FBB80" w:rsidP="797FBB80">
            <w:pPr>
              <w:spacing w:after="0" w:line="240" w:lineRule="auto"/>
              <w:rPr>
                <w:rFonts w:ascii="Arial" w:eastAsia="Arial,Times New Roman" w:hAnsi="Arial" w:cs="Arial"/>
                <w:sz w:val="20"/>
                <w:szCs w:val="20"/>
                <w:lang w:val="es-ES"/>
              </w:rPr>
            </w:pPr>
            <w:r w:rsidRPr="008B0883">
              <w:rPr>
                <w:rFonts w:ascii="Arial" w:eastAsia="Arial,Times New Roman" w:hAnsi="Arial" w:cs="Arial"/>
                <w:sz w:val="20"/>
                <w:szCs w:val="20"/>
                <w:lang w:val="es-ES"/>
              </w:rPr>
              <w:t>Circular Externa 032 del 24 de se</w:t>
            </w:r>
            <w:r w:rsidR="00974D89">
              <w:rPr>
                <w:rFonts w:ascii="Arial" w:eastAsia="Arial,Times New Roman" w:hAnsi="Arial" w:cs="Arial"/>
                <w:sz w:val="20"/>
                <w:szCs w:val="20"/>
                <w:lang w:val="es-ES"/>
              </w:rPr>
              <w:t>p</w:t>
            </w:r>
            <w:r w:rsidRPr="008B0883">
              <w:rPr>
                <w:rFonts w:ascii="Arial" w:eastAsia="Arial,Times New Roman" w:hAnsi="Arial" w:cs="Arial"/>
                <w:sz w:val="20"/>
                <w:szCs w:val="20"/>
                <w:lang w:val="es-ES"/>
              </w:rPr>
              <w:t>tiembre de 2015.</w:t>
            </w:r>
          </w:p>
        </w:tc>
        <w:tc>
          <w:tcPr>
            <w:tcW w:w="2143" w:type="dxa"/>
            <w:tcBorders>
              <w:top w:val="nil"/>
              <w:left w:val="single" w:sz="4" w:space="0" w:color="auto"/>
              <w:bottom w:val="nil"/>
              <w:right w:val="single" w:sz="4" w:space="0" w:color="auto"/>
            </w:tcBorders>
          </w:tcPr>
          <w:p w14:paraId="72F351F4" w14:textId="77777777" w:rsidR="002C49DD" w:rsidRPr="008B0883" w:rsidRDefault="797FBB80" w:rsidP="797FBB80">
            <w:pPr>
              <w:spacing w:after="0" w:line="240" w:lineRule="auto"/>
              <w:rPr>
                <w:rFonts w:ascii="Arial" w:eastAsia="Arial,Times New Roman" w:hAnsi="Arial" w:cs="Arial"/>
                <w:sz w:val="20"/>
                <w:szCs w:val="20"/>
                <w:lang w:val="es-ES"/>
              </w:rPr>
            </w:pPr>
            <w:r w:rsidRPr="008B0883">
              <w:rPr>
                <w:rFonts w:ascii="Arial" w:eastAsia="Arial,Times New Roman" w:hAnsi="Arial" w:cs="Arial"/>
                <w:sz w:val="20"/>
                <w:szCs w:val="20"/>
                <w:lang w:val="es-ES"/>
              </w:rPr>
              <w:t>Superintendencia Financiera de Colombia</w:t>
            </w:r>
          </w:p>
        </w:tc>
      </w:tr>
      <w:tr w:rsidR="002C49DD" w:rsidRPr="008B0883" w14:paraId="36134D4E" w14:textId="77777777" w:rsidTr="797FBB80">
        <w:trPr>
          <w:jc w:val="center"/>
        </w:trPr>
        <w:tc>
          <w:tcPr>
            <w:tcW w:w="3223" w:type="dxa"/>
            <w:vMerge/>
            <w:shd w:val="clear" w:color="auto" w:fill="auto"/>
          </w:tcPr>
          <w:p w14:paraId="26725247" w14:textId="77777777" w:rsidR="002C49DD" w:rsidRPr="008B0883" w:rsidRDefault="002C49DD"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0ACB45FD" w14:textId="77777777" w:rsidR="002C49DD" w:rsidRPr="008B0883"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8B0883">
              <w:rPr>
                <w:rFonts w:ascii="Arial" w:eastAsia="Arial" w:hAnsi="Arial" w:cs="Arial"/>
                <w:sz w:val="20"/>
                <w:szCs w:val="20"/>
                <w:lang w:val="es-ES"/>
              </w:rPr>
              <w:t xml:space="preserve">El Decreto que reglamenta la puesta en funcionamiento del Registro </w:t>
            </w:r>
            <w:r w:rsidRPr="008B0883">
              <w:rPr>
                <w:rFonts w:ascii="Arial" w:eastAsia="Arial,Times New Roman" w:hAnsi="Arial" w:cs="Arial"/>
                <w:sz w:val="20"/>
                <w:szCs w:val="20"/>
                <w:lang w:val="es-ES"/>
              </w:rPr>
              <w:t>Ú</w:t>
            </w:r>
            <w:r w:rsidRPr="008B0883">
              <w:rPr>
                <w:rFonts w:ascii="Arial" w:eastAsia="Arial" w:hAnsi="Arial" w:cs="Arial"/>
                <w:sz w:val="20"/>
                <w:szCs w:val="20"/>
                <w:lang w:val="es-ES"/>
              </w:rPr>
              <w:t>nico de Factura Electrónica ha sido emitido por el Gobierno Nacional (Ministerio de Comercio, Industria y Turismo).</w:t>
            </w:r>
          </w:p>
        </w:tc>
        <w:tc>
          <w:tcPr>
            <w:tcW w:w="3240" w:type="dxa"/>
            <w:tcBorders>
              <w:top w:val="nil"/>
              <w:left w:val="single" w:sz="4" w:space="0" w:color="auto"/>
              <w:bottom w:val="nil"/>
              <w:right w:val="single" w:sz="4" w:space="0" w:color="auto"/>
            </w:tcBorders>
            <w:shd w:val="clear" w:color="auto" w:fill="auto"/>
          </w:tcPr>
          <w:p w14:paraId="3348A65F" w14:textId="77777777" w:rsidR="002C49DD" w:rsidRPr="008B0883" w:rsidRDefault="797FBB80" w:rsidP="797FBB80">
            <w:pPr>
              <w:spacing w:after="0" w:line="240" w:lineRule="auto"/>
              <w:rPr>
                <w:rFonts w:ascii="Arial" w:eastAsia="Arial,Times New Roman" w:hAnsi="Arial" w:cs="Arial"/>
                <w:sz w:val="20"/>
                <w:szCs w:val="20"/>
                <w:lang w:val="es-ES"/>
              </w:rPr>
            </w:pPr>
            <w:r w:rsidRPr="008B0883">
              <w:rPr>
                <w:rFonts w:ascii="Arial" w:eastAsia="Arial,Times New Roman" w:hAnsi="Arial" w:cs="Arial"/>
                <w:sz w:val="20"/>
                <w:szCs w:val="20"/>
                <w:lang w:val="es-ES"/>
              </w:rPr>
              <w:t>Decreto Número 1349 del 22 de agosto de 2016.</w:t>
            </w:r>
          </w:p>
        </w:tc>
        <w:tc>
          <w:tcPr>
            <w:tcW w:w="2143" w:type="dxa"/>
            <w:tcBorders>
              <w:top w:val="nil"/>
              <w:left w:val="single" w:sz="4" w:space="0" w:color="auto"/>
              <w:bottom w:val="nil"/>
              <w:right w:val="single" w:sz="4" w:space="0" w:color="auto"/>
            </w:tcBorders>
          </w:tcPr>
          <w:p w14:paraId="05234B7A" w14:textId="77777777" w:rsidR="002C49DD" w:rsidRPr="008B0883" w:rsidRDefault="797FBB80" w:rsidP="797FBB80">
            <w:pPr>
              <w:spacing w:after="0" w:line="240" w:lineRule="auto"/>
              <w:rPr>
                <w:rFonts w:ascii="Arial" w:eastAsia="Arial,Times New Roman" w:hAnsi="Arial" w:cs="Arial"/>
                <w:sz w:val="20"/>
                <w:szCs w:val="20"/>
                <w:lang w:val="es-ES"/>
              </w:rPr>
            </w:pPr>
            <w:r w:rsidRPr="008B0883">
              <w:rPr>
                <w:rFonts w:ascii="Arial" w:eastAsia="Arial,Times New Roman" w:hAnsi="Arial" w:cs="Arial"/>
                <w:sz w:val="20"/>
                <w:szCs w:val="20"/>
                <w:lang w:val="es-ES"/>
              </w:rPr>
              <w:t>Ministerio de Comercio, Industria y Turismo</w:t>
            </w:r>
          </w:p>
        </w:tc>
      </w:tr>
      <w:tr w:rsidR="002C49DD" w:rsidRPr="00125C44" w14:paraId="29A9C1C2" w14:textId="77777777" w:rsidTr="797FBB80">
        <w:trPr>
          <w:jc w:val="center"/>
        </w:trPr>
        <w:tc>
          <w:tcPr>
            <w:tcW w:w="3223" w:type="dxa"/>
            <w:vMerge/>
            <w:tcBorders>
              <w:bottom w:val="single" w:sz="4" w:space="0" w:color="auto"/>
            </w:tcBorders>
            <w:shd w:val="clear" w:color="auto" w:fill="auto"/>
          </w:tcPr>
          <w:p w14:paraId="1D8975D7" w14:textId="77777777" w:rsidR="002C49DD" w:rsidRPr="008B0883" w:rsidRDefault="002C49DD" w:rsidP="005208BB">
            <w:pPr>
              <w:spacing w:after="0" w:line="240" w:lineRule="auto"/>
              <w:rPr>
                <w:rFonts w:ascii="Arial" w:hAnsi="Arial" w:cs="Arial"/>
                <w:b/>
                <w:sz w:val="20"/>
                <w:szCs w:val="20"/>
                <w:lang w:val="es-ES_tradnl"/>
              </w:rPr>
            </w:pPr>
          </w:p>
        </w:tc>
        <w:tc>
          <w:tcPr>
            <w:tcW w:w="4320" w:type="dxa"/>
            <w:tcBorders>
              <w:top w:val="nil"/>
              <w:bottom w:val="single" w:sz="4" w:space="0" w:color="auto"/>
              <w:right w:val="single" w:sz="4" w:space="0" w:color="auto"/>
            </w:tcBorders>
            <w:shd w:val="clear" w:color="auto" w:fill="auto"/>
          </w:tcPr>
          <w:p w14:paraId="3D7A7E0A" w14:textId="77777777" w:rsidR="002C49DD" w:rsidRPr="008B0883"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8B0883">
              <w:rPr>
                <w:rFonts w:ascii="Arial" w:eastAsia="Arial" w:hAnsi="Arial" w:cs="Arial"/>
                <w:sz w:val="20"/>
                <w:szCs w:val="20"/>
                <w:lang w:val="es-ES"/>
              </w:rPr>
              <w:t xml:space="preserve">El </w:t>
            </w:r>
            <w:r w:rsidRPr="008B0883">
              <w:rPr>
                <w:rFonts w:ascii="Arial" w:eastAsia="Arial,Times New Roman" w:hAnsi="Arial" w:cs="Arial"/>
                <w:sz w:val="20"/>
                <w:szCs w:val="20"/>
                <w:lang w:val="es-ES"/>
              </w:rPr>
              <w:t>Decreto que reglamenta la masificación de la Factura Electrónica ha sido emitido por el Gobierno Nacional (MHCP)</w:t>
            </w:r>
            <w:r w:rsidRPr="008B0883">
              <w:rPr>
                <w:rFonts w:ascii="Arial" w:eastAsia="Arial" w:hAnsi="Arial" w:cs="Arial"/>
                <w:sz w:val="20"/>
                <w:szCs w:val="20"/>
                <w:lang w:val="es-ES"/>
              </w:rPr>
              <w:t>.</w:t>
            </w:r>
          </w:p>
        </w:tc>
        <w:tc>
          <w:tcPr>
            <w:tcW w:w="3240" w:type="dxa"/>
            <w:tcBorders>
              <w:top w:val="nil"/>
              <w:left w:val="single" w:sz="4" w:space="0" w:color="auto"/>
              <w:bottom w:val="single" w:sz="4" w:space="0" w:color="auto"/>
              <w:right w:val="single" w:sz="4" w:space="0" w:color="auto"/>
            </w:tcBorders>
            <w:shd w:val="clear" w:color="auto" w:fill="auto"/>
          </w:tcPr>
          <w:p w14:paraId="1F4223AC" w14:textId="77777777" w:rsidR="002C49DD" w:rsidRPr="008B0883" w:rsidRDefault="797FBB80" w:rsidP="797FBB80">
            <w:pPr>
              <w:spacing w:after="0" w:line="240" w:lineRule="auto"/>
              <w:rPr>
                <w:rFonts w:ascii="Arial" w:eastAsia="Arial,Times New Roman" w:hAnsi="Arial" w:cs="Arial"/>
                <w:sz w:val="20"/>
                <w:szCs w:val="20"/>
                <w:lang w:val="es-ES"/>
              </w:rPr>
            </w:pPr>
            <w:r w:rsidRPr="008B0883">
              <w:rPr>
                <w:rFonts w:ascii="Arial" w:eastAsia="Arial,Times New Roman" w:hAnsi="Arial" w:cs="Arial"/>
                <w:sz w:val="20"/>
                <w:szCs w:val="20"/>
                <w:lang w:val="es-ES"/>
              </w:rPr>
              <w:t>Decreto Número 2242 del 24 de noviembre de 2015.</w:t>
            </w:r>
          </w:p>
        </w:tc>
        <w:tc>
          <w:tcPr>
            <w:tcW w:w="2143" w:type="dxa"/>
            <w:tcBorders>
              <w:top w:val="nil"/>
              <w:left w:val="single" w:sz="4" w:space="0" w:color="auto"/>
              <w:bottom w:val="single" w:sz="4" w:space="0" w:color="auto"/>
              <w:right w:val="single" w:sz="4" w:space="0" w:color="auto"/>
            </w:tcBorders>
          </w:tcPr>
          <w:p w14:paraId="475F2F63" w14:textId="77777777" w:rsidR="002C49DD" w:rsidRPr="008B0883" w:rsidRDefault="797FBB80" w:rsidP="797FBB80">
            <w:pPr>
              <w:spacing w:after="0" w:line="240" w:lineRule="auto"/>
              <w:rPr>
                <w:rFonts w:ascii="Arial" w:eastAsia="Arial,Times New Roman" w:hAnsi="Arial" w:cs="Arial"/>
                <w:sz w:val="20"/>
                <w:szCs w:val="20"/>
                <w:lang w:val="es-ES"/>
              </w:rPr>
            </w:pPr>
            <w:r w:rsidRPr="008B0883">
              <w:rPr>
                <w:rFonts w:ascii="Arial" w:eastAsia="Arial,Times New Roman" w:hAnsi="Arial" w:cs="Arial"/>
                <w:sz w:val="20"/>
                <w:szCs w:val="20"/>
                <w:lang w:val="es-ES"/>
              </w:rPr>
              <w:t>Ministerio de Hacienda y Crédito Público</w:t>
            </w:r>
          </w:p>
        </w:tc>
      </w:tr>
    </w:tbl>
    <w:p w14:paraId="707AEC51" w14:textId="77777777" w:rsidR="00C864C0" w:rsidRPr="00DB08FA" w:rsidRDefault="00C864C0">
      <w:pPr>
        <w:rPr>
          <w:rFonts w:ascii="Arial" w:hAnsi="Arial" w:cs="Arial"/>
          <w:lang w:val="es-ES_tradnl"/>
        </w:rPr>
      </w:pPr>
      <w:r w:rsidRPr="00DB08FA">
        <w:rPr>
          <w:rFonts w:ascii="Arial" w:hAnsi="Arial" w:cs="Arial"/>
          <w:lang w:val="es-ES_tradnl"/>
        </w:rPr>
        <w:br w:type="page"/>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4244"/>
        <w:gridCol w:w="3184"/>
        <w:gridCol w:w="2108"/>
      </w:tblGrid>
      <w:tr w:rsidR="00C9430D" w:rsidRPr="00ED5F97" w14:paraId="78C01CBF" w14:textId="77777777" w:rsidTr="797FBB80">
        <w:trPr>
          <w:trHeight w:val="130"/>
          <w:tblHeader/>
          <w:jc w:val="center"/>
        </w:trPr>
        <w:tc>
          <w:tcPr>
            <w:tcW w:w="3223" w:type="dxa"/>
            <w:shd w:val="clear" w:color="auto" w:fill="BFBFBF" w:themeFill="background1" w:themeFillShade="BF"/>
            <w:vAlign w:val="center"/>
            <w:hideMark/>
          </w:tcPr>
          <w:p w14:paraId="36C8CC26" w14:textId="77777777" w:rsidR="00C9430D" w:rsidRPr="00ED5F97" w:rsidRDefault="00C9430D"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lastRenderedPageBreak/>
              <w:t>Objetivos de Política</w:t>
            </w:r>
          </w:p>
        </w:tc>
        <w:tc>
          <w:tcPr>
            <w:tcW w:w="4320" w:type="dxa"/>
            <w:shd w:val="clear" w:color="auto" w:fill="BFBFBF" w:themeFill="background1" w:themeFillShade="BF"/>
            <w:vAlign w:val="center"/>
            <w:hideMark/>
          </w:tcPr>
          <w:p w14:paraId="504C96DC" w14:textId="77777777" w:rsidR="00C9430D" w:rsidRPr="00ED5F97" w:rsidRDefault="00C9430D" w:rsidP="797FBB80">
            <w:pPr>
              <w:spacing w:after="0" w:line="240" w:lineRule="auto"/>
              <w:jc w:val="center"/>
              <w:rPr>
                <w:rFonts w:ascii="Arial" w:eastAsia="Arial" w:hAnsi="Arial" w:cs="Arial"/>
                <w:b/>
                <w:bCs/>
                <w:sz w:val="20"/>
                <w:szCs w:val="20"/>
                <w:lang w:val="pt-BR"/>
              </w:rPr>
            </w:pPr>
            <w:r w:rsidRPr="00ED5F97">
              <w:rPr>
                <w:rFonts w:ascii="Arial" w:eastAsia="Arial" w:hAnsi="Arial" w:cs="Arial"/>
                <w:b/>
                <w:bCs/>
                <w:smallCaps/>
                <w:sz w:val="20"/>
                <w:szCs w:val="20"/>
                <w:lang w:val="pt-BR"/>
              </w:rPr>
              <w:t>Medidas de Política Acordada</w:t>
            </w:r>
          </w:p>
          <w:p w14:paraId="25445396" w14:textId="77777777" w:rsidR="00C9430D" w:rsidRPr="00ED5F97" w:rsidRDefault="00C9430D" w:rsidP="797FBB80">
            <w:pPr>
              <w:spacing w:after="0" w:line="240" w:lineRule="auto"/>
              <w:jc w:val="center"/>
              <w:rPr>
                <w:rFonts w:ascii="Arial" w:eastAsia="Arial" w:hAnsi="Arial" w:cs="Arial"/>
                <w:b/>
                <w:bCs/>
                <w:sz w:val="20"/>
                <w:szCs w:val="20"/>
                <w:lang w:val="pt-BR"/>
              </w:rPr>
            </w:pPr>
            <w:r w:rsidRPr="00ED5F97">
              <w:rPr>
                <w:rFonts w:ascii="Arial" w:eastAsia="Arial" w:hAnsi="Arial" w:cs="Arial"/>
                <w:b/>
                <w:bCs/>
                <w:smallCaps/>
                <w:sz w:val="20"/>
                <w:szCs w:val="20"/>
                <w:lang w:val="pt-BR"/>
              </w:rPr>
              <w:t>Programa I</w:t>
            </w:r>
            <w:r w:rsidR="00A32D40" w:rsidRPr="00ED5F97">
              <w:rPr>
                <w:rFonts w:ascii="Arial" w:eastAsia="Arial" w:hAnsi="Arial" w:cs="Arial"/>
                <w:b/>
                <w:bCs/>
                <w:smallCaps/>
                <w:sz w:val="20"/>
                <w:szCs w:val="20"/>
                <w:lang w:val="pt-BR"/>
              </w:rPr>
              <w:t>I</w:t>
            </w:r>
          </w:p>
        </w:tc>
        <w:tc>
          <w:tcPr>
            <w:tcW w:w="3240" w:type="dxa"/>
            <w:shd w:val="clear" w:color="auto" w:fill="BFBFBF" w:themeFill="background1" w:themeFillShade="BF"/>
            <w:vAlign w:val="center"/>
            <w:hideMark/>
          </w:tcPr>
          <w:p w14:paraId="494756EA" w14:textId="77777777" w:rsidR="00C9430D" w:rsidRPr="00ED5F97" w:rsidRDefault="00C9430D"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Medios De Verificación</w:t>
            </w:r>
          </w:p>
        </w:tc>
        <w:tc>
          <w:tcPr>
            <w:tcW w:w="2143" w:type="dxa"/>
            <w:shd w:val="clear" w:color="auto" w:fill="BFBFBF" w:themeFill="background1" w:themeFillShade="BF"/>
          </w:tcPr>
          <w:p w14:paraId="50DE3C67" w14:textId="77777777" w:rsidR="00C9430D" w:rsidRPr="00ED5F97" w:rsidRDefault="00C9430D"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Unidad responsable</w:t>
            </w:r>
          </w:p>
        </w:tc>
      </w:tr>
      <w:tr w:rsidR="00D21D2C" w:rsidRPr="00125C44" w14:paraId="2E1654E9" w14:textId="77777777" w:rsidTr="797FBB80">
        <w:trPr>
          <w:trHeight w:val="247"/>
          <w:jc w:val="center"/>
        </w:trPr>
        <w:tc>
          <w:tcPr>
            <w:tcW w:w="12926" w:type="dxa"/>
            <w:gridSpan w:val="4"/>
            <w:tcBorders>
              <w:bottom w:val="single" w:sz="4" w:space="0" w:color="auto"/>
            </w:tcBorders>
            <w:shd w:val="clear" w:color="auto" w:fill="BFBFBF" w:themeFill="background1" w:themeFillShade="BF"/>
          </w:tcPr>
          <w:p w14:paraId="7D1BC9B6" w14:textId="77777777" w:rsidR="00D21D2C" w:rsidRPr="00ED5F97" w:rsidRDefault="797FBB80" w:rsidP="797FBB80">
            <w:pPr>
              <w:spacing w:before="80" w:after="80" w:line="240" w:lineRule="auto"/>
              <w:rPr>
                <w:rFonts w:ascii="Arial" w:eastAsia="Arial" w:hAnsi="Arial" w:cs="Arial"/>
                <w:b/>
                <w:bCs/>
                <w:sz w:val="20"/>
                <w:szCs w:val="20"/>
                <w:lang w:val="es-ES"/>
              </w:rPr>
            </w:pPr>
            <w:r w:rsidRPr="00ED5F97">
              <w:rPr>
                <w:rFonts w:ascii="Arial" w:eastAsia="Arial" w:hAnsi="Arial" w:cs="Arial"/>
                <w:b/>
                <w:bCs/>
                <w:sz w:val="20"/>
                <w:szCs w:val="20"/>
                <w:lang w:val="es-ES"/>
              </w:rPr>
              <w:t>Componente II: Mejora del financiamiento para el desarrollo productivo y las alianzas público-privadas.</w:t>
            </w:r>
          </w:p>
        </w:tc>
      </w:tr>
      <w:tr w:rsidR="001F00BE" w:rsidRPr="00125C44" w14:paraId="24CE3350" w14:textId="77777777" w:rsidTr="797FBB80">
        <w:trPr>
          <w:jc w:val="center"/>
        </w:trPr>
        <w:tc>
          <w:tcPr>
            <w:tcW w:w="3223" w:type="dxa"/>
            <w:tcBorders>
              <w:bottom w:val="nil"/>
            </w:tcBorders>
            <w:shd w:val="clear" w:color="auto" w:fill="auto"/>
          </w:tcPr>
          <w:p w14:paraId="29C449FC" w14:textId="77777777" w:rsidR="001F00BE" w:rsidRPr="00ED5F97" w:rsidRDefault="797FBB80" w:rsidP="797FBB80">
            <w:pPr>
              <w:pStyle w:val="ListParagraph"/>
              <w:numPr>
                <w:ilvl w:val="0"/>
                <w:numId w:val="11"/>
              </w:numPr>
              <w:spacing w:after="0" w:line="240" w:lineRule="auto"/>
              <w:ind w:left="281" w:hanging="270"/>
              <w:rPr>
                <w:rFonts w:ascii="Arial" w:eastAsia="Arial" w:hAnsi="Arial" w:cs="Arial"/>
                <w:sz w:val="20"/>
                <w:szCs w:val="20"/>
                <w:lang w:val="es-ES"/>
              </w:rPr>
            </w:pPr>
            <w:r w:rsidRPr="00ED5F97">
              <w:rPr>
                <w:rFonts w:ascii="Arial" w:eastAsia="Arial" w:hAnsi="Arial" w:cs="Arial"/>
                <w:sz w:val="20"/>
                <w:szCs w:val="20"/>
                <w:lang w:val="es-ES"/>
              </w:rPr>
              <w:t>Fortalecimiento de las instituciones públicas para el financiamiento del desarrollo productivo y las alianzas público-privadas.</w:t>
            </w:r>
          </w:p>
        </w:tc>
        <w:tc>
          <w:tcPr>
            <w:tcW w:w="4320" w:type="dxa"/>
            <w:tcBorders>
              <w:bottom w:val="nil"/>
              <w:right w:val="single" w:sz="4" w:space="0" w:color="auto"/>
            </w:tcBorders>
            <w:shd w:val="clear" w:color="auto" w:fill="auto"/>
          </w:tcPr>
          <w:p w14:paraId="6A570C21" w14:textId="77777777" w:rsidR="001F00BE" w:rsidRPr="00ED5F97" w:rsidRDefault="797FBB80" w:rsidP="797FBB80">
            <w:pPr>
              <w:tabs>
                <w:tab w:val="left" w:pos="252"/>
              </w:tabs>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(i) Se han adoptado medidas para fortalecer la capacidad de la Financiera de Desarrollo Nacional para facilitar un mejor acceso a financiamiento para proyectos de alianza público-privada en infraestructura, incluidas como mínimo:</w:t>
            </w:r>
          </w:p>
        </w:tc>
        <w:tc>
          <w:tcPr>
            <w:tcW w:w="3240" w:type="dxa"/>
            <w:tcBorders>
              <w:top w:val="single" w:sz="4" w:space="0" w:color="auto"/>
              <w:left w:val="single" w:sz="4" w:space="0" w:color="auto"/>
              <w:bottom w:val="nil"/>
              <w:right w:val="single" w:sz="4" w:space="0" w:color="auto"/>
            </w:tcBorders>
            <w:shd w:val="clear" w:color="auto" w:fill="auto"/>
          </w:tcPr>
          <w:p w14:paraId="2879480C" w14:textId="77777777" w:rsidR="001F00BE" w:rsidRPr="00ED5F97" w:rsidRDefault="001F00BE" w:rsidP="00B46930">
            <w:pPr>
              <w:spacing w:after="0" w:line="240" w:lineRule="auto"/>
              <w:rPr>
                <w:rFonts w:ascii="Arial" w:hAnsi="Arial" w:cs="Arial"/>
                <w:sz w:val="20"/>
                <w:szCs w:val="20"/>
                <w:lang w:val="es-ES_tradnl"/>
              </w:rPr>
            </w:pPr>
          </w:p>
        </w:tc>
        <w:tc>
          <w:tcPr>
            <w:tcW w:w="2143" w:type="dxa"/>
            <w:tcBorders>
              <w:top w:val="single" w:sz="4" w:space="0" w:color="auto"/>
              <w:left w:val="single" w:sz="4" w:space="0" w:color="auto"/>
              <w:bottom w:val="nil"/>
              <w:right w:val="single" w:sz="4" w:space="0" w:color="auto"/>
            </w:tcBorders>
          </w:tcPr>
          <w:p w14:paraId="4FCDCA14" w14:textId="77777777" w:rsidR="001F00BE" w:rsidRPr="00ED5F97" w:rsidRDefault="001F00BE" w:rsidP="005208BB">
            <w:pPr>
              <w:spacing w:after="0" w:line="240" w:lineRule="auto"/>
              <w:rPr>
                <w:rFonts w:ascii="Arial" w:hAnsi="Arial" w:cs="Arial"/>
                <w:sz w:val="20"/>
                <w:szCs w:val="20"/>
                <w:lang w:val="es-ES_tradnl"/>
              </w:rPr>
            </w:pPr>
          </w:p>
        </w:tc>
      </w:tr>
      <w:tr w:rsidR="001F00BE" w:rsidRPr="00125C44" w14:paraId="017F52BC" w14:textId="77777777" w:rsidTr="797FBB80">
        <w:trPr>
          <w:jc w:val="center"/>
        </w:trPr>
        <w:tc>
          <w:tcPr>
            <w:tcW w:w="3223" w:type="dxa"/>
            <w:tcBorders>
              <w:top w:val="nil"/>
              <w:bottom w:val="nil"/>
            </w:tcBorders>
            <w:shd w:val="clear" w:color="auto" w:fill="auto"/>
          </w:tcPr>
          <w:p w14:paraId="159359EF" w14:textId="77777777" w:rsidR="001F00BE" w:rsidRPr="00ED5F97" w:rsidRDefault="001F00BE" w:rsidP="00B46930">
            <w:pPr>
              <w:spacing w:after="0" w:line="240" w:lineRule="auto"/>
              <w:rPr>
                <w:rFonts w:ascii="Arial" w:hAnsi="Arial" w:cs="Arial"/>
                <w:sz w:val="20"/>
                <w:szCs w:val="20"/>
                <w:lang w:val="es-ES_tradnl"/>
              </w:rPr>
            </w:pPr>
          </w:p>
        </w:tc>
        <w:tc>
          <w:tcPr>
            <w:tcW w:w="4320" w:type="dxa"/>
            <w:tcBorders>
              <w:top w:val="nil"/>
              <w:bottom w:val="nil"/>
              <w:right w:val="single" w:sz="4" w:space="0" w:color="auto"/>
            </w:tcBorders>
            <w:shd w:val="clear" w:color="auto" w:fill="auto"/>
          </w:tcPr>
          <w:p w14:paraId="50EDDF72" w14:textId="2A5935AC" w:rsidR="001F00BE" w:rsidRPr="00ED5F97" w:rsidRDefault="797FBB80" w:rsidP="797FBB80">
            <w:pPr>
              <w:pStyle w:val="ListParagraph"/>
              <w:numPr>
                <w:ilvl w:val="0"/>
                <w:numId w:val="22"/>
              </w:numPr>
              <w:tabs>
                <w:tab w:val="left" w:pos="162"/>
              </w:tabs>
              <w:spacing w:after="0" w:line="240" w:lineRule="auto"/>
              <w:ind w:left="162" w:hanging="180"/>
              <w:rPr>
                <w:rFonts w:ascii="Arial" w:eastAsia="Arial,Times New Roman" w:hAnsi="Arial" w:cs="Arial"/>
                <w:sz w:val="20"/>
                <w:szCs w:val="20"/>
                <w:lang w:val="es-ES"/>
              </w:rPr>
            </w:pPr>
            <w:r w:rsidRPr="00ED5F97">
              <w:rPr>
                <w:rFonts w:ascii="Arial" w:eastAsia="Arial" w:hAnsi="Arial" w:cs="Arial"/>
                <w:sz w:val="20"/>
                <w:szCs w:val="20"/>
                <w:lang w:val="es-ES"/>
              </w:rPr>
              <w:t xml:space="preserve">Los cierres financieros de contratos de concesión de cuarta generación han sido </w:t>
            </w:r>
            <w:r w:rsidR="008C0770">
              <w:rPr>
                <w:rFonts w:ascii="Arial" w:eastAsia="Arial" w:hAnsi="Arial" w:cs="Arial"/>
                <w:sz w:val="20"/>
                <w:szCs w:val="20"/>
                <w:lang w:val="es-ES"/>
              </w:rPr>
              <w:t xml:space="preserve">concluidos por </w:t>
            </w:r>
            <w:r w:rsidRPr="00ED5F97">
              <w:rPr>
                <w:rFonts w:ascii="Arial" w:eastAsia="Arial" w:hAnsi="Arial" w:cs="Arial"/>
                <w:sz w:val="20"/>
                <w:szCs w:val="20"/>
                <w:lang w:val="es-ES"/>
              </w:rPr>
              <w:t>la Financiera de Desarrollo Nacional</w:t>
            </w:r>
            <w:r w:rsidR="003475C6">
              <w:rPr>
                <w:rFonts w:ascii="Arial" w:eastAsia="Arial" w:hAnsi="Arial" w:cs="Arial"/>
                <w:sz w:val="20"/>
                <w:szCs w:val="20"/>
                <w:lang w:val="es-ES"/>
              </w:rPr>
              <w:t xml:space="preserve">, </w:t>
            </w:r>
            <w:r w:rsidR="00D64F2B">
              <w:rPr>
                <w:rFonts w:ascii="Arial" w:eastAsia="Arial" w:hAnsi="Arial" w:cs="Arial"/>
                <w:sz w:val="20"/>
                <w:szCs w:val="20"/>
                <w:lang w:val="es-ES"/>
              </w:rPr>
              <w:t>haciendo uso de</w:t>
            </w:r>
            <w:r w:rsidR="009D2E41">
              <w:rPr>
                <w:rFonts w:ascii="Arial" w:eastAsia="Arial" w:hAnsi="Arial" w:cs="Arial"/>
                <w:sz w:val="20"/>
                <w:szCs w:val="20"/>
                <w:lang w:val="es-ES"/>
              </w:rPr>
              <w:t xml:space="preserve"> nuevos instrumentos financieros.</w:t>
            </w:r>
          </w:p>
        </w:tc>
        <w:tc>
          <w:tcPr>
            <w:tcW w:w="3240" w:type="dxa"/>
            <w:tcBorders>
              <w:top w:val="nil"/>
              <w:left w:val="single" w:sz="4" w:space="0" w:color="auto"/>
              <w:bottom w:val="nil"/>
              <w:right w:val="single" w:sz="4" w:space="0" w:color="auto"/>
            </w:tcBorders>
            <w:shd w:val="clear" w:color="auto" w:fill="auto"/>
          </w:tcPr>
          <w:p w14:paraId="50A1E60A" w14:textId="188C7A26" w:rsidR="001F00BE" w:rsidRPr="00ED5F97" w:rsidRDefault="00DC07AD" w:rsidP="797FBB80">
            <w:pPr>
              <w:spacing w:after="0" w:line="240" w:lineRule="auto"/>
              <w:rPr>
                <w:rFonts w:ascii="Arial" w:eastAsia="Arial" w:hAnsi="Arial" w:cs="Arial"/>
                <w:sz w:val="20"/>
                <w:szCs w:val="20"/>
                <w:lang w:val="es-ES"/>
              </w:rPr>
            </w:pPr>
            <w:r>
              <w:rPr>
                <w:rFonts w:ascii="Arial" w:eastAsia="Arial" w:hAnsi="Arial" w:cs="Arial"/>
                <w:sz w:val="20"/>
                <w:szCs w:val="20"/>
                <w:lang w:val="es-ES"/>
              </w:rPr>
              <w:t xml:space="preserve">Comunicación expedida por el </w:t>
            </w:r>
            <w:proofErr w:type="gramStart"/>
            <w:r>
              <w:rPr>
                <w:rFonts w:ascii="Arial" w:eastAsia="Arial" w:hAnsi="Arial" w:cs="Arial"/>
                <w:sz w:val="20"/>
                <w:szCs w:val="20"/>
                <w:lang w:val="es-ES"/>
              </w:rPr>
              <w:t>Presidente</w:t>
            </w:r>
            <w:proofErr w:type="gramEnd"/>
            <w:r>
              <w:rPr>
                <w:rFonts w:ascii="Arial" w:eastAsia="Arial" w:hAnsi="Arial" w:cs="Arial"/>
                <w:sz w:val="20"/>
                <w:szCs w:val="20"/>
                <w:lang w:val="es-ES"/>
              </w:rPr>
              <w:t xml:space="preserve"> de la Financiera de Desarrollo Nacional, y Decreto 857 del 23 de mayo de 2016</w:t>
            </w:r>
            <w:r w:rsidR="009D2E41">
              <w:rPr>
                <w:rFonts w:ascii="Arial" w:eastAsia="Arial" w:hAnsi="Arial" w:cs="Arial"/>
                <w:sz w:val="20"/>
                <w:szCs w:val="20"/>
                <w:lang w:val="es-ES"/>
              </w:rPr>
              <w:t>.</w:t>
            </w:r>
          </w:p>
        </w:tc>
        <w:tc>
          <w:tcPr>
            <w:tcW w:w="2143" w:type="dxa"/>
            <w:tcBorders>
              <w:top w:val="nil"/>
              <w:left w:val="single" w:sz="4" w:space="0" w:color="auto"/>
              <w:bottom w:val="nil"/>
              <w:right w:val="single" w:sz="4" w:space="0" w:color="auto"/>
            </w:tcBorders>
          </w:tcPr>
          <w:p w14:paraId="6E02EE5D" w14:textId="24F06B18" w:rsidR="001F00BE"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r w:rsidR="001F00BE" w:rsidRPr="00125C44" w14:paraId="5BFB9E29" w14:textId="77777777" w:rsidTr="797FBB80">
        <w:trPr>
          <w:jc w:val="center"/>
        </w:trPr>
        <w:tc>
          <w:tcPr>
            <w:tcW w:w="3223" w:type="dxa"/>
            <w:tcBorders>
              <w:top w:val="nil"/>
              <w:bottom w:val="nil"/>
            </w:tcBorders>
            <w:shd w:val="clear" w:color="auto" w:fill="auto"/>
          </w:tcPr>
          <w:p w14:paraId="0C95ADF9" w14:textId="77777777" w:rsidR="001F00BE" w:rsidRPr="00ED5F97" w:rsidRDefault="001F00BE" w:rsidP="00B46930">
            <w:pPr>
              <w:spacing w:after="0" w:line="240" w:lineRule="auto"/>
              <w:rPr>
                <w:rFonts w:ascii="Arial" w:hAnsi="Arial" w:cs="Arial"/>
                <w:sz w:val="20"/>
                <w:szCs w:val="20"/>
                <w:lang w:val="es-ES_tradnl"/>
              </w:rPr>
            </w:pPr>
          </w:p>
        </w:tc>
        <w:tc>
          <w:tcPr>
            <w:tcW w:w="4320" w:type="dxa"/>
            <w:tcBorders>
              <w:top w:val="nil"/>
              <w:bottom w:val="nil"/>
              <w:right w:val="single" w:sz="4" w:space="0" w:color="auto"/>
            </w:tcBorders>
            <w:shd w:val="clear" w:color="auto" w:fill="auto"/>
          </w:tcPr>
          <w:p w14:paraId="653FDB5C" w14:textId="7BD1D982" w:rsidR="001F00BE" w:rsidRPr="00ED5F97" w:rsidRDefault="001F00BE" w:rsidP="00656F22">
            <w:pPr>
              <w:pStyle w:val="ListParagraph"/>
              <w:tabs>
                <w:tab w:val="left" w:pos="162"/>
              </w:tabs>
              <w:spacing w:after="0" w:line="240" w:lineRule="auto"/>
              <w:ind w:left="162"/>
              <w:rPr>
                <w:rFonts w:ascii="Arial" w:eastAsia="Arial,Times New Roman" w:hAnsi="Arial" w:cs="Arial"/>
                <w:sz w:val="20"/>
                <w:szCs w:val="20"/>
                <w:lang w:val="es-ES"/>
              </w:rPr>
            </w:pPr>
          </w:p>
        </w:tc>
        <w:tc>
          <w:tcPr>
            <w:tcW w:w="3240" w:type="dxa"/>
            <w:tcBorders>
              <w:top w:val="nil"/>
              <w:left w:val="single" w:sz="4" w:space="0" w:color="auto"/>
              <w:bottom w:val="nil"/>
              <w:right w:val="single" w:sz="4" w:space="0" w:color="auto"/>
            </w:tcBorders>
            <w:shd w:val="clear" w:color="auto" w:fill="auto"/>
          </w:tcPr>
          <w:p w14:paraId="5DCF3CB6" w14:textId="5113A116" w:rsidR="001F00BE" w:rsidRPr="00ED5F97" w:rsidRDefault="007C0A2E" w:rsidP="797FBB80">
            <w:pPr>
              <w:spacing w:after="0" w:line="240" w:lineRule="auto"/>
              <w:rPr>
                <w:rFonts w:ascii="Arial" w:eastAsia="Arial" w:hAnsi="Arial" w:cs="Arial"/>
                <w:sz w:val="20"/>
                <w:szCs w:val="20"/>
                <w:lang w:val="es-ES"/>
              </w:rPr>
            </w:pPr>
            <w:r>
              <w:rPr>
                <w:rFonts w:ascii="Arial" w:eastAsia="Arial" w:hAnsi="Arial" w:cs="Arial"/>
                <w:sz w:val="20"/>
                <w:szCs w:val="20"/>
                <w:lang w:val="es-ES"/>
              </w:rPr>
              <w:t>.</w:t>
            </w:r>
          </w:p>
        </w:tc>
        <w:tc>
          <w:tcPr>
            <w:tcW w:w="2143" w:type="dxa"/>
            <w:tcBorders>
              <w:top w:val="nil"/>
              <w:left w:val="single" w:sz="4" w:space="0" w:color="auto"/>
              <w:bottom w:val="nil"/>
              <w:right w:val="single" w:sz="4" w:space="0" w:color="auto"/>
            </w:tcBorders>
          </w:tcPr>
          <w:p w14:paraId="72590401" w14:textId="77777777" w:rsidR="001F00BE"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r w:rsidR="001F00BE" w:rsidRPr="00125C44" w14:paraId="4427EC1F" w14:textId="77777777" w:rsidTr="797FBB80">
        <w:trPr>
          <w:jc w:val="center"/>
        </w:trPr>
        <w:tc>
          <w:tcPr>
            <w:tcW w:w="3223" w:type="dxa"/>
            <w:vMerge w:val="restart"/>
            <w:tcBorders>
              <w:top w:val="nil"/>
            </w:tcBorders>
            <w:shd w:val="clear" w:color="auto" w:fill="auto"/>
          </w:tcPr>
          <w:p w14:paraId="5EEF7837" w14:textId="77777777" w:rsidR="001F00BE" w:rsidRPr="00ED5F97" w:rsidRDefault="001F00BE" w:rsidP="00B46930">
            <w:pPr>
              <w:spacing w:after="0" w:line="240" w:lineRule="auto"/>
              <w:rPr>
                <w:rFonts w:ascii="Arial" w:hAnsi="Arial" w:cs="Arial"/>
                <w:sz w:val="20"/>
                <w:szCs w:val="20"/>
                <w:lang w:val="es-ES_tradnl"/>
              </w:rPr>
            </w:pPr>
          </w:p>
        </w:tc>
        <w:tc>
          <w:tcPr>
            <w:tcW w:w="4320" w:type="dxa"/>
            <w:tcBorders>
              <w:top w:val="nil"/>
              <w:bottom w:val="nil"/>
              <w:right w:val="single" w:sz="4" w:space="0" w:color="auto"/>
            </w:tcBorders>
            <w:shd w:val="clear" w:color="auto" w:fill="auto"/>
          </w:tcPr>
          <w:p w14:paraId="23E3B059" w14:textId="77777777" w:rsidR="001F00BE" w:rsidRPr="00ED5F97" w:rsidRDefault="797FBB80" w:rsidP="797FBB80">
            <w:pPr>
              <w:tabs>
                <w:tab w:val="left" w:pos="252"/>
              </w:tabs>
              <w:spacing w:after="0" w:line="240" w:lineRule="auto"/>
              <w:rPr>
                <w:rFonts w:ascii="Arial" w:eastAsia="Arial" w:hAnsi="Arial" w:cs="Arial"/>
                <w:sz w:val="20"/>
                <w:szCs w:val="20"/>
                <w:lang w:val="es-ES"/>
              </w:rPr>
            </w:pPr>
            <w:r w:rsidRPr="00ED5F97">
              <w:rPr>
                <w:rFonts w:ascii="Arial" w:eastAsia="Arial,Times New Roman" w:hAnsi="Arial" w:cs="Arial"/>
                <w:sz w:val="20"/>
                <w:szCs w:val="20"/>
                <w:lang w:val="es-ES"/>
              </w:rPr>
              <w:t>(ii) Se han adoptado medidas para el acceso del sector agrícola a financiamiento productivo, incluidas como mínimo:</w:t>
            </w:r>
          </w:p>
        </w:tc>
        <w:tc>
          <w:tcPr>
            <w:tcW w:w="3240" w:type="dxa"/>
            <w:tcBorders>
              <w:top w:val="nil"/>
              <w:left w:val="single" w:sz="4" w:space="0" w:color="auto"/>
              <w:bottom w:val="nil"/>
              <w:right w:val="single" w:sz="4" w:space="0" w:color="auto"/>
            </w:tcBorders>
            <w:shd w:val="clear" w:color="auto" w:fill="auto"/>
          </w:tcPr>
          <w:p w14:paraId="70F0FC0E" w14:textId="77777777" w:rsidR="001F00BE" w:rsidRPr="00ED5F97" w:rsidRDefault="001F00BE" w:rsidP="00B46930">
            <w:pPr>
              <w:spacing w:after="0" w:line="240" w:lineRule="auto"/>
              <w:rPr>
                <w:rFonts w:ascii="Arial" w:hAnsi="Arial" w:cs="Arial"/>
                <w:sz w:val="20"/>
                <w:szCs w:val="20"/>
                <w:lang w:val="es-ES_tradnl"/>
              </w:rPr>
            </w:pPr>
          </w:p>
        </w:tc>
        <w:tc>
          <w:tcPr>
            <w:tcW w:w="2143" w:type="dxa"/>
            <w:tcBorders>
              <w:top w:val="nil"/>
              <w:left w:val="single" w:sz="4" w:space="0" w:color="auto"/>
              <w:bottom w:val="nil"/>
              <w:right w:val="single" w:sz="4" w:space="0" w:color="auto"/>
            </w:tcBorders>
          </w:tcPr>
          <w:p w14:paraId="680287FD" w14:textId="77777777" w:rsidR="001F00BE" w:rsidRPr="00ED5F97" w:rsidRDefault="001F00BE" w:rsidP="005208BB">
            <w:pPr>
              <w:spacing w:after="0" w:line="240" w:lineRule="auto"/>
              <w:rPr>
                <w:rFonts w:ascii="Arial" w:hAnsi="Arial" w:cs="Arial"/>
                <w:sz w:val="20"/>
                <w:szCs w:val="20"/>
                <w:lang w:val="es-ES_tradnl"/>
              </w:rPr>
            </w:pPr>
          </w:p>
        </w:tc>
      </w:tr>
      <w:tr w:rsidR="001F00BE" w:rsidRPr="00125C44" w14:paraId="5521D014" w14:textId="77777777" w:rsidTr="797FBB80">
        <w:trPr>
          <w:jc w:val="center"/>
        </w:trPr>
        <w:tc>
          <w:tcPr>
            <w:tcW w:w="3223" w:type="dxa"/>
            <w:vMerge/>
            <w:shd w:val="clear" w:color="auto" w:fill="auto"/>
          </w:tcPr>
          <w:p w14:paraId="4A9A3ABA" w14:textId="77777777" w:rsidR="001F00BE" w:rsidRPr="00ED5F97" w:rsidRDefault="001F00BE"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19CBC6C4" w14:textId="1D32827E" w:rsidR="001F00BE" w:rsidRPr="00ED5F97"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Times New Roman" w:hAnsi="Arial" w:cs="Arial"/>
                <w:sz w:val="20"/>
                <w:szCs w:val="20"/>
                <w:lang w:val="es-ES"/>
              </w:rPr>
              <w:t>El Decreto para la reglamentación de financiamiento para la reactivación del sector agropecuario ha sido emitido por el Gobierno Nacional (Ministerio de Agricultura y Desarrollo Rural).</w:t>
            </w:r>
          </w:p>
        </w:tc>
        <w:tc>
          <w:tcPr>
            <w:tcW w:w="3240" w:type="dxa"/>
            <w:tcBorders>
              <w:top w:val="nil"/>
              <w:left w:val="single" w:sz="4" w:space="0" w:color="auto"/>
              <w:bottom w:val="nil"/>
              <w:right w:val="single" w:sz="4" w:space="0" w:color="auto"/>
            </w:tcBorders>
            <w:shd w:val="clear" w:color="auto" w:fill="auto"/>
          </w:tcPr>
          <w:p w14:paraId="399514D6" w14:textId="12C75B21" w:rsidR="001F00BE" w:rsidRPr="00ED5F97" w:rsidRDefault="797FBB80"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Decreto 14</w:t>
            </w:r>
            <w:r w:rsidR="001013CF">
              <w:rPr>
                <w:rFonts w:ascii="Arial" w:eastAsia="Arial,Times New Roman" w:hAnsi="Arial" w:cs="Arial"/>
                <w:sz w:val="20"/>
                <w:szCs w:val="20"/>
                <w:lang w:val="es-ES"/>
              </w:rPr>
              <w:t>49</w:t>
            </w:r>
            <w:r w:rsidRPr="00ED5F97">
              <w:rPr>
                <w:rFonts w:ascii="Arial" w:eastAsia="Arial,Times New Roman" w:hAnsi="Arial" w:cs="Arial"/>
                <w:sz w:val="20"/>
                <w:szCs w:val="20"/>
                <w:lang w:val="es-ES"/>
              </w:rPr>
              <w:t xml:space="preserve"> del 02 de julio de 2015</w:t>
            </w:r>
            <w:r w:rsidR="007C0A2E">
              <w:rPr>
                <w:rFonts w:ascii="Arial" w:eastAsia="Arial,Times New Roman" w:hAnsi="Arial" w:cs="Arial"/>
                <w:sz w:val="20"/>
                <w:szCs w:val="20"/>
                <w:lang w:val="es-ES"/>
              </w:rPr>
              <w:t>.</w:t>
            </w:r>
          </w:p>
        </w:tc>
        <w:tc>
          <w:tcPr>
            <w:tcW w:w="2143" w:type="dxa"/>
            <w:tcBorders>
              <w:top w:val="nil"/>
              <w:left w:val="single" w:sz="4" w:space="0" w:color="auto"/>
              <w:bottom w:val="nil"/>
              <w:right w:val="single" w:sz="4" w:space="0" w:color="auto"/>
            </w:tcBorders>
          </w:tcPr>
          <w:p w14:paraId="274D2219" w14:textId="77777777" w:rsidR="001F00BE" w:rsidRPr="00ED5F97" w:rsidRDefault="797FBB80"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Ministerio de Agricultura y Desarrollo Rural</w:t>
            </w:r>
          </w:p>
        </w:tc>
      </w:tr>
      <w:tr w:rsidR="001F00BE" w:rsidRPr="00125C44" w14:paraId="22D7A1FF" w14:textId="77777777" w:rsidTr="797FBB80">
        <w:trPr>
          <w:jc w:val="center"/>
        </w:trPr>
        <w:tc>
          <w:tcPr>
            <w:tcW w:w="3223" w:type="dxa"/>
            <w:vMerge/>
            <w:shd w:val="clear" w:color="auto" w:fill="auto"/>
          </w:tcPr>
          <w:p w14:paraId="0D38758C" w14:textId="77777777" w:rsidR="001F00BE" w:rsidRPr="00ED5F97" w:rsidRDefault="001F00BE"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4A022D03" w14:textId="77777777" w:rsidR="001F00BE" w:rsidRPr="00ED5F97"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 w:hAnsi="Arial" w:cs="Arial"/>
                <w:sz w:val="20"/>
                <w:szCs w:val="20"/>
                <w:lang w:val="es-ES"/>
              </w:rPr>
              <w:t>El Decreto para la revisión de cupos de concentración de crédito del Fondo para el Financiamiento del Sector Agropecuario con las entidades con que hace redescuento ha sido emitido por el Gobierno Nacional (MHCP).</w:t>
            </w:r>
          </w:p>
        </w:tc>
        <w:tc>
          <w:tcPr>
            <w:tcW w:w="3240" w:type="dxa"/>
            <w:tcBorders>
              <w:top w:val="nil"/>
              <w:left w:val="single" w:sz="4" w:space="0" w:color="auto"/>
              <w:bottom w:val="nil"/>
              <w:right w:val="single" w:sz="4" w:space="0" w:color="auto"/>
            </w:tcBorders>
            <w:shd w:val="clear" w:color="auto" w:fill="auto"/>
          </w:tcPr>
          <w:p w14:paraId="5085ABEC" w14:textId="4191A902" w:rsidR="001F00BE" w:rsidRPr="00ED5F97" w:rsidRDefault="797FBB80"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Decreto 047 del 15 de enero de 2016</w:t>
            </w:r>
            <w:r w:rsidR="007C0A2E">
              <w:rPr>
                <w:rFonts w:ascii="Arial" w:eastAsia="Arial,Times New Roman" w:hAnsi="Arial" w:cs="Arial"/>
                <w:sz w:val="20"/>
                <w:szCs w:val="20"/>
                <w:lang w:val="es-ES"/>
              </w:rPr>
              <w:t>.</w:t>
            </w:r>
          </w:p>
        </w:tc>
        <w:tc>
          <w:tcPr>
            <w:tcW w:w="2143" w:type="dxa"/>
            <w:tcBorders>
              <w:top w:val="nil"/>
              <w:left w:val="single" w:sz="4" w:space="0" w:color="auto"/>
              <w:bottom w:val="nil"/>
              <w:right w:val="single" w:sz="4" w:space="0" w:color="auto"/>
            </w:tcBorders>
          </w:tcPr>
          <w:p w14:paraId="332162CA" w14:textId="77777777" w:rsidR="001F00BE" w:rsidRPr="00ED5F97" w:rsidRDefault="797FBB80"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Ministerio de Hacienda y Crédito Público</w:t>
            </w:r>
          </w:p>
        </w:tc>
      </w:tr>
      <w:tr w:rsidR="001F00BE" w:rsidRPr="00ED5F97" w14:paraId="3D0145C7" w14:textId="77777777" w:rsidTr="797FBB80">
        <w:trPr>
          <w:jc w:val="center"/>
        </w:trPr>
        <w:tc>
          <w:tcPr>
            <w:tcW w:w="3223" w:type="dxa"/>
            <w:vMerge/>
            <w:shd w:val="clear" w:color="auto" w:fill="auto"/>
          </w:tcPr>
          <w:p w14:paraId="456E7978" w14:textId="77777777" w:rsidR="001F00BE" w:rsidRPr="00ED5F97" w:rsidRDefault="001F00BE" w:rsidP="005208BB">
            <w:pPr>
              <w:spacing w:after="0" w:line="240" w:lineRule="auto"/>
              <w:rPr>
                <w:rFonts w:ascii="Arial" w:hAnsi="Arial" w:cs="Arial"/>
                <w:b/>
                <w:sz w:val="20"/>
                <w:szCs w:val="20"/>
                <w:lang w:val="es-ES_tradnl"/>
              </w:rPr>
            </w:pPr>
          </w:p>
        </w:tc>
        <w:tc>
          <w:tcPr>
            <w:tcW w:w="4320" w:type="dxa"/>
            <w:tcBorders>
              <w:top w:val="nil"/>
              <w:bottom w:val="single" w:sz="4" w:space="0" w:color="auto"/>
              <w:right w:val="single" w:sz="4" w:space="0" w:color="auto"/>
            </w:tcBorders>
            <w:shd w:val="clear" w:color="auto" w:fill="auto"/>
          </w:tcPr>
          <w:p w14:paraId="3A36D586" w14:textId="77777777" w:rsidR="001F00BE" w:rsidRPr="00ED5F97"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 w:hAnsi="Arial" w:cs="Arial"/>
                <w:sz w:val="20"/>
                <w:szCs w:val="20"/>
                <w:lang w:val="es-ES"/>
              </w:rPr>
              <w:t>La Circular que amplía el espectro de pólizas de seguros para el sector agropecuario ha sido emitida por la Superintendencia Financiera.</w:t>
            </w:r>
          </w:p>
        </w:tc>
        <w:tc>
          <w:tcPr>
            <w:tcW w:w="3240" w:type="dxa"/>
            <w:tcBorders>
              <w:top w:val="nil"/>
              <w:left w:val="single" w:sz="4" w:space="0" w:color="auto"/>
              <w:bottom w:val="single" w:sz="4" w:space="0" w:color="auto"/>
              <w:right w:val="single" w:sz="4" w:space="0" w:color="auto"/>
            </w:tcBorders>
            <w:shd w:val="clear" w:color="auto" w:fill="auto"/>
          </w:tcPr>
          <w:p w14:paraId="64AA42DB" w14:textId="7917BCD4" w:rsidR="001F00BE" w:rsidRPr="00ED5F97" w:rsidRDefault="797FBB80"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 xml:space="preserve">Circular Externa </w:t>
            </w:r>
            <w:r w:rsidR="00494A3B">
              <w:rPr>
                <w:rFonts w:ascii="Arial" w:eastAsia="Arial,Times New Roman" w:hAnsi="Arial" w:cs="Arial"/>
                <w:sz w:val="20"/>
                <w:szCs w:val="20"/>
                <w:lang w:val="es-ES"/>
              </w:rPr>
              <w:t>008</w:t>
            </w:r>
            <w:r w:rsidRPr="00ED5F97">
              <w:rPr>
                <w:rFonts w:ascii="Arial" w:eastAsia="Arial,Times New Roman" w:hAnsi="Arial" w:cs="Arial"/>
                <w:sz w:val="20"/>
                <w:szCs w:val="20"/>
                <w:lang w:val="es-ES"/>
              </w:rPr>
              <w:t xml:space="preserve"> del 21 de abril de 2015</w:t>
            </w:r>
            <w:r w:rsidR="007C0A2E">
              <w:rPr>
                <w:rFonts w:ascii="Arial" w:eastAsia="Arial,Times New Roman" w:hAnsi="Arial" w:cs="Arial"/>
                <w:sz w:val="20"/>
                <w:szCs w:val="20"/>
                <w:lang w:val="es-ES"/>
              </w:rPr>
              <w:t>.</w:t>
            </w:r>
          </w:p>
        </w:tc>
        <w:tc>
          <w:tcPr>
            <w:tcW w:w="2143" w:type="dxa"/>
            <w:tcBorders>
              <w:top w:val="nil"/>
              <w:left w:val="single" w:sz="4" w:space="0" w:color="auto"/>
              <w:bottom w:val="single" w:sz="4" w:space="0" w:color="auto"/>
              <w:right w:val="single" w:sz="4" w:space="0" w:color="auto"/>
            </w:tcBorders>
          </w:tcPr>
          <w:p w14:paraId="72D3A8D7" w14:textId="77777777" w:rsidR="001F00BE" w:rsidRPr="00ED5F97" w:rsidRDefault="797FBB80"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Superintendencia Financiera de Colombia</w:t>
            </w:r>
          </w:p>
        </w:tc>
      </w:tr>
    </w:tbl>
    <w:p w14:paraId="74DEBEED" w14:textId="77777777" w:rsidR="001233E3" w:rsidRPr="00DB08FA" w:rsidRDefault="001233E3">
      <w:pPr>
        <w:rPr>
          <w:rFonts w:ascii="Arial" w:hAnsi="Arial" w:cs="Arial"/>
          <w:lang w:val="es-ES_tradnl"/>
        </w:rPr>
      </w:pPr>
      <w:r w:rsidRPr="00DB08FA">
        <w:rPr>
          <w:rFonts w:ascii="Arial" w:hAnsi="Arial" w:cs="Arial"/>
          <w:lang w:val="es-ES_tradnl"/>
        </w:rPr>
        <w:br w:type="page"/>
      </w:r>
      <w:r w:rsidR="008131ED">
        <w:rPr>
          <w:rFonts w:ascii="Arial" w:hAnsi="Arial" w:cs="Arial"/>
          <w:lang w:val="es-ES_tradnl"/>
        </w:rPr>
        <w:lastRenderedPageBreak/>
        <w:tab/>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4244"/>
        <w:gridCol w:w="3184"/>
        <w:gridCol w:w="2108"/>
      </w:tblGrid>
      <w:tr w:rsidR="001233E3" w:rsidRPr="00ED5F97" w14:paraId="011FB2E3" w14:textId="77777777" w:rsidTr="797FBB80">
        <w:trPr>
          <w:trHeight w:val="130"/>
          <w:tblHeader/>
          <w:jc w:val="center"/>
        </w:trPr>
        <w:tc>
          <w:tcPr>
            <w:tcW w:w="3223" w:type="dxa"/>
            <w:shd w:val="clear" w:color="auto" w:fill="BFBFBF" w:themeFill="background1" w:themeFillShade="BF"/>
            <w:vAlign w:val="center"/>
            <w:hideMark/>
          </w:tcPr>
          <w:p w14:paraId="204F8FEC" w14:textId="77777777" w:rsidR="001233E3" w:rsidRPr="00ED5F97" w:rsidRDefault="001233E3"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Objetivos de Política</w:t>
            </w:r>
          </w:p>
        </w:tc>
        <w:tc>
          <w:tcPr>
            <w:tcW w:w="4320" w:type="dxa"/>
            <w:shd w:val="clear" w:color="auto" w:fill="BFBFBF" w:themeFill="background1" w:themeFillShade="BF"/>
            <w:vAlign w:val="center"/>
            <w:hideMark/>
          </w:tcPr>
          <w:p w14:paraId="27511419" w14:textId="77777777" w:rsidR="001233E3" w:rsidRPr="00ED5F97" w:rsidRDefault="001233E3" w:rsidP="797FBB80">
            <w:pPr>
              <w:spacing w:after="0" w:line="240" w:lineRule="auto"/>
              <w:jc w:val="center"/>
              <w:rPr>
                <w:rFonts w:ascii="Arial" w:eastAsia="Arial" w:hAnsi="Arial" w:cs="Arial"/>
                <w:b/>
                <w:bCs/>
                <w:sz w:val="20"/>
                <w:szCs w:val="20"/>
                <w:lang w:val="pt-BR"/>
              </w:rPr>
            </w:pPr>
            <w:r w:rsidRPr="00ED5F97">
              <w:rPr>
                <w:rFonts w:ascii="Arial" w:eastAsia="Arial" w:hAnsi="Arial" w:cs="Arial"/>
                <w:b/>
                <w:bCs/>
                <w:smallCaps/>
                <w:sz w:val="20"/>
                <w:szCs w:val="20"/>
                <w:lang w:val="pt-BR"/>
              </w:rPr>
              <w:t>Medidas de Política Acordada</w:t>
            </w:r>
          </w:p>
          <w:p w14:paraId="6C7CC1DF" w14:textId="77777777" w:rsidR="001233E3" w:rsidRPr="00ED5F97" w:rsidRDefault="001233E3" w:rsidP="797FBB80">
            <w:pPr>
              <w:spacing w:after="0" w:line="240" w:lineRule="auto"/>
              <w:jc w:val="center"/>
              <w:rPr>
                <w:rFonts w:ascii="Arial" w:eastAsia="Arial" w:hAnsi="Arial" w:cs="Arial"/>
                <w:b/>
                <w:bCs/>
                <w:sz w:val="20"/>
                <w:szCs w:val="20"/>
                <w:lang w:val="pt-BR"/>
              </w:rPr>
            </w:pPr>
            <w:r w:rsidRPr="00ED5F97">
              <w:rPr>
                <w:rFonts w:ascii="Arial" w:eastAsia="Arial" w:hAnsi="Arial" w:cs="Arial"/>
                <w:b/>
                <w:bCs/>
                <w:smallCaps/>
                <w:sz w:val="20"/>
                <w:szCs w:val="20"/>
                <w:lang w:val="pt-BR"/>
              </w:rPr>
              <w:t>Programa I</w:t>
            </w:r>
            <w:r w:rsidR="00A32D40" w:rsidRPr="00ED5F97">
              <w:rPr>
                <w:rFonts w:ascii="Arial" w:eastAsia="Arial" w:hAnsi="Arial" w:cs="Arial"/>
                <w:b/>
                <w:bCs/>
                <w:smallCaps/>
                <w:sz w:val="20"/>
                <w:szCs w:val="20"/>
                <w:lang w:val="pt-BR"/>
              </w:rPr>
              <w:t>I</w:t>
            </w:r>
          </w:p>
        </w:tc>
        <w:tc>
          <w:tcPr>
            <w:tcW w:w="3240" w:type="dxa"/>
            <w:shd w:val="clear" w:color="auto" w:fill="BFBFBF" w:themeFill="background1" w:themeFillShade="BF"/>
            <w:vAlign w:val="center"/>
            <w:hideMark/>
          </w:tcPr>
          <w:p w14:paraId="09266A19" w14:textId="77777777" w:rsidR="001233E3" w:rsidRPr="00ED5F97" w:rsidRDefault="001233E3"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Medios De Verificación</w:t>
            </w:r>
          </w:p>
        </w:tc>
        <w:tc>
          <w:tcPr>
            <w:tcW w:w="2143" w:type="dxa"/>
            <w:shd w:val="clear" w:color="auto" w:fill="BFBFBF" w:themeFill="background1" w:themeFillShade="BF"/>
          </w:tcPr>
          <w:p w14:paraId="21C0EBB8" w14:textId="77777777" w:rsidR="001233E3" w:rsidRPr="00ED5F97" w:rsidRDefault="001233E3"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Unidad responsable</w:t>
            </w:r>
          </w:p>
        </w:tc>
      </w:tr>
      <w:tr w:rsidR="00C04F16" w:rsidRPr="00125C44" w14:paraId="7EB1C277" w14:textId="77777777" w:rsidTr="797FBB80">
        <w:trPr>
          <w:jc w:val="center"/>
        </w:trPr>
        <w:tc>
          <w:tcPr>
            <w:tcW w:w="12926" w:type="dxa"/>
            <w:gridSpan w:val="4"/>
            <w:shd w:val="clear" w:color="auto" w:fill="BFBFBF" w:themeFill="background1" w:themeFillShade="BF"/>
          </w:tcPr>
          <w:p w14:paraId="381E550E" w14:textId="77777777" w:rsidR="00C04F16" w:rsidRPr="00ED5F97" w:rsidRDefault="797FBB80" w:rsidP="797FBB80">
            <w:pPr>
              <w:spacing w:before="80" w:after="80" w:line="240" w:lineRule="auto"/>
              <w:rPr>
                <w:rFonts w:ascii="Arial" w:eastAsia="Arial" w:hAnsi="Arial" w:cs="Arial"/>
                <w:b/>
                <w:bCs/>
                <w:sz w:val="20"/>
                <w:szCs w:val="20"/>
                <w:lang w:val="es-ES"/>
              </w:rPr>
            </w:pPr>
            <w:r w:rsidRPr="00ED5F97">
              <w:rPr>
                <w:rFonts w:ascii="Arial" w:eastAsia="Arial,Times New Roman" w:hAnsi="Arial" w:cs="Arial"/>
                <w:b/>
                <w:bCs/>
                <w:color w:val="000000" w:themeColor="text1"/>
                <w:sz w:val="20"/>
                <w:szCs w:val="20"/>
                <w:lang w:val="es-ES"/>
              </w:rPr>
              <w:t>Componente III: Mejora de la Regulación y Supervisión del Sistema Financiero.</w:t>
            </w:r>
          </w:p>
        </w:tc>
      </w:tr>
      <w:tr w:rsidR="00CC7B3F" w:rsidRPr="00125C44" w14:paraId="0F6165E5" w14:textId="77777777" w:rsidTr="797FBB80">
        <w:trPr>
          <w:jc w:val="center"/>
        </w:trPr>
        <w:tc>
          <w:tcPr>
            <w:tcW w:w="3223" w:type="dxa"/>
            <w:vMerge w:val="restart"/>
            <w:shd w:val="clear" w:color="auto" w:fill="auto"/>
          </w:tcPr>
          <w:p w14:paraId="44D8F1F5" w14:textId="77777777" w:rsidR="00CC7B3F" w:rsidRPr="00ED5F97" w:rsidRDefault="00CC7B3F" w:rsidP="797FBB80">
            <w:pPr>
              <w:pStyle w:val="ListParagraph"/>
              <w:numPr>
                <w:ilvl w:val="0"/>
                <w:numId w:val="15"/>
              </w:numPr>
              <w:spacing w:after="0" w:line="240" w:lineRule="auto"/>
              <w:ind w:left="235" w:hanging="235"/>
              <w:rPr>
                <w:rFonts w:ascii="Arial" w:eastAsia="Arial" w:hAnsi="Arial" w:cs="Arial"/>
                <w:sz w:val="20"/>
                <w:szCs w:val="20"/>
                <w:lang w:val="es-ES"/>
              </w:rPr>
            </w:pPr>
            <w:r w:rsidRPr="00ED5F97">
              <w:rPr>
                <w:rFonts w:ascii="Arial" w:eastAsia="Arial" w:hAnsi="Arial" w:cs="Arial"/>
                <w:sz w:val="20"/>
                <w:szCs w:val="20"/>
                <w:lang w:val="es-ES"/>
              </w:rPr>
              <w:t>Fortalecer la regulación y supervisión para un sistema financiero más sólido y profundo.</w:t>
            </w:r>
          </w:p>
          <w:p w14:paraId="047E465F" w14:textId="693283CD" w:rsidR="00CC7B3F" w:rsidRPr="00ED5F97" w:rsidRDefault="00CC7B3F" w:rsidP="00CC7B3F">
            <w:pPr>
              <w:spacing w:after="0" w:line="240" w:lineRule="auto"/>
              <w:rPr>
                <w:rFonts w:ascii="Arial" w:eastAsia="Arial" w:hAnsi="Arial" w:cs="Arial"/>
                <w:sz w:val="20"/>
                <w:szCs w:val="20"/>
                <w:lang w:val="es-ES"/>
              </w:rPr>
            </w:pPr>
          </w:p>
        </w:tc>
        <w:tc>
          <w:tcPr>
            <w:tcW w:w="4320" w:type="dxa"/>
            <w:tcBorders>
              <w:bottom w:val="nil"/>
              <w:right w:val="single" w:sz="4" w:space="0" w:color="auto"/>
            </w:tcBorders>
            <w:shd w:val="clear" w:color="auto" w:fill="auto"/>
          </w:tcPr>
          <w:p w14:paraId="7B5E56CB" w14:textId="77777777" w:rsidR="00CC7B3F" w:rsidRPr="00ED5F97" w:rsidRDefault="00CC7B3F" w:rsidP="797FBB80">
            <w:pPr>
              <w:pStyle w:val="ListParagraph"/>
              <w:numPr>
                <w:ilvl w:val="0"/>
                <w:numId w:val="19"/>
              </w:numPr>
              <w:tabs>
                <w:tab w:val="left" w:pos="252"/>
              </w:tabs>
              <w:spacing w:after="0" w:line="240" w:lineRule="auto"/>
              <w:ind w:left="252" w:hanging="252"/>
              <w:rPr>
                <w:rFonts w:ascii="Arial" w:eastAsia="Arial,Times New Roman" w:hAnsi="Arial" w:cs="Arial"/>
                <w:sz w:val="20"/>
                <w:szCs w:val="20"/>
                <w:lang w:val="es-ES"/>
              </w:rPr>
            </w:pPr>
            <w:r w:rsidRPr="00ED5F97">
              <w:rPr>
                <w:rFonts w:ascii="Arial" w:eastAsia="Arial" w:hAnsi="Arial" w:cs="Arial"/>
                <w:sz w:val="20"/>
                <w:szCs w:val="20"/>
                <w:lang w:val="es-ES"/>
              </w:rPr>
              <w:t>Se han adoptado medidas orientadas a profundizar el desarrollo del sistema financiero, incluidas como mínimo las siguientes:</w:t>
            </w:r>
          </w:p>
        </w:tc>
        <w:tc>
          <w:tcPr>
            <w:tcW w:w="3240" w:type="dxa"/>
            <w:tcBorders>
              <w:top w:val="single" w:sz="4" w:space="0" w:color="auto"/>
              <w:left w:val="single" w:sz="4" w:space="0" w:color="auto"/>
              <w:bottom w:val="nil"/>
              <w:right w:val="single" w:sz="4" w:space="0" w:color="auto"/>
            </w:tcBorders>
            <w:shd w:val="clear" w:color="auto" w:fill="auto"/>
          </w:tcPr>
          <w:p w14:paraId="6D3490FF" w14:textId="77777777" w:rsidR="00CC7B3F" w:rsidRPr="00ED5F97" w:rsidRDefault="00CC7B3F" w:rsidP="00B46930">
            <w:pPr>
              <w:spacing w:after="0" w:line="240" w:lineRule="auto"/>
              <w:rPr>
                <w:rFonts w:ascii="Arial" w:hAnsi="Arial" w:cs="Arial"/>
                <w:sz w:val="20"/>
                <w:szCs w:val="20"/>
                <w:lang w:val="es-ES_tradnl"/>
              </w:rPr>
            </w:pPr>
          </w:p>
        </w:tc>
        <w:tc>
          <w:tcPr>
            <w:tcW w:w="2143" w:type="dxa"/>
            <w:tcBorders>
              <w:top w:val="single" w:sz="4" w:space="0" w:color="auto"/>
              <w:left w:val="single" w:sz="4" w:space="0" w:color="auto"/>
              <w:bottom w:val="nil"/>
              <w:right w:val="single" w:sz="4" w:space="0" w:color="auto"/>
            </w:tcBorders>
          </w:tcPr>
          <w:p w14:paraId="14AB6C2B" w14:textId="77777777" w:rsidR="00CC7B3F" w:rsidRPr="00ED5F97" w:rsidRDefault="00CC7B3F" w:rsidP="005208BB">
            <w:pPr>
              <w:spacing w:after="0" w:line="240" w:lineRule="auto"/>
              <w:rPr>
                <w:rFonts w:ascii="Arial" w:hAnsi="Arial" w:cs="Arial"/>
                <w:sz w:val="20"/>
                <w:szCs w:val="20"/>
                <w:lang w:val="es-ES_tradnl"/>
              </w:rPr>
            </w:pPr>
          </w:p>
        </w:tc>
      </w:tr>
      <w:tr w:rsidR="00CC7B3F" w:rsidRPr="00125C44" w14:paraId="0F5FEF2A" w14:textId="77777777" w:rsidTr="797FBB80">
        <w:trPr>
          <w:jc w:val="center"/>
        </w:trPr>
        <w:tc>
          <w:tcPr>
            <w:tcW w:w="3223" w:type="dxa"/>
            <w:vMerge/>
            <w:shd w:val="clear" w:color="auto" w:fill="auto"/>
          </w:tcPr>
          <w:p w14:paraId="268EC57B" w14:textId="77777777" w:rsidR="00CC7B3F" w:rsidRPr="00ED5F97" w:rsidRDefault="00CC7B3F" w:rsidP="00CC7B3F">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4E3AB781" w14:textId="1EB40A2D" w:rsidR="00CC7B3F" w:rsidRPr="00ED5F97" w:rsidRDefault="00CC7B3F"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Times New Roman" w:hAnsi="Arial" w:cs="Arial"/>
                <w:sz w:val="20"/>
                <w:szCs w:val="20"/>
                <w:lang w:val="es-ES"/>
              </w:rPr>
              <w:t>El Decreto que modifica las disposiciones en lo relacionado con el régimen general de la inversión de capitales del exterior en Colombia y de las inversiones colombianas en el exterior ha sido emitido por el Gobierno Nacional (MHCP).</w:t>
            </w:r>
          </w:p>
        </w:tc>
        <w:tc>
          <w:tcPr>
            <w:tcW w:w="3240" w:type="dxa"/>
            <w:tcBorders>
              <w:top w:val="nil"/>
              <w:left w:val="single" w:sz="4" w:space="0" w:color="auto"/>
              <w:bottom w:val="nil"/>
              <w:right w:val="single" w:sz="4" w:space="0" w:color="auto"/>
            </w:tcBorders>
            <w:shd w:val="clear" w:color="auto" w:fill="auto"/>
          </w:tcPr>
          <w:p w14:paraId="3D9EB611" w14:textId="0E7A9395" w:rsidR="00CC7B3F" w:rsidRPr="00ED5F97" w:rsidRDefault="00CC7B3F"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Decreto 119 del 26 de enero de 2017.</w:t>
            </w:r>
          </w:p>
        </w:tc>
        <w:tc>
          <w:tcPr>
            <w:tcW w:w="2143" w:type="dxa"/>
            <w:tcBorders>
              <w:top w:val="nil"/>
              <w:left w:val="single" w:sz="4" w:space="0" w:color="auto"/>
              <w:bottom w:val="nil"/>
              <w:right w:val="single" w:sz="4" w:space="0" w:color="auto"/>
            </w:tcBorders>
          </w:tcPr>
          <w:p w14:paraId="0CBB7ABA" w14:textId="77777777" w:rsidR="00CC7B3F" w:rsidRPr="00ED5F97" w:rsidRDefault="00CC7B3F"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Ministerio de Hacienda y Crédito Público</w:t>
            </w:r>
          </w:p>
        </w:tc>
      </w:tr>
      <w:tr w:rsidR="00CC7B3F" w:rsidRPr="00125C44" w14:paraId="6D6FF95A" w14:textId="77777777" w:rsidTr="797FBB80">
        <w:trPr>
          <w:jc w:val="center"/>
        </w:trPr>
        <w:tc>
          <w:tcPr>
            <w:tcW w:w="3223" w:type="dxa"/>
            <w:vMerge/>
            <w:shd w:val="clear" w:color="auto" w:fill="auto"/>
          </w:tcPr>
          <w:p w14:paraId="6E66DD92" w14:textId="77777777" w:rsidR="00CC7B3F" w:rsidRPr="00ED5F97" w:rsidRDefault="00CC7B3F" w:rsidP="00CC7B3F">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7B4F1688" w14:textId="77777777" w:rsidR="00CC7B3F" w:rsidRPr="00ED5F97" w:rsidRDefault="00CC7B3F"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 w:hAnsi="Arial" w:cs="Arial"/>
                <w:sz w:val="20"/>
                <w:szCs w:val="20"/>
                <w:lang w:val="es-ES"/>
              </w:rPr>
              <w:t>El Decreto que modifica las disposiciones en relación con las excepciones a la definición de oferta pública de valores y la reapertura de emisiones de bonos ha sido emitido por el Gobierno Nacional (MHCP).</w:t>
            </w:r>
          </w:p>
        </w:tc>
        <w:tc>
          <w:tcPr>
            <w:tcW w:w="3240" w:type="dxa"/>
            <w:tcBorders>
              <w:top w:val="nil"/>
              <w:left w:val="single" w:sz="4" w:space="0" w:color="auto"/>
              <w:bottom w:val="nil"/>
              <w:right w:val="single" w:sz="4" w:space="0" w:color="auto"/>
            </w:tcBorders>
            <w:shd w:val="clear" w:color="auto" w:fill="auto"/>
          </w:tcPr>
          <w:p w14:paraId="24206036" w14:textId="77777777" w:rsidR="00CC7B3F" w:rsidRPr="00ED5F97" w:rsidRDefault="00CC7B3F"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Decreto 767 del 6 de mayo 2016.</w:t>
            </w:r>
          </w:p>
        </w:tc>
        <w:tc>
          <w:tcPr>
            <w:tcW w:w="2143" w:type="dxa"/>
            <w:tcBorders>
              <w:top w:val="nil"/>
              <w:left w:val="single" w:sz="4" w:space="0" w:color="auto"/>
              <w:bottom w:val="nil"/>
              <w:right w:val="single" w:sz="4" w:space="0" w:color="auto"/>
            </w:tcBorders>
          </w:tcPr>
          <w:p w14:paraId="0917B463" w14:textId="77777777" w:rsidR="00CC7B3F" w:rsidRPr="00ED5F97" w:rsidRDefault="00CC7B3F"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r w:rsidR="00CC7B3F" w:rsidRPr="00125C44" w14:paraId="5D3E0AD5" w14:textId="77777777" w:rsidTr="797FBB80">
        <w:trPr>
          <w:jc w:val="center"/>
        </w:trPr>
        <w:tc>
          <w:tcPr>
            <w:tcW w:w="3223" w:type="dxa"/>
            <w:vMerge/>
            <w:shd w:val="clear" w:color="auto" w:fill="auto"/>
          </w:tcPr>
          <w:p w14:paraId="7BBDE528" w14:textId="77777777" w:rsidR="00CC7B3F" w:rsidRPr="00ED5F97" w:rsidRDefault="00CC7B3F" w:rsidP="00CC7B3F">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3F0D2C4A" w14:textId="77777777" w:rsidR="00CC7B3F" w:rsidRPr="00ED5F97" w:rsidRDefault="00CC7B3F"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 w:hAnsi="Arial" w:cs="Arial"/>
                <w:sz w:val="20"/>
                <w:szCs w:val="20"/>
                <w:lang w:val="es-ES"/>
              </w:rPr>
              <w:t>El Proyecto de Ley por el cual se dictan normas para fortalecer la regulación y supervisión de los conglomerados financieros y los mecanismos de resolución de las entidades financieras ha sido presentado al Congreso de la República para su revisión y aprobación.</w:t>
            </w:r>
          </w:p>
        </w:tc>
        <w:tc>
          <w:tcPr>
            <w:tcW w:w="3240" w:type="dxa"/>
            <w:tcBorders>
              <w:top w:val="nil"/>
              <w:left w:val="single" w:sz="4" w:space="0" w:color="auto"/>
              <w:bottom w:val="nil"/>
              <w:right w:val="single" w:sz="4" w:space="0" w:color="auto"/>
            </w:tcBorders>
            <w:shd w:val="clear" w:color="auto" w:fill="auto"/>
          </w:tcPr>
          <w:p w14:paraId="7768D6FD" w14:textId="77777777" w:rsidR="00CC7B3F" w:rsidRPr="00ED5F97" w:rsidRDefault="00CC7B3F"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Proyecto de Ley número 119 presentado al Congreso el 23 de agosto 2016.</w:t>
            </w:r>
          </w:p>
        </w:tc>
        <w:tc>
          <w:tcPr>
            <w:tcW w:w="2143" w:type="dxa"/>
            <w:tcBorders>
              <w:top w:val="nil"/>
              <w:left w:val="single" w:sz="4" w:space="0" w:color="auto"/>
              <w:bottom w:val="nil"/>
              <w:right w:val="single" w:sz="4" w:space="0" w:color="auto"/>
            </w:tcBorders>
          </w:tcPr>
          <w:p w14:paraId="0C0CAC63" w14:textId="7BF72F3E" w:rsidR="00CC7B3F" w:rsidRPr="00ED5F97" w:rsidRDefault="001601FD" w:rsidP="797FBB80">
            <w:pPr>
              <w:spacing w:after="0" w:line="240" w:lineRule="auto"/>
              <w:rPr>
                <w:rFonts w:ascii="Arial" w:eastAsia="Arial" w:hAnsi="Arial" w:cs="Arial"/>
                <w:sz w:val="20"/>
                <w:szCs w:val="20"/>
                <w:lang w:val="es-ES"/>
              </w:rPr>
            </w:pPr>
            <w:r>
              <w:rPr>
                <w:rFonts w:ascii="Arial" w:eastAsia="Arial" w:hAnsi="Arial" w:cs="Arial"/>
                <w:sz w:val="20"/>
                <w:szCs w:val="20"/>
                <w:lang w:val="es-ES"/>
              </w:rPr>
              <w:t xml:space="preserve">Ministerio de Hacienda y </w:t>
            </w:r>
            <w:r w:rsidR="003110ED">
              <w:rPr>
                <w:rFonts w:ascii="Arial" w:eastAsia="Arial" w:hAnsi="Arial" w:cs="Arial"/>
                <w:sz w:val="20"/>
                <w:szCs w:val="20"/>
                <w:lang w:val="es-ES"/>
              </w:rPr>
              <w:t>Crédito</w:t>
            </w:r>
            <w:r>
              <w:rPr>
                <w:rFonts w:ascii="Arial" w:eastAsia="Arial" w:hAnsi="Arial" w:cs="Arial"/>
                <w:sz w:val="20"/>
                <w:szCs w:val="20"/>
                <w:lang w:val="es-ES"/>
              </w:rPr>
              <w:t xml:space="preserve"> Publico</w:t>
            </w:r>
          </w:p>
        </w:tc>
      </w:tr>
      <w:tr w:rsidR="00CC7B3F" w:rsidRPr="00125C44" w14:paraId="7C56CBE1" w14:textId="77777777" w:rsidTr="00CC7B3F">
        <w:trPr>
          <w:jc w:val="center"/>
        </w:trPr>
        <w:tc>
          <w:tcPr>
            <w:tcW w:w="3223" w:type="dxa"/>
            <w:vMerge/>
            <w:shd w:val="clear" w:color="auto" w:fill="auto"/>
          </w:tcPr>
          <w:p w14:paraId="3032886A" w14:textId="77777777" w:rsidR="00CC7B3F" w:rsidRPr="00ED5F97" w:rsidRDefault="00CC7B3F" w:rsidP="00CC7B3F">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1DA807BA" w14:textId="3210F47A" w:rsidR="00CC7B3F" w:rsidRPr="00ED5F97" w:rsidRDefault="00CC7B3F" w:rsidP="797FBB80">
            <w:pPr>
              <w:pStyle w:val="ListParagraph"/>
              <w:numPr>
                <w:ilvl w:val="0"/>
                <w:numId w:val="12"/>
              </w:numPr>
              <w:spacing w:after="0" w:line="240" w:lineRule="auto"/>
              <w:ind w:left="162" w:hanging="162"/>
              <w:rPr>
                <w:rFonts w:ascii="Arial" w:eastAsia="Arial" w:hAnsi="Arial" w:cs="Arial"/>
                <w:sz w:val="20"/>
                <w:szCs w:val="20"/>
                <w:lang w:val="es-ES"/>
              </w:rPr>
            </w:pPr>
            <w:r w:rsidRPr="00ED5F97">
              <w:rPr>
                <w:rFonts w:ascii="Arial" w:eastAsia="Arial" w:hAnsi="Arial" w:cs="Arial"/>
                <w:sz w:val="20"/>
                <w:szCs w:val="20"/>
                <w:lang w:val="es-ES"/>
              </w:rPr>
              <w:t>El Decreto que modifica las disposiciones sobre el nombramiento y remoción del Superintendente Financiero ha sido emitido por el Gobierno Nacional (Departamento Administrativo de la Función Pública).</w:t>
            </w:r>
          </w:p>
        </w:tc>
        <w:tc>
          <w:tcPr>
            <w:tcW w:w="3240" w:type="dxa"/>
            <w:tcBorders>
              <w:top w:val="nil"/>
              <w:left w:val="single" w:sz="4" w:space="0" w:color="auto"/>
              <w:bottom w:val="nil"/>
              <w:right w:val="single" w:sz="4" w:space="0" w:color="auto"/>
            </w:tcBorders>
            <w:shd w:val="clear" w:color="auto" w:fill="auto"/>
          </w:tcPr>
          <w:p w14:paraId="523D2D68" w14:textId="5BA75291" w:rsidR="00CC7B3F" w:rsidRPr="00ED5F97" w:rsidRDefault="00CC7B3F"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Decreto 1817 del 15 de se</w:t>
            </w:r>
            <w:r w:rsidR="006F034D">
              <w:rPr>
                <w:rFonts w:ascii="Arial" w:eastAsia="Arial,Times New Roman" w:hAnsi="Arial" w:cs="Arial"/>
                <w:sz w:val="20"/>
                <w:szCs w:val="20"/>
                <w:lang w:val="es-ES"/>
              </w:rPr>
              <w:t>p</w:t>
            </w:r>
            <w:r w:rsidRPr="00ED5F97">
              <w:rPr>
                <w:rFonts w:ascii="Arial" w:eastAsia="Arial,Times New Roman" w:hAnsi="Arial" w:cs="Arial"/>
                <w:sz w:val="20"/>
                <w:szCs w:val="20"/>
                <w:lang w:val="es-ES"/>
              </w:rPr>
              <w:t>tiembre 2015.</w:t>
            </w:r>
          </w:p>
        </w:tc>
        <w:tc>
          <w:tcPr>
            <w:tcW w:w="2143" w:type="dxa"/>
            <w:tcBorders>
              <w:top w:val="nil"/>
              <w:left w:val="single" w:sz="4" w:space="0" w:color="auto"/>
              <w:bottom w:val="nil"/>
              <w:right w:val="single" w:sz="4" w:space="0" w:color="auto"/>
            </w:tcBorders>
          </w:tcPr>
          <w:p w14:paraId="1003C986" w14:textId="77777777" w:rsidR="00CC7B3F" w:rsidRPr="00ED5F97" w:rsidRDefault="00CC7B3F"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Departamento Administrativo de la Función Pública</w:t>
            </w:r>
          </w:p>
        </w:tc>
      </w:tr>
      <w:tr w:rsidR="00CC7B3F" w:rsidRPr="00125C44" w14:paraId="061321D5" w14:textId="77777777" w:rsidTr="00CC7B3F">
        <w:trPr>
          <w:jc w:val="center"/>
        </w:trPr>
        <w:tc>
          <w:tcPr>
            <w:tcW w:w="3223" w:type="dxa"/>
            <w:vMerge/>
            <w:shd w:val="clear" w:color="auto" w:fill="auto"/>
          </w:tcPr>
          <w:p w14:paraId="28D86B67" w14:textId="77777777" w:rsidR="00CC7B3F" w:rsidRPr="00ED5F97" w:rsidRDefault="00CC7B3F" w:rsidP="00CC7B3F">
            <w:pPr>
              <w:spacing w:after="0" w:line="240" w:lineRule="auto"/>
              <w:rPr>
                <w:rFonts w:ascii="Arial" w:hAnsi="Arial" w:cs="Arial"/>
                <w:b/>
                <w:sz w:val="20"/>
                <w:szCs w:val="20"/>
                <w:lang w:val="es-ES_tradnl"/>
              </w:rPr>
            </w:pPr>
          </w:p>
        </w:tc>
        <w:tc>
          <w:tcPr>
            <w:tcW w:w="4320" w:type="dxa"/>
            <w:tcBorders>
              <w:top w:val="nil"/>
              <w:bottom w:val="single" w:sz="4" w:space="0" w:color="auto"/>
              <w:right w:val="single" w:sz="4" w:space="0" w:color="auto"/>
            </w:tcBorders>
            <w:shd w:val="clear" w:color="auto" w:fill="auto"/>
          </w:tcPr>
          <w:p w14:paraId="1A0EF0D4" w14:textId="77777777" w:rsidR="00CC7B3F" w:rsidRDefault="00CC7B3F"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 w:hAnsi="Arial" w:cs="Arial"/>
                <w:sz w:val="20"/>
                <w:szCs w:val="20"/>
                <w:lang w:val="es-ES"/>
              </w:rPr>
              <w:t>El Decreto que modifica las disposiciones en lo relacionado con el proceso de liquidación forzosa administrativa y el pago del seguro de depósitos de Fogafín ha sido emitido por el Gobierno Nacional (MHCP).</w:t>
            </w:r>
          </w:p>
          <w:p w14:paraId="119D2138" w14:textId="4FE18743" w:rsidR="00CC7B3F" w:rsidRPr="00ED5F97" w:rsidRDefault="00CC7B3F" w:rsidP="00CC7B3F">
            <w:pPr>
              <w:pStyle w:val="ListParagraph"/>
              <w:spacing w:after="0" w:line="240" w:lineRule="auto"/>
              <w:ind w:left="162"/>
              <w:rPr>
                <w:rFonts w:ascii="Arial" w:eastAsia="Arial" w:hAnsi="Arial" w:cs="Arial"/>
                <w:sz w:val="20"/>
                <w:szCs w:val="20"/>
                <w:lang w:val="es-ES"/>
              </w:rPr>
            </w:pPr>
          </w:p>
        </w:tc>
        <w:tc>
          <w:tcPr>
            <w:tcW w:w="3240" w:type="dxa"/>
            <w:tcBorders>
              <w:top w:val="nil"/>
              <w:left w:val="single" w:sz="4" w:space="0" w:color="auto"/>
              <w:bottom w:val="single" w:sz="4" w:space="0" w:color="auto"/>
              <w:right w:val="single" w:sz="4" w:space="0" w:color="auto"/>
            </w:tcBorders>
            <w:shd w:val="clear" w:color="auto" w:fill="auto"/>
          </w:tcPr>
          <w:p w14:paraId="541009CE" w14:textId="00F3E407" w:rsidR="00CC7B3F" w:rsidRPr="00ED5F97" w:rsidRDefault="00CC7B3F"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Decreto 1535 del 29 de se</w:t>
            </w:r>
            <w:r w:rsidR="00411F25">
              <w:rPr>
                <w:rFonts w:ascii="Arial" w:eastAsia="Arial,Times New Roman" w:hAnsi="Arial" w:cs="Arial"/>
                <w:sz w:val="20"/>
                <w:szCs w:val="20"/>
                <w:lang w:val="es-ES"/>
              </w:rPr>
              <w:t>p</w:t>
            </w:r>
            <w:r w:rsidRPr="00ED5F97">
              <w:rPr>
                <w:rFonts w:ascii="Arial" w:eastAsia="Arial,Times New Roman" w:hAnsi="Arial" w:cs="Arial"/>
                <w:sz w:val="20"/>
                <w:szCs w:val="20"/>
                <w:lang w:val="es-ES"/>
              </w:rPr>
              <w:t>tiembre 2016.</w:t>
            </w:r>
          </w:p>
        </w:tc>
        <w:tc>
          <w:tcPr>
            <w:tcW w:w="2143" w:type="dxa"/>
            <w:tcBorders>
              <w:top w:val="nil"/>
              <w:left w:val="single" w:sz="4" w:space="0" w:color="auto"/>
              <w:bottom w:val="single" w:sz="4" w:space="0" w:color="auto"/>
              <w:right w:val="single" w:sz="4" w:space="0" w:color="auto"/>
            </w:tcBorders>
          </w:tcPr>
          <w:p w14:paraId="065500FA" w14:textId="77777777" w:rsidR="00CC7B3F" w:rsidRPr="00ED5F97" w:rsidRDefault="00CC7B3F"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r w:rsidR="00CC7B3F" w:rsidRPr="00125C44" w14:paraId="26AE64F0" w14:textId="77777777" w:rsidTr="00CC7B3F">
        <w:trPr>
          <w:jc w:val="center"/>
        </w:trPr>
        <w:tc>
          <w:tcPr>
            <w:tcW w:w="3223" w:type="dxa"/>
            <w:vMerge/>
            <w:shd w:val="clear" w:color="auto" w:fill="auto"/>
          </w:tcPr>
          <w:p w14:paraId="2705A5E6" w14:textId="77777777" w:rsidR="00CC7B3F" w:rsidRPr="00ED5F97" w:rsidRDefault="00CC7B3F" w:rsidP="00CC7B3F">
            <w:pPr>
              <w:spacing w:after="0" w:line="240" w:lineRule="auto"/>
              <w:rPr>
                <w:rFonts w:ascii="Arial" w:hAnsi="Arial" w:cs="Arial"/>
                <w:b/>
                <w:sz w:val="20"/>
                <w:szCs w:val="20"/>
                <w:lang w:val="es-ES_tradnl"/>
              </w:rPr>
            </w:pPr>
          </w:p>
        </w:tc>
        <w:tc>
          <w:tcPr>
            <w:tcW w:w="4320" w:type="dxa"/>
            <w:tcBorders>
              <w:top w:val="single" w:sz="4" w:space="0" w:color="auto"/>
              <w:bottom w:val="nil"/>
              <w:right w:val="single" w:sz="4" w:space="0" w:color="auto"/>
            </w:tcBorders>
            <w:shd w:val="clear" w:color="auto" w:fill="auto"/>
          </w:tcPr>
          <w:p w14:paraId="1EBA20E7" w14:textId="6F592061" w:rsidR="00CC7B3F" w:rsidRPr="00ED5F97" w:rsidRDefault="00CC7B3F" w:rsidP="00656F22">
            <w:pPr>
              <w:pStyle w:val="Default"/>
              <w:rPr>
                <w:rFonts w:eastAsia="Arial"/>
                <w:sz w:val="20"/>
                <w:szCs w:val="20"/>
                <w:lang w:val="es-ES"/>
              </w:rPr>
            </w:pPr>
            <w:r w:rsidRPr="001A5250">
              <w:rPr>
                <w:rFonts w:eastAsia="Arial"/>
                <w:sz w:val="20"/>
                <w:szCs w:val="20"/>
                <w:lang w:val="es-ES"/>
              </w:rPr>
              <w:t xml:space="preserve">El </w:t>
            </w:r>
            <w:r w:rsidR="006F0D9B" w:rsidRPr="001A5250">
              <w:rPr>
                <w:rFonts w:eastAsia="Arial"/>
                <w:sz w:val="20"/>
                <w:szCs w:val="20"/>
                <w:lang w:val="es-ES"/>
              </w:rPr>
              <w:t xml:space="preserve">proyecto de </w:t>
            </w:r>
            <w:proofErr w:type="gramStart"/>
            <w:r w:rsidR="006F0D9B" w:rsidRPr="001A5250">
              <w:rPr>
                <w:rFonts w:eastAsia="Arial"/>
                <w:sz w:val="20"/>
                <w:szCs w:val="20"/>
                <w:lang w:val="es-ES"/>
              </w:rPr>
              <w:t xml:space="preserve">decreto </w:t>
            </w:r>
            <w:r w:rsidR="006F0D9B" w:rsidRPr="00DB5CC6">
              <w:rPr>
                <w:rFonts w:eastAsia="Arial"/>
                <w:sz w:val="20"/>
                <w:szCs w:val="20"/>
                <w:lang w:val="es-ES"/>
              </w:rPr>
              <w:t xml:space="preserve"> relacionado</w:t>
            </w:r>
            <w:proofErr w:type="gramEnd"/>
            <w:r w:rsidR="006F0D9B" w:rsidRPr="00DB5CC6">
              <w:rPr>
                <w:rFonts w:eastAsia="Arial"/>
                <w:sz w:val="20"/>
                <w:szCs w:val="20"/>
                <w:lang w:val="es-ES"/>
              </w:rPr>
              <w:t xml:space="preserve"> c</w:t>
            </w:r>
            <w:r w:rsidR="006F0D9B" w:rsidRPr="00656F22">
              <w:rPr>
                <w:sz w:val="20"/>
                <w:szCs w:val="20"/>
                <w:lang w:val="es-ES_tradnl"/>
              </w:rPr>
              <w:t>on el patrimonio adecuado de las sociedades fiduciarias, las sociedades administradoras de fondos de pensiones y de cesantías, las sociedades comisionistas de bolsa y las sociedades administradoras de inversión ha sido publicado para comentarios</w:t>
            </w:r>
            <w:r w:rsidR="00B606D3">
              <w:rPr>
                <w:sz w:val="20"/>
                <w:szCs w:val="20"/>
                <w:lang w:val="es-ES_tradnl"/>
              </w:rPr>
              <w:t xml:space="preserve"> por el Ministerio de Hacienda y Crédito P</w:t>
            </w:r>
            <w:r w:rsidR="000C5BD7">
              <w:rPr>
                <w:sz w:val="20"/>
                <w:szCs w:val="20"/>
                <w:lang w:val="es-ES_tradnl"/>
              </w:rPr>
              <w:t>ú</w:t>
            </w:r>
            <w:r w:rsidR="00B606D3">
              <w:rPr>
                <w:sz w:val="20"/>
                <w:szCs w:val="20"/>
                <w:lang w:val="es-ES_tradnl"/>
              </w:rPr>
              <w:t>blico.</w:t>
            </w:r>
          </w:p>
        </w:tc>
        <w:tc>
          <w:tcPr>
            <w:tcW w:w="3240" w:type="dxa"/>
            <w:tcBorders>
              <w:top w:val="single" w:sz="4" w:space="0" w:color="auto"/>
              <w:left w:val="single" w:sz="4" w:space="0" w:color="auto"/>
              <w:bottom w:val="nil"/>
              <w:right w:val="single" w:sz="4" w:space="0" w:color="auto"/>
            </w:tcBorders>
            <w:shd w:val="clear" w:color="auto" w:fill="auto"/>
          </w:tcPr>
          <w:p w14:paraId="658D082C" w14:textId="2353CE48" w:rsidR="00CC7B3F" w:rsidRPr="00ED5F97" w:rsidRDefault="00CE6E75" w:rsidP="797FBB80">
            <w:pPr>
              <w:spacing w:after="0" w:line="240" w:lineRule="auto"/>
              <w:rPr>
                <w:rFonts w:ascii="Arial" w:eastAsia="Arial,Times New Roman" w:hAnsi="Arial" w:cs="Arial"/>
                <w:sz w:val="20"/>
                <w:szCs w:val="20"/>
                <w:lang w:val="es-ES"/>
              </w:rPr>
            </w:pPr>
            <w:r w:rsidRPr="00E115C2">
              <w:rPr>
                <w:rFonts w:ascii="Arial" w:eastAsia="Arial,Times New Roman" w:hAnsi="Arial" w:cs="Arial"/>
                <w:sz w:val="20"/>
                <w:szCs w:val="20"/>
                <w:lang w:val="es-ES"/>
              </w:rPr>
              <w:t xml:space="preserve">Proyecto de </w:t>
            </w:r>
            <w:r w:rsidRPr="00E115C2">
              <w:rPr>
                <w:rFonts w:ascii="Arial" w:eastAsia="Arial" w:hAnsi="Arial" w:cs="Arial"/>
                <w:sz w:val="20"/>
                <w:szCs w:val="20"/>
                <w:lang w:val="es-ES"/>
              </w:rPr>
              <w:t xml:space="preserve">decreto </w:t>
            </w:r>
            <w:r w:rsidRPr="00656F22">
              <w:rPr>
                <w:rFonts w:ascii="Arial" w:eastAsia="Arial" w:hAnsi="Arial" w:cs="Arial"/>
                <w:sz w:val="20"/>
                <w:szCs w:val="20"/>
                <w:lang w:val="es-ES"/>
              </w:rPr>
              <w:t>relacionado c</w:t>
            </w:r>
            <w:r w:rsidRPr="00656F22">
              <w:rPr>
                <w:rFonts w:ascii="Arial" w:hAnsi="Arial" w:cs="Arial"/>
                <w:sz w:val="20"/>
                <w:szCs w:val="20"/>
                <w:lang w:val="es-ES_tradnl"/>
              </w:rPr>
              <w:t>on el patrimonio adecuado de las sociedades fiduciarias, las sociedades administradoras de fondos de pensiones y de cesantías, las sociedades comisionistas de bolsa y las sociedades administradoras de inversión publicado para comentarios el 2 de mayo de 2017</w:t>
            </w:r>
            <w:r w:rsidR="00986F6A">
              <w:rPr>
                <w:rFonts w:ascii="Arial" w:hAnsi="Arial" w:cs="Arial"/>
                <w:sz w:val="20"/>
                <w:szCs w:val="20"/>
                <w:lang w:val="es-ES_tradnl"/>
              </w:rPr>
              <w:t>.</w:t>
            </w:r>
            <w:r w:rsidRPr="00656F22">
              <w:rPr>
                <w:rFonts w:ascii="Times New Roman" w:hAnsi="Times New Roman" w:cs="Times New Roman"/>
                <w:sz w:val="20"/>
                <w:szCs w:val="20"/>
                <w:lang w:val="es-ES_tradnl"/>
              </w:rPr>
              <w:t xml:space="preserve">  </w:t>
            </w:r>
          </w:p>
        </w:tc>
        <w:tc>
          <w:tcPr>
            <w:tcW w:w="2143" w:type="dxa"/>
            <w:tcBorders>
              <w:top w:val="single" w:sz="4" w:space="0" w:color="auto"/>
              <w:left w:val="single" w:sz="4" w:space="0" w:color="auto"/>
              <w:bottom w:val="nil"/>
              <w:right w:val="single" w:sz="4" w:space="0" w:color="auto"/>
            </w:tcBorders>
          </w:tcPr>
          <w:p w14:paraId="6E7F5A0C" w14:textId="77777777" w:rsidR="00CC7B3F" w:rsidRPr="00ED5F97" w:rsidRDefault="00CC7B3F"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r w:rsidR="00CC7B3F" w:rsidRPr="00ED5F97" w14:paraId="23C0E753" w14:textId="77777777" w:rsidTr="00CC7B3F">
        <w:trPr>
          <w:jc w:val="center"/>
        </w:trPr>
        <w:tc>
          <w:tcPr>
            <w:tcW w:w="3223" w:type="dxa"/>
            <w:vMerge/>
            <w:tcBorders>
              <w:right w:val="single" w:sz="4" w:space="0" w:color="auto"/>
            </w:tcBorders>
            <w:shd w:val="clear" w:color="auto" w:fill="auto"/>
          </w:tcPr>
          <w:p w14:paraId="6D49B38A" w14:textId="5DB0F6AE" w:rsidR="00CC7B3F" w:rsidRPr="00CC7B3F" w:rsidRDefault="00CC7B3F" w:rsidP="00CC7B3F">
            <w:pPr>
              <w:spacing w:after="0" w:line="240" w:lineRule="auto"/>
              <w:rPr>
                <w:rFonts w:ascii="Arial" w:eastAsia="Arial" w:hAnsi="Arial" w:cs="Arial"/>
                <w:b/>
                <w:bCs/>
                <w:sz w:val="20"/>
                <w:szCs w:val="20"/>
                <w:lang w:val="es-ES"/>
              </w:rPr>
            </w:pPr>
          </w:p>
        </w:tc>
        <w:tc>
          <w:tcPr>
            <w:tcW w:w="4320" w:type="dxa"/>
            <w:tcBorders>
              <w:top w:val="nil"/>
              <w:left w:val="single" w:sz="4" w:space="0" w:color="auto"/>
              <w:bottom w:val="nil"/>
              <w:right w:val="single" w:sz="4" w:space="0" w:color="auto"/>
            </w:tcBorders>
            <w:shd w:val="clear" w:color="auto" w:fill="auto"/>
          </w:tcPr>
          <w:p w14:paraId="3F79A54E" w14:textId="68DEE140" w:rsidR="00CC7B3F" w:rsidRPr="00ED5F97" w:rsidRDefault="00B606D3" w:rsidP="797FBB80">
            <w:pPr>
              <w:pStyle w:val="ListParagraph"/>
              <w:numPr>
                <w:ilvl w:val="0"/>
                <w:numId w:val="12"/>
              </w:numPr>
              <w:spacing w:after="0" w:line="240" w:lineRule="auto"/>
              <w:ind w:left="162" w:hanging="180"/>
              <w:rPr>
                <w:rFonts w:ascii="Arial" w:eastAsia="Arial,Times New Roman" w:hAnsi="Arial" w:cs="Arial"/>
                <w:sz w:val="20"/>
                <w:szCs w:val="20"/>
                <w:lang w:val="es-ES"/>
              </w:rPr>
            </w:pPr>
            <w:r>
              <w:rPr>
                <w:rFonts w:ascii="Arial" w:eastAsia="Arial" w:hAnsi="Arial" w:cs="Arial"/>
                <w:sz w:val="20"/>
                <w:szCs w:val="20"/>
                <w:lang w:val="es-ES"/>
              </w:rPr>
              <w:t xml:space="preserve">La </w:t>
            </w:r>
            <w:r w:rsidR="00FD4D1F">
              <w:rPr>
                <w:rFonts w:ascii="Arial" w:eastAsia="Arial" w:hAnsi="Arial" w:cs="Arial"/>
                <w:sz w:val="20"/>
                <w:szCs w:val="20"/>
                <w:lang w:val="es-ES"/>
              </w:rPr>
              <w:t>Guía de Criterios de Evaluación de Gestión de Rie</w:t>
            </w:r>
            <w:r w:rsidR="00125C44">
              <w:rPr>
                <w:rFonts w:ascii="Arial" w:eastAsia="Arial" w:hAnsi="Arial" w:cs="Arial"/>
                <w:sz w:val="20"/>
                <w:szCs w:val="20"/>
                <w:lang w:val="es-ES"/>
              </w:rPr>
              <w:t>s</w:t>
            </w:r>
            <w:r w:rsidR="00FD4D1F">
              <w:rPr>
                <w:rFonts w:ascii="Arial" w:eastAsia="Arial" w:hAnsi="Arial" w:cs="Arial"/>
                <w:sz w:val="20"/>
                <w:szCs w:val="20"/>
                <w:lang w:val="es-ES"/>
              </w:rPr>
              <w:t xml:space="preserve">gos </w:t>
            </w:r>
            <w:r w:rsidR="004F73D5">
              <w:rPr>
                <w:rFonts w:ascii="Arial" w:eastAsia="Arial" w:hAnsi="Arial" w:cs="Arial"/>
                <w:sz w:val="20"/>
                <w:szCs w:val="20"/>
                <w:lang w:val="es-ES"/>
              </w:rPr>
              <w:t xml:space="preserve">ha sido </w:t>
            </w:r>
            <w:r w:rsidR="00CC7B3F" w:rsidRPr="00ED5F97">
              <w:rPr>
                <w:rFonts w:ascii="Arial" w:eastAsia="Arial" w:hAnsi="Arial" w:cs="Arial"/>
                <w:sz w:val="20"/>
                <w:szCs w:val="20"/>
                <w:lang w:val="es-ES"/>
              </w:rPr>
              <w:t>emitid</w:t>
            </w:r>
            <w:r w:rsidR="004F73D5">
              <w:rPr>
                <w:rFonts w:ascii="Arial" w:eastAsia="Arial" w:hAnsi="Arial" w:cs="Arial"/>
                <w:sz w:val="20"/>
                <w:szCs w:val="20"/>
                <w:lang w:val="es-ES"/>
              </w:rPr>
              <w:t>a</w:t>
            </w:r>
            <w:r w:rsidR="00CC7B3F" w:rsidRPr="00ED5F97">
              <w:rPr>
                <w:rFonts w:ascii="Arial" w:eastAsia="Arial" w:hAnsi="Arial" w:cs="Arial"/>
                <w:sz w:val="20"/>
                <w:szCs w:val="20"/>
                <w:lang w:val="es-ES"/>
              </w:rPr>
              <w:t xml:space="preserve"> por la Superintendencia Financiera.</w:t>
            </w:r>
          </w:p>
        </w:tc>
        <w:tc>
          <w:tcPr>
            <w:tcW w:w="3240" w:type="dxa"/>
            <w:tcBorders>
              <w:top w:val="nil"/>
              <w:left w:val="single" w:sz="4" w:space="0" w:color="auto"/>
              <w:bottom w:val="nil"/>
              <w:right w:val="single" w:sz="4" w:space="0" w:color="auto"/>
            </w:tcBorders>
            <w:shd w:val="clear" w:color="auto" w:fill="auto"/>
          </w:tcPr>
          <w:p w14:paraId="38C76898" w14:textId="255AEADB" w:rsidR="00CC7B3F" w:rsidRPr="00ED5F97" w:rsidRDefault="004F73D5" w:rsidP="797FBB80">
            <w:pPr>
              <w:spacing w:after="0" w:line="240" w:lineRule="auto"/>
              <w:rPr>
                <w:rFonts w:ascii="Arial" w:eastAsia="Arial,Times New Roman" w:hAnsi="Arial" w:cs="Arial"/>
                <w:sz w:val="20"/>
                <w:szCs w:val="20"/>
                <w:lang w:val="es-ES"/>
              </w:rPr>
            </w:pPr>
            <w:r>
              <w:rPr>
                <w:rFonts w:ascii="Arial" w:eastAsia="Arial,Times New Roman" w:hAnsi="Arial" w:cs="Arial"/>
                <w:sz w:val="20"/>
                <w:szCs w:val="20"/>
                <w:lang w:val="es-ES"/>
              </w:rPr>
              <w:t xml:space="preserve">Guía de Criterios de </w:t>
            </w:r>
            <w:r w:rsidR="00CD2996">
              <w:rPr>
                <w:rFonts w:ascii="Arial" w:eastAsia="Arial,Times New Roman" w:hAnsi="Arial" w:cs="Arial"/>
                <w:sz w:val="20"/>
                <w:szCs w:val="20"/>
                <w:lang w:val="es-ES"/>
              </w:rPr>
              <w:t>Evaluación</w:t>
            </w:r>
            <w:r>
              <w:rPr>
                <w:rFonts w:ascii="Arial" w:eastAsia="Arial,Times New Roman" w:hAnsi="Arial" w:cs="Arial"/>
                <w:sz w:val="20"/>
                <w:szCs w:val="20"/>
                <w:lang w:val="es-ES"/>
              </w:rPr>
              <w:t xml:space="preserve"> de Gestión de Riesgos</w:t>
            </w:r>
            <w:r w:rsidR="00CC7B3F" w:rsidRPr="00ED5F97">
              <w:rPr>
                <w:rFonts w:ascii="Arial" w:eastAsia="Arial,Times New Roman" w:hAnsi="Arial" w:cs="Arial"/>
                <w:sz w:val="20"/>
                <w:szCs w:val="20"/>
                <w:lang w:val="es-ES"/>
              </w:rPr>
              <w:t xml:space="preserve"> emitid</w:t>
            </w:r>
            <w:r>
              <w:rPr>
                <w:rFonts w:ascii="Arial" w:eastAsia="Arial,Times New Roman" w:hAnsi="Arial" w:cs="Arial"/>
                <w:sz w:val="20"/>
                <w:szCs w:val="20"/>
                <w:lang w:val="es-ES"/>
              </w:rPr>
              <w:t>a</w:t>
            </w:r>
            <w:r w:rsidR="00CC7B3F" w:rsidRPr="00ED5F97">
              <w:rPr>
                <w:rFonts w:ascii="Arial" w:eastAsia="Arial,Times New Roman" w:hAnsi="Arial" w:cs="Arial"/>
                <w:sz w:val="20"/>
                <w:szCs w:val="20"/>
                <w:lang w:val="es-ES"/>
              </w:rPr>
              <w:t xml:space="preserve"> por la Superintendencia Financiera.</w:t>
            </w:r>
          </w:p>
        </w:tc>
        <w:tc>
          <w:tcPr>
            <w:tcW w:w="2143" w:type="dxa"/>
            <w:tcBorders>
              <w:top w:val="nil"/>
              <w:left w:val="single" w:sz="4" w:space="0" w:color="auto"/>
              <w:bottom w:val="nil"/>
              <w:right w:val="single" w:sz="4" w:space="0" w:color="auto"/>
            </w:tcBorders>
          </w:tcPr>
          <w:p w14:paraId="55045F17" w14:textId="100D5DFD" w:rsidR="00CC7B3F" w:rsidRPr="00ED5F97" w:rsidRDefault="00CC7B3F"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Superintendencia Financiera</w:t>
            </w:r>
          </w:p>
        </w:tc>
      </w:tr>
      <w:tr w:rsidR="00CC7B3F" w:rsidRPr="00125C44" w14:paraId="25A0A63F" w14:textId="77777777" w:rsidTr="797FBB80">
        <w:trPr>
          <w:jc w:val="center"/>
        </w:trPr>
        <w:tc>
          <w:tcPr>
            <w:tcW w:w="3223" w:type="dxa"/>
            <w:vMerge/>
            <w:shd w:val="clear" w:color="auto" w:fill="auto"/>
          </w:tcPr>
          <w:p w14:paraId="3A771932" w14:textId="77777777" w:rsidR="00CC7B3F" w:rsidRPr="00ED5F97" w:rsidRDefault="00CC7B3F"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060E55EE" w14:textId="77777777" w:rsidR="00CC7B3F" w:rsidRPr="00ED5F97" w:rsidRDefault="00CC7B3F" w:rsidP="797FBB80">
            <w:pPr>
              <w:pStyle w:val="ListParagraph"/>
              <w:numPr>
                <w:ilvl w:val="0"/>
                <w:numId w:val="19"/>
              </w:numPr>
              <w:tabs>
                <w:tab w:val="left" w:pos="252"/>
              </w:tabs>
              <w:spacing w:after="0" w:line="240" w:lineRule="auto"/>
              <w:ind w:left="252" w:hanging="252"/>
              <w:rPr>
                <w:rFonts w:ascii="Arial" w:eastAsia="Arial,Times New Roman" w:hAnsi="Arial" w:cs="Arial"/>
                <w:sz w:val="20"/>
                <w:szCs w:val="20"/>
                <w:lang w:val="es-ES"/>
              </w:rPr>
            </w:pPr>
            <w:r w:rsidRPr="00ED5F97">
              <w:rPr>
                <w:rFonts w:ascii="Arial" w:eastAsia="Arial" w:hAnsi="Arial" w:cs="Arial"/>
                <w:sz w:val="20"/>
                <w:szCs w:val="20"/>
                <w:lang w:val="es-ES"/>
              </w:rPr>
              <w:t>Se han adoptado mecanismos para mejorar la protección a los inversionistas en los mercados de capital, incluidas como mínimo:</w:t>
            </w:r>
          </w:p>
        </w:tc>
        <w:tc>
          <w:tcPr>
            <w:tcW w:w="3240" w:type="dxa"/>
            <w:tcBorders>
              <w:top w:val="nil"/>
              <w:left w:val="single" w:sz="4" w:space="0" w:color="auto"/>
              <w:bottom w:val="nil"/>
              <w:right w:val="single" w:sz="4" w:space="0" w:color="auto"/>
            </w:tcBorders>
            <w:shd w:val="clear" w:color="auto" w:fill="auto"/>
          </w:tcPr>
          <w:p w14:paraId="6F0338DD" w14:textId="77777777" w:rsidR="00CC7B3F" w:rsidRPr="00ED5F97" w:rsidRDefault="00CC7B3F" w:rsidP="00B46930">
            <w:pPr>
              <w:spacing w:after="0" w:line="240" w:lineRule="auto"/>
              <w:rPr>
                <w:rFonts w:ascii="Arial" w:hAnsi="Arial" w:cs="Arial"/>
                <w:sz w:val="20"/>
                <w:szCs w:val="20"/>
                <w:lang w:val="es-ES_tradnl"/>
              </w:rPr>
            </w:pPr>
          </w:p>
        </w:tc>
        <w:tc>
          <w:tcPr>
            <w:tcW w:w="2143" w:type="dxa"/>
            <w:tcBorders>
              <w:top w:val="nil"/>
              <w:left w:val="single" w:sz="4" w:space="0" w:color="auto"/>
              <w:bottom w:val="nil"/>
              <w:right w:val="single" w:sz="4" w:space="0" w:color="auto"/>
            </w:tcBorders>
          </w:tcPr>
          <w:p w14:paraId="69A97955" w14:textId="77777777" w:rsidR="00CC7B3F" w:rsidRPr="00ED5F97" w:rsidRDefault="00CC7B3F" w:rsidP="005208BB">
            <w:pPr>
              <w:spacing w:after="0" w:line="240" w:lineRule="auto"/>
              <w:rPr>
                <w:rFonts w:ascii="Arial" w:hAnsi="Arial" w:cs="Arial"/>
                <w:sz w:val="20"/>
                <w:szCs w:val="20"/>
                <w:lang w:val="es-ES_tradnl"/>
              </w:rPr>
            </w:pPr>
          </w:p>
        </w:tc>
      </w:tr>
      <w:tr w:rsidR="00CC7B3F" w:rsidRPr="00125C44" w14:paraId="6610F33A" w14:textId="77777777" w:rsidTr="797FBB80">
        <w:trPr>
          <w:jc w:val="center"/>
        </w:trPr>
        <w:tc>
          <w:tcPr>
            <w:tcW w:w="3223" w:type="dxa"/>
            <w:vMerge/>
            <w:shd w:val="clear" w:color="auto" w:fill="auto"/>
          </w:tcPr>
          <w:p w14:paraId="1F1675BD" w14:textId="77777777" w:rsidR="00CC7B3F" w:rsidRPr="00ED5F97" w:rsidRDefault="00CC7B3F"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3BAF85A3" w14:textId="77777777" w:rsidR="00CC7B3F" w:rsidRPr="00ED5F97" w:rsidRDefault="00CC7B3F" w:rsidP="797FBB80">
            <w:pPr>
              <w:pStyle w:val="ListParagraph"/>
              <w:numPr>
                <w:ilvl w:val="0"/>
                <w:numId w:val="12"/>
              </w:numPr>
              <w:spacing w:after="0" w:line="240" w:lineRule="auto"/>
              <w:ind w:left="162" w:hanging="180"/>
              <w:rPr>
                <w:rFonts w:ascii="Arial" w:eastAsia="Arial,Times New Roman" w:hAnsi="Arial" w:cs="Arial"/>
                <w:sz w:val="20"/>
                <w:szCs w:val="20"/>
                <w:lang w:val="es-ES"/>
              </w:rPr>
            </w:pPr>
            <w:r w:rsidRPr="00ED5F97">
              <w:rPr>
                <w:rFonts w:ascii="Arial" w:eastAsia="Arial,Times New Roman" w:hAnsi="Arial" w:cs="Arial"/>
                <w:sz w:val="20"/>
                <w:szCs w:val="20"/>
                <w:lang w:val="es-ES"/>
              </w:rPr>
              <w:t>El Decreto que modifica las disposiciones sobre la administración de portafolio de terceros ha sido emitido por el Gobierno Nacional (MHCP).</w:t>
            </w:r>
          </w:p>
        </w:tc>
        <w:tc>
          <w:tcPr>
            <w:tcW w:w="3240" w:type="dxa"/>
            <w:tcBorders>
              <w:top w:val="nil"/>
              <w:left w:val="single" w:sz="4" w:space="0" w:color="auto"/>
              <w:bottom w:val="nil"/>
              <w:right w:val="single" w:sz="4" w:space="0" w:color="auto"/>
            </w:tcBorders>
            <w:shd w:val="clear" w:color="auto" w:fill="auto"/>
          </w:tcPr>
          <w:p w14:paraId="57A69DF9" w14:textId="6315E023" w:rsidR="00CC7B3F" w:rsidRPr="00ED5F97" w:rsidRDefault="00CC7B3F"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Decreto 1247 del 01 de agosto de 2016</w:t>
            </w:r>
            <w:r>
              <w:rPr>
                <w:rFonts w:ascii="Arial" w:eastAsia="Arial" w:hAnsi="Arial" w:cs="Arial"/>
                <w:sz w:val="20"/>
                <w:szCs w:val="20"/>
                <w:lang w:val="es-ES"/>
              </w:rPr>
              <w:t>.</w:t>
            </w:r>
          </w:p>
        </w:tc>
        <w:tc>
          <w:tcPr>
            <w:tcW w:w="2143" w:type="dxa"/>
            <w:tcBorders>
              <w:top w:val="nil"/>
              <w:left w:val="single" w:sz="4" w:space="0" w:color="auto"/>
              <w:bottom w:val="nil"/>
              <w:right w:val="single" w:sz="4" w:space="0" w:color="auto"/>
            </w:tcBorders>
          </w:tcPr>
          <w:p w14:paraId="2E07388B" w14:textId="77777777" w:rsidR="00CC7B3F" w:rsidRPr="00ED5F97" w:rsidRDefault="00CC7B3F"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r w:rsidR="00CC7B3F" w:rsidRPr="00125C44" w14:paraId="625D557A" w14:textId="77777777" w:rsidTr="797FBB80">
        <w:trPr>
          <w:jc w:val="center"/>
        </w:trPr>
        <w:tc>
          <w:tcPr>
            <w:tcW w:w="3223" w:type="dxa"/>
            <w:vMerge/>
            <w:tcBorders>
              <w:bottom w:val="single" w:sz="4" w:space="0" w:color="auto"/>
            </w:tcBorders>
            <w:shd w:val="clear" w:color="auto" w:fill="auto"/>
          </w:tcPr>
          <w:p w14:paraId="334FE3E5" w14:textId="77777777" w:rsidR="00CC7B3F" w:rsidRPr="00ED5F97" w:rsidRDefault="00CC7B3F" w:rsidP="005208BB">
            <w:pPr>
              <w:pStyle w:val="ListParagraph"/>
              <w:spacing w:after="0" w:line="240" w:lineRule="auto"/>
              <w:ind w:left="235"/>
              <w:rPr>
                <w:rFonts w:ascii="Arial" w:hAnsi="Arial" w:cs="Arial"/>
                <w:sz w:val="20"/>
                <w:szCs w:val="20"/>
                <w:lang w:val="es-ES_tradnl"/>
              </w:rPr>
            </w:pPr>
          </w:p>
        </w:tc>
        <w:tc>
          <w:tcPr>
            <w:tcW w:w="4320" w:type="dxa"/>
            <w:tcBorders>
              <w:top w:val="nil"/>
              <w:bottom w:val="single" w:sz="4" w:space="0" w:color="auto"/>
              <w:right w:val="single" w:sz="4" w:space="0" w:color="auto"/>
            </w:tcBorders>
            <w:shd w:val="clear" w:color="auto" w:fill="auto"/>
          </w:tcPr>
          <w:p w14:paraId="1AE68A48" w14:textId="3E0D641B" w:rsidR="00CC7B3F" w:rsidRPr="00ED5F97" w:rsidRDefault="00CC7B3F" w:rsidP="797FBB80">
            <w:pPr>
              <w:pStyle w:val="ListParagraph"/>
              <w:numPr>
                <w:ilvl w:val="0"/>
                <w:numId w:val="12"/>
              </w:numPr>
              <w:spacing w:after="0" w:line="240" w:lineRule="auto"/>
              <w:ind w:left="162" w:hanging="180"/>
              <w:rPr>
                <w:rFonts w:ascii="Arial" w:eastAsia="Arial,Times New Roman" w:hAnsi="Arial" w:cs="Arial"/>
                <w:sz w:val="20"/>
                <w:szCs w:val="20"/>
                <w:lang w:val="es-ES"/>
              </w:rPr>
            </w:pPr>
            <w:r w:rsidRPr="00ED5F97">
              <w:rPr>
                <w:rFonts w:ascii="Arial" w:eastAsia="Arial,Times New Roman" w:hAnsi="Arial" w:cs="Arial"/>
                <w:sz w:val="20"/>
                <w:szCs w:val="20"/>
                <w:lang w:val="es-ES"/>
              </w:rPr>
              <w:t>Se ha llevado a cabo</w:t>
            </w:r>
            <w:r w:rsidR="00CD2996">
              <w:rPr>
                <w:rFonts w:ascii="Arial" w:eastAsia="Arial,Times New Roman" w:hAnsi="Arial" w:cs="Arial"/>
                <w:sz w:val="20"/>
                <w:szCs w:val="20"/>
                <w:lang w:val="es-ES"/>
              </w:rPr>
              <w:t xml:space="preserve"> el estudio sobre asesoría en el mercado de valores</w:t>
            </w:r>
            <w:r w:rsidR="00147E96">
              <w:rPr>
                <w:rFonts w:ascii="Arial" w:eastAsia="Arial,Times New Roman" w:hAnsi="Arial" w:cs="Arial"/>
                <w:sz w:val="20"/>
                <w:szCs w:val="20"/>
                <w:lang w:val="es-ES"/>
              </w:rPr>
              <w:t xml:space="preserve"> que incluye el análisis regulatorio</w:t>
            </w:r>
            <w:r w:rsidRPr="00ED5F97">
              <w:rPr>
                <w:rFonts w:ascii="Arial" w:eastAsia="Arial,Times New Roman" w:hAnsi="Arial" w:cs="Arial"/>
                <w:sz w:val="20"/>
                <w:szCs w:val="20"/>
                <w:lang w:val="es-ES"/>
              </w:rPr>
              <w:t xml:space="preserve"> </w:t>
            </w:r>
            <w:r w:rsidR="00251642">
              <w:rPr>
                <w:rFonts w:ascii="Arial" w:eastAsia="Arial,Times New Roman" w:hAnsi="Arial" w:cs="Arial"/>
                <w:sz w:val="20"/>
                <w:szCs w:val="20"/>
                <w:lang w:val="es-ES"/>
              </w:rPr>
              <w:t>de</w:t>
            </w:r>
            <w:r w:rsidRPr="00ED5F97">
              <w:rPr>
                <w:rFonts w:ascii="Arial" w:eastAsia="Arial,Times New Roman" w:hAnsi="Arial" w:cs="Arial"/>
                <w:sz w:val="20"/>
                <w:szCs w:val="20"/>
                <w:lang w:val="es-ES"/>
              </w:rPr>
              <w:t xml:space="preserve"> las actividades de la asesoría en el mercado de valores, la ampliación de instrumentos financieros de renta fija y derivados como parte de la ampliación de la integración de mercados financieros con el Mercado Integrado Latinoamericano (MILA) y la ampliación de los contratos de corresponsalía y oficinas de representación para la oferta de productos de mercados financieros del exterior y </w:t>
            </w:r>
            <w:r w:rsidR="00251642">
              <w:rPr>
                <w:rFonts w:ascii="Arial" w:eastAsia="Arial,Times New Roman" w:hAnsi="Arial" w:cs="Arial"/>
                <w:sz w:val="20"/>
                <w:szCs w:val="20"/>
                <w:lang w:val="es-ES"/>
              </w:rPr>
              <w:t xml:space="preserve">ha sido publicado por </w:t>
            </w:r>
            <w:r w:rsidRPr="00ED5F97">
              <w:rPr>
                <w:rFonts w:ascii="Arial" w:eastAsia="Arial,Times New Roman" w:hAnsi="Arial" w:cs="Arial"/>
                <w:sz w:val="20"/>
                <w:szCs w:val="20"/>
                <w:lang w:val="es-ES"/>
              </w:rPr>
              <w:t>el MHCP</w:t>
            </w:r>
            <w:r w:rsidR="00986F6A">
              <w:rPr>
                <w:rFonts w:ascii="Arial" w:eastAsia="Arial,Times New Roman" w:hAnsi="Arial" w:cs="Arial"/>
                <w:sz w:val="20"/>
                <w:szCs w:val="20"/>
                <w:lang w:val="es-ES"/>
              </w:rPr>
              <w:t>.</w:t>
            </w:r>
          </w:p>
        </w:tc>
        <w:tc>
          <w:tcPr>
            <w:tcW w:w="3240" w:type="dxa"/>
            <w:tcBorders>
              <w:top w:val="nil"/>
              <w:left w:val="single" w:sz="4" w:space="0" w:color="auto"/>
              <w:bottom w:val="single" w:sz="4" w:space="0" w:color="auto"/>
              <w:right w:val="single" w:sz="4" w:space="0" w:color="auto"/>
            </w:tcBorders>
            <w:shd w:val="clear" w:color="auto" w:fill="auto"/>
          </w:tcPr>
          <w:p w14:paraId="5E1D33BA" w14:textId="493A63CE" w:rsidR="00CD2996" w:rsidRPr="00656F22" w:rsidRDefault="00251642" w:rsidP="00CD2996">
            <w:pPr>
              <w:pStyle w:val="Default"/>
              <w:rPr>
                <w:rFonts w:ascii="Calibri" w:hAnsi="Calibri" w:cs="Calibri"/>
                <w:lang w:val="es-ES_tradnl"/>
              </w:rPr>
            </w:pPr>
            <w:r>
              <w:rPr>
                <w:rFonts w:eastAsia="Arial,Times New Roman"/>
                <w:sz w:val="20"/>
                <w:szCs w:val="20"/>
                <w:lang w:val="es-ES"/>
              </w:rPr>
              <w:t xml:space="preserve">Estudio sobre asesoría en el mercado de valores publicado por </w:t>
            </w:r>
            <w:proofErr w:type="gramStart"/>
            <w:r>
              <w:rPr>
                <w:rFonts w:eastAsia="Arial,Times New Roman"/>
                <w:sz w:val="20"/>
                <w:szCs w:val="20"/>
                <w:lang w:val="es-ES"/>
              </w:rPr>
              <w:t xml:space="preserve">el </w:t>
            </w:r>
            <w:proofErr w:type="gramEnd"/>
            <w:r w:rsidR="00CC7B3F" w:rsidRPr="00ED5F97">
              <w:rPr>
                <w:rFonts w:eastAsia="Arial,Times New Roman"/>
                <w:sz w:val="20"/>
                <w:szCs w:val="20"/>
                <w:lang w:val="es-ES"/>
              </w:rPr>
              <w:t>Ministerio de Hacienda y Crédito Público</w:t>
            </w:r>
            <w:r w:rsidR="00986F6A">
              <w:rPr>
                <w:rFonts w:eastAsia="Arial,Times New Roman"/>
                <w:sz w:val="20"/>
                <w:szCs w:val="20"/>
                <w:lang w:val="es-ES"/>
              </w:rPr>
              <w:t>.</w:t>
            </w:r>
            <w:r w:rsidR="00CD2996" w:rsidRPr="00656F22">
              <w:rPr>
                <w:lang w:val="es-ES_tradnl"/>
              </w:rPr>
              <w:t xml:space="preserve"> </w:t>
            </w:r>
          </w:p>
          <w:p w14:paraId="1953A794" w14:textId="57E2BF60" w:rsidR="00CC7B3F" w:rsidRPr="00656F22" w:rsidRDefault="00CD2996" w:rsidP="00CD2996">
            <w:pPr>
              <w:spacing w:after="0" w:line="240" w:lineRule="auto"/>
              <w:rPr>
                <w:rFonts w:ascii="Arial" w:eastAsia="Arial,Times New Roman" w:hAnsi="Arial" w:cs="Arial"/>
                <w:sz w:val="20"/>
                <w:szCs w:val="20"/>
                <w:lang w:val="es-ES_tradnl"/>
              </w:rPr>
            </w:pPr>
            <w:r w:rsidRPr="00656F22">
              <w:rPr>
                <w:rFonts w:ascii="Calibri" w:hAnsi="Calibri" w:cs="Calibri"/>
                <w:color w:val="000000"/>
                <w:sz w:val="24"/>
                <w:szCs w:val="24"/>
                <w:lang w:val="es-ES_tradnl"/>
              </w:rPr>
              <w:t xml:space="preserve"> </w:t>
            </w:r>
          </w:p>
        </w:tc>
        <w:tc>
          <w:tcPr>
            <w:tcW w:w="2143" w:type="dxa"/>
            <w:tcBorders>
              <w:top w:val="nil"/>
              <w:left w:val="single" w:sz="4" w:space="0" w:color="auto"/>
              <w:bottom w:val="single" w:sz="4" w:space="0" w:color="auto"/>
              <w:right w:val="single" w:sz="4" w:space="0" w:color="auto"/>
            </w:tcBorders>
          </w:tcPr>
          <w:p w14:paraId="39508DD1" w14:textId="77777777" w:rsidR="00CC7B3F" w:rsidRPr="00ED5F97" w:rsidRDefault="00CC7B3F"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bl>
    <w:p w14:paraId="31A51F42" w14:textId="77777777" w:rsidR="00A1270C" w:rsidRPr="00F727A3" w:rsidRDefault="00A1270C">
      <w:pPr>
        <w:rPr>
          <w:lang w:val="es-ES_tradnl"/>
        </w:rPr>
      </w:pPr>
      <w:r w:rsidRPr="00F727A3">
        <w:rPr>
          <w:lang w:val="es-ES_tradnl"/>
        </w:rPr>
        <w:lastRenderedPageBreak/>
        <w:br w:type="page"/>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4244"/>
        <w:gridCol w:w="3184"/>
        <w:gridCol w:w="2108"/>
      </w:tblGrid>
      <w:tr w:rsidR="00A1270C" w:rsidRPr="00ED5F97" w14:paraId="3334212C" w14:textId="77777777" w:rsidTr="797FBB80">
        <w:trPr>
          <w:trHeight w:val="130"/>
          <w:tblHeader/>
          <w:jc w:val="center"/>
        </w:trPr>
        <w:tc>
          <w:tcPr>
            <w:tcW w:w="3223" w:type="dxa"/>
            <w:shd w:val="clear" w:color="auto" w:fill="BFBFBF" w:themeFill="background1" w:themeFillShade="BF"/>
            <w:vAlign w:val="center"/>
            <w:hideMark/>
          </w:tcPr>
          <w:p w14:paraId="26ACFD12" w14:textId="77777777" w:rsidR="00A1270C" w:rsidRPr="00ED5F97" w:rsidRDefault="00A1270C"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lastRenderedPageBreak/>
              <w:t>Objetivos de Política</w:t>
            </w:r>
          </w:p>
        </w:tc>
        <w:tc>
          <w:tcPr>
            <w:tcW w:w="4320" w:type="dxa"/>
            <w:shd w:val="clear" w:color="auto" w:fill="BFBFBF" w:themeFill="background1" w:themeFillShade="BF"/>
            <w:vAlign w:val="center"/>
            <w:hideMark/>
          </w:tcPr>
          <w:p w14:paraId="55756A10" w14:textId="77777777" w:rsidR="00A1270C" w:rsidRPr="00ED5F97" w:rsidRDefault="00A1270C" w:rsidP="797FBB80">
            <w:pPr>
              <w:spacing w:after="0" w:line="240" w:lineRule="auto"/>
              <w:jc w:val="center"/>
              <w:rPr>
                <w:rFonts w:ascii="Arial" w:eastAsia="Arial" w:hAnsi="Arial" w:cs="Arial"/>
                <w:b/>
                <w:bCs/>
                <w:sz w:val="20"/>
                <w:szCs w:val="20"/>
                <w:lang w:val="pt-BR"/>
              </w:rPr>
            </w:pPr>
            <w:r w:rsidRPr="00ED5F97">
              <w:rPr>
                <w:rFonts w:ascii="Arial" w:eastAsia="Arial" w:hAnsi="Arial" w:cs="Arial"/>
                <w:b/>
                <w:bCs/>
                <w:smallCaps/>
                <w:sz w:val="20"/>
                <w:szCs w:val="20"/>
                <w:lang w:val="pt-BR"/>
              </w:rPr>
              <w:t>Medidas de Política Acordada</w:t>
            </w:r>
          </w:p>
          <w:p w14:paraId="1472CF71" w14:textId="77777777" w:rsidR="00A1270C" w:rsidRPr="00ED5F97" w:rsidRDefault="00A1270C" w:rsidP="797FBB80">
            <w:pPr>
              <w:spacing w:after="0" w:line="240" w:lineRule="auto"/>
              <w:jc w:val="center"/>
              <w:rPr>
                <w:rFonts w:ascii="Arial" w:eastAsia="Arial" w:hAnsi="Arial" w:cs="Arial"/>
                <w:b/>
                <w:bCs/>
                <w:sz w:val="20"/>
                <w:szCs w:val="20"/>
                <w:lang w:val="pt-BR"/>
              </w:rPr>
            </w:pPr>
            <w:r w:rsidRPr="00ED5F97">
              <w:rPr>
                <w:rFonts w:ascii="Arial" w:eastAsia="Arial" w:hAnsi="Arial" w:cs="Arial"/>
                <w:b/>
                <w:bCs/>
                <w:smallCaps/>
                <w:sz w:val="20"/>
                <w:szCs w:val="20"/>
                <w:lang w:val="pt-BR"/>
              </w:rPr>
              <w:t>Programa II</w:t>
            </w:r>
          </w:p>
        </w:tc>
        <w:tc>
          <w:tcPr>
            <w:tcW w:w="3240" w:type="dxa"/>
            <w:shd w:val="clear" w:color="auto" w:fill="BFBFBF" w:themeFill="background1" w:themeFillShade="BF"/>
            <w:vAlign w:val="center"/>
            <w:hideMark/>
          </w:tcPr>
          <w:p w14:paraId="138CDD8C" w14:textId="77777777" w:rsidR="00A1270C" w:rsidRPr="00ED5F97" w:rsidRDefault="00A1270C"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Medios De Verificación</w:t>
            </w:r>
          </w:p>
        </w:tc>
        <w:tc>
          <w:tcPr>
            <w:tcW w:w="2143" w:type="dxa"/>
            <w:shd w:val="clear" w:color="auto" w:fill="BFBFBF" w:themeFill="background1" w:themeFillShade="BF"/>
          </w:tcPr>
          <w:p w14:paraId="1E1BFFE1" w14:textId="77777777" w:rsidR="00A1270C" w:rsidRPr="00ED5F97" w:rsidRDefault="00A1270C"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Unidad responsable</w:t>
            </w:r>
          </w:p>
        </w:tc>
      </w:tr>
      <w:tr w:rsidR="00A1270C" w:rsidRPr="00125C44" w14:paraId="21D1F766" w14:textId="77777777" w:rsidTr="797FBB80">
        <w:trPr>
          <w:jc w:val="center"/>
        </w:trPr>
        <w:tc>
          <w:tcPr>
            <w:tcW w:w="12926" w:type="dxa"/>
            <w:gridSpan w:val="4"/>
            <w:tcBorders>
              <w:bottom w:val="single" w:sz="4" w:space="0" w:color="auto"/>
            </w:tcBorders>
            <w:shd w:val="clear" w:color="auto" w:fill="BFBFBF" w:themeFill="background1" w:themeFillShade="BF"/>
          </w:tcPr>
          <w:p w14:paraId="71E964EE" w14:textId="77777777" w:rsidR="00A1270C" w:rsidRPr="00ED5F97" w:rsidRDefault="797FBB80" w:rsidP="797FBB80">
            <w:pPr>
              <w:spacing w:before="80" w:after="80" w:line="240" w:lineRule="auto"/>
              <w:rPr>
                <w:rFonts w:ascii="Arial" w:eastAsia="Arial" w:hAnsi="Arial" w:cs="Arial"/>
                <w:b/>
                <w:bCs/>
                <w:sz w:val="20"/>
                <w:szCs w:val="20"/>
                <w:lang w:val="es-ES"/>
              </w:rPr>
            </w:pPr>
            <w:r w:rsidRPr="00ED5F97">
              <w:rPr>
                <w:rFonts w:ascii="Arial" w:eastAsia="Arial,Times New Roman" w:hAnsi="Arial" w:cs="Arial"/>
                <w:b/>
                <w:bCs/>
                <w:color w:val="000000" w:themeColor="text1"/>
                <w:sz w:val="20"/>
                <w:szCs w:val="20"/>
                <w:lang w:val="es-ES"/>
              </w:rPr>
              <w:t>Componente III: Mejora de la Regulación y Supervisión del Sistema Financiero.</w:t>
            </w:r>
          </w:p>
        </w:tc>
      </w:tr>
      <w:tr w:rsidR="00A1270C" w:rsidRPr="00125C44" w14:paraId="43DAC512" w14:textId="77777777" w:rsidTr="797FBB80">
        <w:trPr>
          <w:jc w:val="center"/>
        </w:trPr>
        <w:tc>
          <w:tcPr>
            <w:tcW w:w="3223" w:type="dxa"/>
            <w:vMerge w:val="restart"/>
            <w:shd w:val="clear" w:color="auto" w:fill="auto"/>
          </w:tcPr>
          <w:p w14:paraId="0F0CBE21" w14:textId="77777777" w:rsidR="00A1270C" w:rsidRPr="00ED5F97" w:rsidRDefault="797FBB80" w:rsidP="797FBB80">
            <w:pPr>
              <w:pStyle w:val="ListParagraph"/>
              <w:numPr>
                <w:ilvl w:val="0"/>
                <w:numId w:val="15"/>
              </w:numPr>
              <w:spacing w:after="0" w:line="240" w:lineRule="auto"/>
              <w:ind w:left="235" w:hanging="235"/>
              <w:rPr>
                <w:rFonts w:ascii="Arial" w:eastAsia="Arial" w:hAnsi="Arial" w:cs="Arial"/>
                <w:sz w:val="20"/>
                <w:szCs w:val="20"/>
                <w:lang w:val="es-ES"/>
              </w:rPr>
            </w:pPr>
            <w:r w:rsidRPr="00ED5F97">
              <w:rPr>
                <w:rFonts w:ascii="Arial" w:eastAsia="Arial" w:hAnsi="Arial" w:cs="Arial"/>
                <w:sz w:val="20"/>
                <w:szCs w:val="20"/>
                <w:lang w:val="es-ES"/>
              </w:rPr>
              <w:t>Fortalecimiento de la transparencia financiera.</w:t>
            </w:r>
          </w:p>
        </w:tc>
        <w:tc>
          <w:tcPr>
            <w:tcW w:w="4320" w:type="dxa"/>
            <w:tcBorders>
              <w:bottom w:val="nil"/>
              <w:right w:val="single" w:sz="4" w:space="0" w:color="auto"/>
            </w:tcBorders>
            <w:shd w:val="clear" w:color="auto" w:fill="auto"/>
          </w:tcPr>
          <w:p w14:paraId="76E6A2B2" w14:textId="77777777" w:rsidR="00A1270C" w:rsidRPr="00ED5F97" w:rsidRDefault="797FBB80" w:rsidP="797FBB80">
            <w:pPr>
              <w:spacing w:after="0" w:line="240" w:lineRule="auto"/>
              <w:rPr>
                <w:rFonts w:ascii="Arial" w:eastAsia="Arial" w:hAnsi="Arial" w:cs="Arial"/>
                <w:sz w:val="20"/>
                <w:szCs w:val="20"/>
                <w:lang w:val="es-ES"/>
              </w:rPr>
            </w:pPr>
            <w:r w:rsidRPr="00ED5F97">
              <w:rPr>
                <w:rFonts w:ascii="Arial" w:eastAsia="Arial,Times New Roman" w:hAnsi="Arial" w:cs="Arial"/>
                <w:sz w:val="20"/>
                <w:szCs w:val="20"/>
                <w:lang w:val="es-ES"/>
              </w:rPr>
              <w:t xml:space="preserve">Se han adoptado medidas para mejorar los mecanismos de transparencia financiera para los usuarios del sistema financiero, </w:t>
            </w:r>
            <w:r w:rsidRPr="00ED5F97">
              <w:rPr>
                <w:rFonts w:ascii="Arial" w:eastAsia="Arial" w:hAnsi="Arial" w:cs="Arial"/>
                <w:sz w:val="20"/>
                <w:szCs w:val="20"/>
                <w:lang w:val="es-ES"/>
              </w:rPr>
              <w:t>incluidas como mínimo las siguientes:</w:t>
            </w:r>
          </w:p>
        </w:tc>
        <w:tc>
          <w:tcPr>
            <w:tcW w:w="3240" w:type="dxa"/>
            <w:tcBorders>
              <w:top w:val="single" w:sz="4" w:space="0" w:color="auto"/>
              <w:left w:val="single" w:sz="4" w:space="0" w:color="auto"/>
              <w:bottom w:val="nil"/>
              <w:right w:val="single" w:sz="4" w:space="0" w:color="auto"/>
            </w:tcBorders>
            <w:shd w:val="clear" w:color="auto" w:fill="auto"/>
          </w:tcPr>
          <w:p w14:paraId="08FC750A" w14:textId="77777777" w:rsidR="00A1270C" w:rsidRPr="00ED5F97" w:rsidRDefault="00A1270C" w:rsidP="00B46930">
            <w:pPr>
              <w:spacing w:after="0" w:line="240" w:lineRule="auto"/>
              <w:rPr>
                <w:rFonts w:ascii="Arial" w:hAnsi="Arial" w:cs="Arial"/>
                <w:sz w:val="20"/>
                <w:szCs w:val="20"/>
                <w:lang w:val="es-ES_tradnl"/>
              </w:rPr>
            </w:pPr>
          </w:p>
        </w:tc>
        <w:tc>
          <w:tcPr>
            <w:tcW w:w="2143" w:type="dxa"/>
            <w:tcBorders>
              <w:top w:val="single" w:sz="4" w:space="0" w:color="auto"/>
              <w:left w:val="single" w:sz="4" w:space="0" w:color="auto"/>
              <w:bottom w:val="nil"/>
              <w:right w:val="single" w:sz="4" w:space="0" w:color="auto"/>
            </w:tcBorders>
          </w:tcPr>
          <w:p w14:paraId="5822A32C" w14:textId="77777777" w:rsidR="00A1270C" w:rsidRPr="00ED5F97" w:rsidRDefault="00A1270C" w:rsidP="005208BB">
            <w:pPr>
              <w:spacing w:after="0" w:line="240" w:lineRule="auto"/>
              <w:rPr>
                <w:rFonts w:ascii="Arial" w:hAnsi="Arial" w:cs="Arial"/>
                <w:sz w:val="20"/>
                <w:szCs w:val="20"/>
                <w:lang w:val="es-ES_tradnl"/>
              </w:rPr>
            </w:pPr>
          </w:p>
        </w:tc>
      </w:tr>
      <w:tr w:rsidR="00A1270C" w:rsidRPr="00125C44" w14:paraId="33C7BC13" w14:textId="77777777" w:rsidTr="797FBB80">
        <w:trPr>
          <w:jc w:val="center"/>
        </w:trPr>
        <w:tc>
          <w:tcPr>
            <w:tcW w:w="3223" w:type="dxa"/>
            <w:vMerge/>
            <w:shd w:val="clear" w:color="auto" w:fill="auto"/>
          </w:tcPr>
          <w:p w14:paraId="3AC72792" w14:textId="77777777" w:rsidR="00A1270C" w:rsidRPr="00ED5F97" w:rsidRDefault="00A1270C"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0545D253" w14:textId="0F304962" w:rsidR="00A1270C" w:rsidRPr="00ED5F97" w:rsidRDefault="00DC7B80" w:rsidP="797FBB80">
            <w:pPr>
              <w:pStyle w:val="ListParagraph"/>
              <w:numPr>
                <w:ilvl w:val="0"/>
                <w:numId w:val="12"/>
              </w:numPr>
              <w:spacing w:after="0" w:line="240" w:lineRule="auto"/>
              <w:ind w:left="162" w:hanging="180"/>
              <w:rPr>
                <w:rFonts w:ascii="Arial" w:eastAsia="Arial" w:hAnsi="Arial" w:cs="Arial"/>
                <w:sz w:val="20"/>
                <w:szCs w:val="20"/>
                <w:lang w:val="es-ES"/>
              </w:rPr>
            </w:pPr>
            <w:r>
              <w:rPr>
                <w:rFonts w:ascii="Arial" w:eastAsia="Arial,Times New Roman" w:hAnsi="Arial" w:cs="Arial"/>
                <w:sz w:val="20"/>
                <w:szCs w:val="20"/>
                <w:lang w:val="es-ES"/>
              </w:rPr>
              <w:t>Los d</w:t>
            </w:r>
            <w:r w:rsidR="797FBB80" w:rsidRPr="00ED5F97">
              <w:rPr>
                <w:rFonts w:ascii="Arial" w:eastAsia="Arial,Times New Roman" w:hAnsi="Arial" w:cs="Arial"/>
                <w:sz w:val="20"/>
                <w:szCs w:val="20"/>
                <w:lang w:val="es-ES"/>
              </w:rPr>
              <w:t>ecreto</w:t>
            </w:r>
            <w:r>
              <w:rPr>
                <w:rFonts w:ascii="Arial" w:eastAsia="Arial,Times New Roman" w:hAnsi="Arial" w:cs="Arial"/>
                <w:sz w:val="20"/>
                <w:szCs w:val="20"/>
                <w:lang w:val="es-ES"/>
              </w:rPr>
              <w:t>s</w:t>
            </w:r>
            <w:r w:rsidR="797FBB80" w:rsidRPr="00ED5F97">
              <w:rPr>
                <w:rFonts w:ascii="Arial" w:eastAsia="Arial,Times New Roman" w:hAnsi="Arial" w:cs="Arial"/>
                <w:sz w:val="20"/>
                <w:szCs w:val="20"/>
                <w:lang w:val="es-ES"/>
              </w:rPr>
              <w:t xml:space="preserve"> que modifica</w:t>
            </w:r>
            <w:r w:rsidR="004A6B64">
              <w:rPr>
                <w:rFonts w:ascii="Arial" w:eastAsia="Arial,Times New Roman" w:hAnsi="Arial" w:cs="Arial"/>
                <w:sz w:val="20"/>
                <w:szCs w:val="20"/>
                <w:lang w:val="es-ES"/>
              </w:rPr>
              <w:t>n</w:t>
            </w:r>
            <w:r w:rsidR="797FBB80" w:rsidRPr="00ED5F97">
              <w:rPr>
                <w:rFonts w:ascii="Arial" w:eastAsia="Arial,Times New Roman" w:hAnsi="Arial" w:cs="Arial"/>
                <w:sz w:val="20"/>
                <w:szCs w:val="20"/>
                <w:lang w:val="es-ES"/>
              </w:rPr>
              <w:t xml:space="preserve"> las disposiciones sobre el régimen de protección al consumidor financiero del sistema general de pensiones para lograr precios transparentes ha</w:t>
            </w:r>
            <w:r w:rsidR="00AE7B96">
              <w:rPr>
                <w:rFonts w:ascii="Arial" w:eastAsia="Arial,Times New Roman" w:hAnsi="Arial" w:cs="Arial"/>
                <w:sz w:val="20"/>
                <w:szCs w:val="20"/>
                <w:lang w:val="es-ES"/>
              </w:rPr>
              <w:t>n</w:t>
            </w:r>
            <w:r w:rsidR="797FBB80" w:rsidRPr="00ED5F97">
              <w:rPr>
                <w:rFonts w:ascii="Arial" w:eastAsia="Arial,Times New Roman" w:hAnsi="Arial" w:cs="Arial"/>
                <w:sz w:val="20"/>
                <w:szCs w:val="20"/>
                <w:lang w:val="es-ES"/>
              </w:rPr>
              <w:t xml:space="preserve"> sido emitido</w:t>
            </w:r>
            <w:r w:rsidR="00AE7B96">
              <w:rPr>
                <w:rFonts w:ascii="Arial" w:eastAsia="Arial,Times New Roman" w:hAnsi="Arial" w:cs="Arial"/>
                <w:sz w:val="20"/>
                <w:szCs w:val="20"/>
                <w:lang w:val="es-ES"/>
              </w:rPr>
              <w:t>s</w:t>
            </w:r>
            <w:r w:rsidR="797FBB80" w:rsidRPr="00ED5F97">
              <w:rPr>
                <w:rFonts w:ascii="Arial" w:eastAsia="Arial,Times New Roman" w:hAnsi="Arial" w:cs="Arial"/>
                <w:sz w:val="20"/>
                <w:szCs w:val="20"/>
                <w:lang w:val="es-ES"/>
              </w:rPr>
              <w:t xml:space="preserve"> por el Gobierno Nacional (MHCP).</w:t>
            </w:r>
            <w:r>
              <w:rPr>
                <w:rFonts w:ascii="Arial" w:eastAsia="Arial,Times New Roman" w:hAnsi="Arial" w:cs="Arial"/>
                <w:sz w:val="20"/>
                <w:szCs w:val="20"/>
                <w:lang w:val="es-ES"/>
              </w:rPr>
              <w:t xml:space="preserve"> </w:t>
            </w:r>
          </w:p>
        </w:tc>
        <w:tc>
          <w:tcPr>
            <w:tcW w:w="3240" w:type="dxa"/>
            <w:tcBorders>
              <w:top w:val="nil"/>
              <w:left w:val="single" w:sz="4" w:space="0" w:color="auto"/>
              <w:bottom w:val="nil"/>
              <w:right w:val="single" w:sz="4" w:space="0" w:color="auto"/>
            </w:tcBorders>
            <w:shd w:val="clear" w:color="auto" w:fill="auto"/>
          </w:tcPr>
          <w:p w14:paraId="2F3AB167" w14:textId="4A7BF903" w:rsidR="00A1270C" w:rsidRDefault="797FBB80"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Decreto 765 del 06 de mayo de 2016 y Decreto 2071 del 23 de octubre 201</w:t>
            </w:r>
            <w:r w:rsidR="00001190">
              <w:rPr>
                <w:rFonts w:ascii="Arial" w:eastAsia="Arial,Times New Roman" w:hAnsi="Arial" w:cs="Arial"/>
                <w:sz w:val="20"/>
                <w:szCs w:val="20"/>
                <w:lang w:val="es-ES"/>
              </w:rPr>
              <w:t>5</w:t>
            </w:r>
            <w:r w:rsidR="007C0A2E">
              <w:rPr>
                <w:rFonts w:ascii="Arial" w:eastAsia="Arial,Times New Roman" w:hAnsi="Arial" w:cs="Arial"/>
                <w:sz w:val="20"/>
                <w:szCs w:val="20"/>
                <w:lang w:val="es-ES"/>
              </w:rPr>
              <w:t>.</w:t>
            </w:r>
          </w:p>
          <w:p w14:paraId="4E188463" w14:textId="77777777" w:rsidR="00DC7B80" w:rsidRPr="00656F22" w:rsidRDefault="00DC7B80" w:rsidP="00DC7B80">
            <w:pPr>
              <w:pStyle w:val="Default"/>
              <w:rPr>
                <w:lang w:val="es-ES_tradnl"/>
              </w:rPr>
            </w:pPr>
          </w:p>
          <w:p w14:paraId="1D9BA54E" w14:textId="77777777" w:rsidR="00DC7B80" w:rsidRPr="00656F22" w:rsidRDefault="00DC7B80" w:rsidP="00DC7B80">
            <w:pPr>
              <w:pStyle w:val="Default"/>
              <w:rPr>
                <w:color w:val="auto"/>
                <w:lang w:val="es-ES_tradnl"/>
              </w:rPr>
            </w:pPr>
          </w:p>
          <w:p w14:paraId="62A27C2A" w14:textId="7D0AA5C6" w:rsidR="00DC7B80" w:rsidRPr="00656F22" w:rsidRDefault="00DC7B80" w:rsidP="00DC7B80">
            <w:pPr>
              <w:spacing w:after="0" w:line="240" w:lineRule="auto"/>
              <w:rPr>
                <w:rFonts w:ascii="Arial" w:eastAsia="Arial,Times New Roman" w:hAnsi="Arial" w:cs="Arial"/>
                <w:sz w:val="20"/>
                <w:szCs w:val="20"/>
                <w:lang w:val="es-ES_tradnl"/>
              </w:rPr>
            </w:pPr>
            <w:r w:rsidRPr="00656F22">
              <w:rPr>
                <w:lang w:val="es-ES_tradnl"/>
              </w:rPr>
              <w:t xml:space="preserve"> </w:t>
            </w:r>
          </w:p>
        </w:tc>
        <w:tc>
          <w:tcPr>
            <w:tcW w:w="2143" w:type="dxa"/>
            <w:tcBorders>
              <w:top w:val="nil"/>
              <w:left w:val="single" w:sz="4" w:space="0" w:color="auto"/>
              <w:bottom w:val="nil"/>
              <w:right w:val="single" w:sz="4" w:space="0" w:color="auto"/>
            </w:tcBorders>
          </w:tcPr>
          <w:p w14:paraId="0E823213" w14:textId="77777777" w:rsidR="00A1270C"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r w:rsidR="00A1270C" w:rsidRPr="00125C44" w14:paraId="0C78E5B3" w14:textId="77777777" w:rsidTr="797FBB80">
        <w:trPr>
          <w:jc w:val="center"/>
        </w:trPr>
        <w:tc>
          <w:tcPr>
            <w:tcW w:w="3223" w:type="dxa"/>
            <w:vMerge/>
            <w:shd w:val="clear" w:color="auto" w:fill="auto"/>
          </w:tcPr>
          <w:p w14:paraId="1086EF16" w14:textId="77777777" w:rsidR="00A1270C" w:rsidRPr="00ED5F97" w:rsidRDefault="00A1270C"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6975B80A" w14:textId="77777777" w:rsidR="00DC7B80" w:rsidRPr="00656F22" w:rsidRDefault="00DC7B80" w:rsidP="00656F22">
            <w:pPr>
              <w:pStyle w:val="ListParagraph"/>
              <w:spacing w:after="0" w:line="240" w:lineRule="auto"/>
              <w:ind w:left="162"/>
              <w:rPr>
                <w:rFonts w:ascii="Arial" w:eastAsia="Arial" w:hAnsi="Arial" w:cs="Arial"/>
                <w:sz w:val="20"/>
                <w:szCs w:val="20"/>
                <w:lang w:val="es-ES"/>
              </w:rPr>
            </w:pPr>
          </w:p>
          <w:p w14:paraId="238ECBBA" w14:textId="04A5D8AB" w:rsidR="00A1270C" w:rsidRPr="00ED5F97"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Times New Roman" w:hAnsi="Arial" w:cs="Arial"/>
                <w:sz w:val="20"/>
                <w:szCs w:val="20"/>
                <w:lang w:val="es-ES"/>
              </w:rPr>
              <w:t>El Decreto para precios transparentes para los clientes de los establecimientos de crédito ha sido emitido por el Gobierno Nacional (MHCP).</w:t>
            </w:r>
          </w:p>
        </w:tc>
        <w:tc>
          <w:tcPr>
            <w:tcW w:w="3240" w:type="dxa"/>
            <w:tcBorders>
              <w:top w:val="nil"/>
              <w:left w:val="single" w:sz="4" w:space="0" w:color="auto"/>
              <w:bottom w:val="nil"/>
              <w:right w:val="single" w:sz="4" w:space="0" w:color="auto"/>
            </w:tcBorders>
            <w:shd w:val="clear" w:color="auto" w:fill="auto"/>
          </w:tcPr>
          <w:p w14:paraId="382A62E8" w14:textId="2973B49A" w:rsidR="00A1270C" w:rsidRPr="00ED5F97" w:rsidRDefault="797FBB80"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Decreto 1854 del 16 de septiembre 2015</w:t>
            </w:r>
            <w:r w:rsidR="007C0A2E">
              <w:rPr>
                <w:rFonts w:ascii="Arial" w:eastAsia="Arial,Times New Roman" w:hAnsi="Arial" w:cs="Arial"/>
                <w:sz w:val="20"/>
                <w:szCs w:val="20"/>
                <w:lang w:val="es-ES"/>
              </w:rPr>
              <w:t>.</w:t>
            </w:r>
          </w:p>
        </w:tc>
        <w:tc>
          <w:tcPr>
            <w:tcW w:w="2143" w:type="dxa"/>
            <w:tcBorders>
              <w:top w:val="nil"/>
              <w:left w:val="single" w:sz="4" w:space="0" w:color="auto"/>
              <w:bottom w:val="nil"/>
              <w:right w:val="single" w:sz="4" w:space="0" w:color="auto"/>
            </w:tcBorders>
          </w:tcPr>
          <w:p w14:paraId="4D212AEF" w14:textId="77777777" w:rsidR="00A1270C"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r w:rsidR="00A1270C" w:rsidRPr="00ED5F97" w14:paraId="6F819816" w14:textId="77777777" w:rsidTr="797FBB80">
        <w:trPr>
          <w:jc w:val="center"/>
        </w:trPr>
        <w:tc>
          <w:tcPr>
            <w:tcW w:w="3223" w:type="dxa"/>
            <w:vMerge/>
            <w:shd w:val="clear" w:color="auto" w:fill="auto"/>
          </w:tcPr>
          <w:p w14:paraId="1510B376" w14:textId="77777777" w:rsidR="00A1270C" w:rsidRPr="00ED5F97" w:rsidRDefault="00A1270C" w:rsidP="005208BB">
            <w:pPr>
              <w:spacing w:after="0" w:line="240" w:lineRule="auto"/>
              <w:rPr>
                <w:rFonts w:ascii="Arial" w:hAnsi="Arial" w:cs="Arial"/>
                <w:b/>
                <w:sz w:val="20"/>
                <w:szCs w:val="20"/>
                <w:lang w:val="es-ES_tradnl"/>
              </w:rPr>
            </w:pPr>
          </w:p>
        </w:tc>
        <w:tc>
          <w:tcPr>
            <w:tcW w:w="4320" w:type="dxa"/>
            <w:tcBorders>
              <w:top w:val="nil"/>
              <w:bottom w:val="single" w:sz="4" w:space="0" w:color="auto"/>
              <w:right w:val="single" w:sz="4" w:space="0" w:color="auto"/>
            </w:tcBorders>
            <w:shd w:val="clear" w:color="auto" w:fill="auto"/>
          </w:tcPr>
          <w:p w14:paraId="3CC16885" w14:textId="77777777" w:rsidR="00A1270C" w:rsidRPr="00ED5F97" w:rsidRDefault="797FBB80" w:rsidP="797FBB80">
            <w:pPr>
              <w:pStyle w:val="ListParagraph"/>
              <w:numPr>
                <w:ilvl w:val="0"/>
                <w:numId w:val="12"/>
              </w:numPr>
              <w:spacing w:after="0" w:line="240" w:lineRule="auto"/>
              <w:ind w:left="162" w:hanging="180"/>
              <w:rPr>
                <w:rFonts w:ascii="Arial" w:eastAsia="Arial,Times New Roman" w:hAnsi="Arial" w:cs="Arial"/>
                <w:sz w:val="20"/>
                <w:szCs w:val="20"/>
                <w:lang w:val="es-ES"/>
              </w:rPr>
            </w:pPr>
            <w:r w:rsidRPr="00ED5F97">
              <w:rPr>
                <w:rFonts w:ascii="Arial" w:eastAsia="Arial,Times New Roman" w:hAnsi="Arial" w:cs="Arial"/>
                <w:sz w:val="20"/>
                <w:szCs w:val="20"/>
                <w:lang w:val="es-ES"/>
              </w:rPr>
              <w:t>Las Circulares de Normas Internacionales de Información Financiera han sido emitidas por la Superintendencia Financiera de acuerdo a las actualizaciones de la Junta de Normas Internacionales de Contabilidad.</w:t>
            </w:r>
          </w:p>
        </w:tc>
        <w:tc>
          <w:tcPr>
            <w:tcW w:w="3240" w:type="dxa"/>
            <w:tcBorders>
              <w:top w:val="nil"/>
              <w:left w:val="single" w:sz="4" w:space="0" w:color="auto"/>
              <w:bottom w:val="single" w:sz="4" w:space="0" w:color="auto"/>
              <w:right w:val="single" w:sz="4" w:space="0" w:color="auto"/>
            </w:tcBorders>
            <w:shd w:val="clear" w:color="auto" w:fill="auto"/>
          </w:tcPr>
          <w:p w14:paraId="62D38810" w14:textId="308A03DE" w:rsidR="00A1270C"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Circular Externa 007 del 0</w:t>
            </w:r>
            <w:r w:rsidR="002A2389">
              <w:rPr>
                <w:rFonts w:ascii="Arial" w:eastAsia="Arial" w:hAnsi="Arial" w:cs="Arial"/>
                <w:sz w:val="20"/>
                <w:szCs w:val="20"/>
                <w:lang w:val="es-ES"/>
              </w:rPr>
              <w:t>6</w:t>
            </w:r>
            <w:r w:rsidRPr="00ED5F97">
              <w:rPr>
                <w:rFonts w:ascii="Arial" w:eastAsia="Arial" w:hAnsi="Arial" w:cs="Arial"/>
                <w:sz w:val="20"/>
                <w:szCs w:val="20"/>
                <w:lang w:val="es-ES"/>
              </w:rPr>
              <w:t xml:space="preserve"> de abril 2015; Circular Externa 010 del 12 de mayo 2015; Circular Externa 011 del </w:t>
            </w:r>
            <w:r w:rsidR="00C4264E">
              <w:rPr>
                <w:rFonts w:ascii="Arial" w:eastAsia="Arial" w:hAnsi="Arial" w:cs="Arial"/>
                <w:sz w:val="20"/>
                <w:szCs w:val="20"/>
                <w:lang w:val="es-ES"/>
              </w:rPr>
              <w:t>27</w:t>
            </w:r>
            <w:r w:rsidRPr="00ED5F97">
              <w:rPr>
                <w:rFonts w:ascii="Arial" w:eastAsia="Arial" w:hAnsi="Arial" w:cs="Arial"/>
                <w:sz w:val="20"/>
                <w:szCs w:val="20"/>
                <w:lang w:val="es-ES"/>
              </w:rPr>
              <w:t xml:space="preserve"> de mayo 2015; Circular Externa 016 del 03 de julio 2015; Circular Externa 029 del 15 de septiembre 2015; Circular Externa 036 del 13 de octubre 2015; Circular Externa 038 del 19 de octubre 2015; Circular Externa 040 del 03 de diciembre 2015; Circular Externa 041 del 07 de diciembre 2015; Circular Externa 045 del 21 de diciembre 2015; Circular Externa 008 del 26 de febrero 2016; Circular Externa 017 del 10 de mayo 2016; Circular Externa 019 del 17 de junio 2016; Carta Circular 034 del 15 de abril 2015; </w:t>
            </w:r>
            <w:r w:rsidRPr="00ED5F97">
              <w:rPr>
                <w:rFonts w:ascii="Arial" w:eastAsia="Arial" w:hAnsi="Arial" w:cs="Arial"/>
                <w:sz w:val="20"/>
                <w:szCs w:val="20"/>
                <w:lang w:val="es-ES"/>
              </w:rPr>
              <w:lastRenderedPageBreak/>
              <w:t>y Carta Circular 041 del 29 de abril 2015</w:t>
            </w:r>
            <w:r w:rsidR="007C0A2E">
              <w:rPr>
                <w:rFonts w:ascii="Arial" w:eastAsia="Arial" w:hAnsi="Arial" w:cs="Arial"/>
                <w:sz w:val="20"/>
                <w:szCs w:val="20"/>
                <w:lang w:val="es-ES"/>
              </w:rPr>
              <w:t>.</w:t>
            </w:r>
          </w:p>
        </w:tc>
        <w:tc>
          <w:tcPr>
            <w:tcW w:w="2143" w:type="dxa"/>
            <w:tcBorders>
              <w:top w:val="nil"/>
              <w:left w:val="single" w:sz="4" w:space="0" w:color="auto"/>
              <w:bottom w:val="single" w:sz="4" w:space="0" w:color="auto"/>
              <w:right w:val="single" w:sz="4" w:space="0" w:color="auto"/>
            </w:tcBorders>
          </w:tcPr>
          <w:p w14:paraId="6817AE2B" w14:textId="77777777" w:rsidR="00A1270C"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lastRenderedPageBreak/>
              <w:t>Superintendencia Financiera de Colombia</w:t>
            </w:r>
          </w:p>
        </w:tc>
      </w:tr>
      <w:tr w:rsidR="00C12C6F" w:rsidRPr="00ED5F97" w14:paraId="21FE0F33" w14:textId="77777777" w:rsidTr="797FBB80">
        <w:trPr>
          <w:trHeight w:val="130"/>
          <w:tblHeader/>
          <w:jc w:val="center"/>
        </w:trPr>
        <w:tc>
          <w:tcPr>
            <w:tcW w:w="3223" w:type="dxa"/>
            <w:shd w:val="clear" w:color="auto" w:fill="BFBFBF" w:themeFill="background1" w:themeFillShade="BF"/>
            <w:vAlign w:val="center"/>
            <w:hideMark/>
          </w:tcPr>
          <w:p w14:paraId="59B4767B" w14:textId="77777777" w:rsidR="00C12C6F" w:rsidRPr="00ED5F97" w:rsidRDefault="00C12C6F"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Objetivos de Política</w:t>
            </w:r>
          </w:p>
        </w:tc>
        <w:tc>
          <w:tcPr>
            <w:tcW w:w="4320" w:type="dxa"/>
            <w:shd w:val="clear" w:color="auto" w:fill="BFBFBF" w:themeFill="background1" w:themeFillShade="BF"/>
            <w:vAlign w:val="center"/>
            <w:hideMark/>
          </w:tcPr>
          <w:p w14:paraId="7B323B80" w14:textId="77777777" w:rsidR="00C12C6F" w:rsidRPr="00ED5F97" w:rsidRDefault="00C12C6F" w:rsidP="797FBB80">
            <w:pPr>
              <w:spacing w:after="0" w:line="240" w:lineRule="auto"/>
              <w:jc w:val="center"/>
              <w:rPr>
                <w:rFonts w:ascii="Arial" w:eastAsia="Arial" w:hAnsi="Arial" w:cs="Arial"/>
                <w:b/>
                <w:bCs/>
                <w:sz w:val="20"/>
                <w:szCs w:val="20"/>
                <w:lang w:val="pt-BR"/>
              </w:rPr>
            </w:pPr>
            <w:r w:rsidRPr="00ED5F97">
              <w:rPr>
                <w:rFonts w:ascii="Arial" w:eastAsia="Arial" w:hAnsi="Arial" w:cs="Arial"/>
                <w:b/>
                <w:bCs/>
                <w:smallCaps/>
                <w:sz w:val="20"/>
                <w:szCs w:val="20"/>
                <w:lang w:val="pt-BR"/>
              </w:rPr>
              <w:t>Medida</w:t>
            </w:r>
            <w:bookmarkStart w:id="0" w:name="_GoBack"/>
            <w:bookmarkEnd w:id="0"/>
            <w:r w:rsidRPr="00ED5F97">
              <w:rPr>
                <w:rFonts w:ascii="Arial" w:eastAsia="Arial" w:hAnsi="Arial" w:cs="Arial"/>
                <w:b/>
                <w:bCs/>
                <w:smallCaps/>
                <w:sz w:val="20"/>
                <w:szCs w:val="20"/>
                <w:lang w:val="pt-BR"/>
              </w:rPr>
              <w:t>s de Política Acordada</w:t>
            </w:r>
          </w:p>
          <w:p w14:paraId="51219024" w14:textId="77777777" w:rsidR="00C12C6F" w:rsidRPr="00ED5F97" w:rsidRDefault="00C12C6F" w:rsidP="797FBB80">
            <w:pPr>
              <w:spacing w:after="0" w:line="240" w:lineRule="auto"/>
              <w:jc w:val="center"/>
              <w:rPr>
                <w:rFonts w:ascii="Arial" w:eastAsia="Arial" w:hAnsi="Arial" w:cs="Arial"/>
                <w:b/>
                <w:bCs/>
                <w:sz w:val="20"/>
                <w:szCs w:val="20"/>
                <w:lang w:val="pt-BR"/>
              </w:rPr>
            </w:pPr>
            <w:r w:rsidRPr="00ED5F97">
              <w:rPr>
                <w:rFonts w:ascii="Arial" w:eastAsia="Arial" w:hAnsi="Arial" w:cs="Arial"/>
                <w:b/>
                <w:bCs/>
                <w:smallCaps/>
                <w:sz w:val="20"/>
                <w:szCs w:val="20"/>
                <w:lang w:val="pt-BR"/>
              </w:rPr>
              <w:t>Programa I</w:t>
            </w:r>
            <w:r w:rsidR="00A32D40" w:rsidRPr="00ED5F97">
              <w:rPr>
                <w:rFonts w:ascii="Arial" w:eastAsia="Arial" w:hAnsi="Arial" w:cs="Arial"/>
                <w:b/>
                <w:bCs/>
                <w:smallCaps/>
                <w:sz w:val="20"/>
                <w:szCs w:val="20"/>
                <w:lang w:val="pt-BR"/>
              </w:rPr>
              <w:t>I</w:t>
            </w:r>
          </w:p>
        </w:tc>
        <w:tc>
          <w:tcPr>
            <w:tcW w:w="3240" w:type="dxa"/>
            <w:shd w:val="clear" w:color="auto" w:fill="BFBFBF" w:themeFill="background1" w:themeFillShade="BF"/>
            <w:vAlign w:val="center"/>
            <w:hideMark/>
          </w:tcPr>
          <w:p w14:paraId="0FA38BA0" w14:textId="77777777" w:rsidR="00C12C6F" w:rsidRPr="00ED5F97" w:rsidRDefault="00C12C6F"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Medios De Verificación</w:t>
            </w:r>
          </w:p>
        </w:tc>
        <w:tc>
          <w:tcPr>
            <w:tcW w:w="2143" w:type="dxa"/>
            <w:shd w:val="clear" w:color="auto" w:fill="BFBFBF" w:themeFill="background1" w:themeFillShade="BF"/>
          </w:tcPr>
          <w:p w14:paraId="103024BD" w14:textId="77777777" w:rsidR="00C12C6F" w:rsidRPr="00ED5F97" w:rsidRDefault="00C12C6F"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Unidad responsable</w:t>
            </w:r>
          </w:p>
        </w:tc>
      </w:tr>
      <w:tr w:rsidR="007A2AEC" w:rsidRPr="00125C44" w14:paraId="6A978551" w14:textId="77777777" w:rsidTr="797FBB80">
        <w:trPr>
          <w:jc w:val="center"/>
        </w:trPr>
        <w:tc>
          <w:tcPr>
            <w:tcW w:w="12926" w:type="dxa"/>
            <w:gridSpan w:val="4"/>
            <w:shd w:val="clear" w:color="auto" w:fill="BFBFBF" w:themeFill="background1" w:themeFillShade="BF"/>
          </w:tcPr>
          <w:p w14:paraId="2A99D545" w14:textId="77777777" w:rsidR="007A2AEC" w:rsidRPr="00ED5F97" w:rsidRDefault="797FBB80" w:rsidP="797FBB80">
            <w:pPr>
              <w:spacing w:before="80" w:after="80" w:line="240" w:lineRule="auto"/>
              <w:rPr>
                <w:rFonts w:ascii="Arial" w:eastAsia="Arial" w:hAnsi="Arial" w:cs="Arial"/>
                <w:b/>
                <w:bCs/>
                <w:sz w:val="20"/>
                <w:szCs w:val="20"/>
                <w:lang w:val="es-ES"/>
              </w:rPr>
            </w:pPr>
            <w:r w:rsidRPr="00ED5F97">
              <w:rPr>
                <w:rFonts w:ascii="Arial" w:eastAsia="Arial" w:hAnsi="Arial" w:cs="Arial"/>
                <w:b/>
                <w:bCs/>
                <w:sz w:val="20"/>
                <w:szCs w:val="20"/>
                <w:lang w:val="es-ES"/>
              </w:rPr>
              <w:t>Componente IV:</w:t>
            </w:r>
            <w:r w:rsidRPr="00ED5F97">
              <w:rPr>
                <w:rFonts w:ascii="Arial" w:eastAsia="Arial,Times New Roman" w:hAnsi="Arial" w:cs="Arial"/>
                <w:b/>
                <w:bCs/>
                <w:color w:val="000000" w:themeColor="text1"/>
                <w:sz w:val="20"/>
                <w:szCs w:val="20"/>
                <w:lang w:val="es-ES"/>
              </w:rPr>
              <w:t xml:space="preserve"> Mejora de la Inclusión Financiera.</w:t>
            </w:r>
          </w:p>
        </w:tc>
      </w:tr>
      <w:tr w:rsidR="007A2AEC" w:rsidRPr="00125C44" w14:paraId="6B688080" w14:textId="77777777" w:rsidTr="797FBB80">
        <w:trPr>
          <w:jc w:val="center"/>
        </w:trPr>
        <w:tc>
          <w:tcPr>
            <w:tcW w:w="3223" w:type="dxa"/>
            <w:vMerge w:val="restart"/>
            <w:shd w:val="clear" w:color="auto" w:fill="auto"/>
          </w:tcPr>
          <w:p w14:paraId="51E258AE" w14:textId="77777777" w:rsidR="007A2AEC" w:rsidRPr="00ED5F97" w:rsidRDefault="797FBB80" w:rsidP="797FBB80">
            <w:pPr>
              <w:pStyle w:val="ListParagraph"/>
              <w:numPr>
                <w:ilvl w:val="0"/>
                <w:numId w:val="13"/>
              </w:numPr>
              <w:spacing w:after="0" w:line="240" w:lineRule="auto"/>
              <w:ind w:left="281" w:hanging="270"/>
              <w:rPr>
                <w:rFonts w:ascii="Arial" w:eastAsia="Arial" w:hAnsi="Arial" w:cs="Arial"/>
                <w:sz w:val="20"/>
                <w:szCs w:val="20"/>
                <w:lang w:val="es-ES"/>
              </w:rPr>
            </w:pPr>
            <w:r w:rsidRPr="00ED5F97">
              <w:rPr>
                <w:rFonts w:ascii="Arial" w:eastAsia="Arial" w:hAnsi="Arial" w:cs="Arial"/>
                <w:sz w:val="20"/>
                <w:szCs w:val="20"/>
                <w:lang w:val="es-ES"/>
              </w:rPr>
              <w:t>Mejoras de la oferta de productos y canales para la inclusión financiera.</w:t>
            </w:r>
          </w:p>
        </w:tc>
        <w:tc>
          <w:tcPr>
            <w:tcW w:w="4320" w:type="dxa"/>
            <w:tcBorders>
              <w:bottom w:val="nil"/>
              <w:right w:val="single" w:sz="4" w:space="0" w:color="auto"/>
            </w:tcBorders>
            <w:shd w:val="clear" w:color="auto" w:fill="auto"/>
          </w:tcPr>
          <w:p w14:paraId="7370E665" w14:textId="1109B102" w:rsidR="007A2AEC"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Se han adoptado medi</w:t>
            </w:r>
            <w:r w:rsidR="006156DD">
              <w:rPr>
                <w:rFonts w:ascii="Arial" w:eastAsia="Arial" w:hAnsi="Arial" w:cs="Arial"/>
                <w:sz w:val="20"/>
                <w:szCs w:val="20"/>
                <w:lang w:val="es-ES"/>
              </w:rPr>
              <w:t>d</w:t>
            </w:r>
            <w:r w:rsidRPr="00ED5F97">
              <w:rPr>
                <w:rFonts w:ascii="Arial" w:eastAsia="Arial" w:hAnsi="Arial" w:cs="Arial"/>
                <w:sz w:val="20"/>
                <w:szCs w:val="20"/>
                <w:lang w:val="es-ES"/>
              </w:rPr>
              <w:t>as para ampliar el acceso a servicios financieros para la población no incluida o de recién inclusión, comprendiendo como mínimo las siguientes:</w:t>
            </w:r>
          </w:p>
        </w:tc>
        <w:tc>
          <w:tcPr>
            <w:tcW w:w="3240" w:type="dxa"/>
            <w:tcBorders>
              <w:top w:val="single" w:sz="4" w:space="0" w:color="auto"/>
              <w:left w:val="single" w:sz="4" w:space="0" w:color="auto"/>
              <w:bottom w:val="nil"/>
              <w:right w:val="single" w:sz="4" w:space="0" w:color="auto"/>
            </w:tcBorders>
            <w:shd w:val="clear" w:color="auto" w:fill="auto"/>
          </w:tcPr>
          <w:p w14:paraId="4D43B311" w14:textId="77777777" w:rsidR="007A2AEC" w:rsidRPr="00ED5F97" w:rsidRDefault="007A2AEC" w:rsidP="00B46930">
            <w:pPr>
              <w:spacing w:after="0" w:line="240" w:lineRule="auto"/>
              <w:rPr>
                <w:rFonts w:ascii="Arial" w:hAnsi="Arial" w:cs="Arial"/>
                <w:sz w:val="20"/>
                <w:szCs w:val="20"/>
                <w:lang w:val="es-ES_tradnl"/>
              </w:rPr>
            </w:pPr>
          </w:p>
        </w:tc>
        <w:tc>
          <w:tcPr>
            <w:tcW w:w="2143" w:type="dxa"/>
            <w:tcBorders>
              <w:top w:val="single" w:sz="4" w:space="0" w:color="auto"/>
              <w:left w:val="single" w:sz="4" w:space="0" w:color="auto"/>
              <w:bottom w:val="nil"/>
              <w:right w:val="single" w:sz="4" w:space="0" w:color="auto"/>
            </w:tcBorders>
          </w:tcPr>
          <w:p w14:paraId="39396F1D" w14:textId="77777777" w:rsidR="007A2AEC" w:rsidRPr="00ED5F97" w:rsidRDefault="007A2AEC" w:rsidP="005208BB">
            <w:pPr>
              <w:spacing w:after="0" w:line="240" w:lineRule="auto"/>
              <w:rPr>
                <w:rFonts w:ascii="Arial" w:hAnsi="Arial" w:cs="Arial"/>
                <w:sz w:val="20"/>
                <w:szCs w:val="20"/>
                <w:lang w:val="es-ES_tradnl"/>
              </w:rPr>
            </w:pPr>
          </w:p>
        </w:tc>
      </w:tr>
      <w:tr w:rsidR="007A2AEC" w:rsidRPr="00125C44" w14:paraId="37A7422A" w14:textId="77777777" w:rsidTr="797FBB80">
        <w:trPr>
          <w:jc w:val="center"/>
        </w:trPr>
        <w:tc>
          <w:tcPr>
            <w:tcW w:w="3223" w:type="dxa"/>
            <w:vMerge/>
            <w:shd w:val="clear" w:color="auto" w:fill="auto"/>
          </w:tcPr>
          <w:p w14:paraId="2316ADF5" w14:textId="77777777" w:rsidR="007A2AEC" w:rsidRPr="00ED5F97" w:rsidRDefault="007A2AEC"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381C426E" w14:textId="0B0AD04F" w:rsidR="007A2AEC" w:rsidRPr="00ED5F97"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Times New Roman" w:hAnsi="Arial" w:cs="Arial"/>
                <w:sz w:val="20"/>
                <w:szCs w:val="20"/>
                <w:lang w:val="es-ES"/>
              </w:rPr>
              <w:t>El Decreto de reglamentación de la Ley de Inclusión Financiera ha sido emitido por el Gobierno Nacional (MHCP).</w:t>
            </w:r>
          </w:p>
        </w:tc>
        <w:tc>
          <w:tcPr>
            <w:tcW w:w="3240" w:type="dxa"/>
            <w:tcBorders>
              <w:top w:val="nil"/>
              <w:left w:val="single" w:sz="4" w:space="0" w:color="auto"/>
              <w:bottom w:val="nil"/>
              <w:right w:val="single" w:sz="4" w:space="0" w:color="auto"/>
            </w:tcBorders>
            <w:shd w:val="clear" w:color="auto" w:fill="auto"/>
          </w:tcPr>
          <w:p w14:paraId="2F2D592B" w14:textId="1003C065" w:rsidR="007A2AEC" w:rsidRPr="00ED5F97" w:rsidRDefault="797FBB80"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Decreto 1491 del 13 de julio de 2015</w:t>
            </w:r>
            <w:r w:rsidR="007C0A2E">
              <w:rPr>
                <w:rFonts w:ascii="Arial" w:eastAsia="Arial,Times New Roman" w:hAnsi="Arial" w:cs="Arial"/>
                <w:sz w:val="20"/>
                <w:szCs w:val="20"/>
                <w:lang w:val="es-ES"/>
              </w:rPr>
              <w:t>.</w:t>
            </w:r>
          </w:p>
        </w:tc>
        <w:tc>
          <w:tcPr>
            <w:tcW w:w="2143" w:type="dxa"/>
            <w:tcBorders>
              <w:top w:val="nil"/>
              <w:left w:val="single" w:sz="4" w:space="0" w:color="auto"/>
              <w:bottom w:val="nil"/>
              <w:right w:val="single" w:sz="4" w:space="0" w:color="auto"/>
            </w:tcBorders>
          </w:tcPr>
          <w:p w14:paraId="79C28CFA" w14:textId="77777777" w:rsidR="007A2AEC"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r w:rsidR="007A2AEC" w:rsidRPr="00ED5F97" w14:paraId="23B11A5A" w14:textId="77777777" w:rsidTr="797FBB80">
        <w:trPr>
          <w:jc w:val="center"/>
        </w:trPr>
        <w:tc>
          <w:tcPr>
            <w:tcW w:w="3223" w:type="dxa"/>
            <w:vMerge/>
            <w:shd w:val="clear" w:color="auto" w:fill="auto"/>
          </w:tcPr>
          <w:p w14:paraId="26A21C1A" w14:textId="77777777" w:rsidR="007A2AEC" w:rsidRPr="00ED5F97" w:rsidRDefault="007A2AEC"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341CD8EE" w14:textId="77777777" w:rsidR="007A2AEC" w:rsidRPr="00ED5F97"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Times New Roman" w:hAnsi="Arial" w:cs="Arial"/>
                <w:sz w:val="20"/>
                <w:szCs w:val="20"/>
                <w:lang w:val="es-ES"/>
              </w:rPr>
              <w:t>La Resolución que certifica el interés bancario corriente para la modalidad de Crédito de Consumo de Bajo Monto ha sido actualizada por la Superintendencia Financiera.</w:t>
            </w:r>
          </w:p>
        </w:tc>
        <w:tc>
          <w:tcPr>
            <w:tcW w:w="3240" w:type="dxa"/>
            <w:tcBorders>
              <w:top w:val="nil"/>
              <w:left w:val="single" w:sz="4" w:space="0" w:color="auto"/>
              <w:bottom w:val="nil"/>
              <w:right w:val="single" w:sz="4" w:space="0" w:color="auto"/>
            </w:tcBorders>
            <w:shd w:val="clear" w:color="auto" w:fill="auto"/>
          </w:tcPr>
          <w:p w14:paraId="51BAE0E0" w14:textId="1D9AF24D" w:rsidR="007A2AEC" w:rsidRPr="00ED5F97" w:rsidRDefault="797FBB80"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Resolución 1233 del 29 de septiembre de 2016</w:t>
            </w:r>
            <w:r w:rsidR="007C0A2E">
              <w:rPr>
                <w:rFonts w:ascii="Arial" w:eastAsia="Arial,Times New Roman" w:hAnsi="Arial" w:cs="Arial"/>
                <w:sz w:val="20"/>
                <w:szCs w:val="20"/>
                <w:lang w:val="es-ES"/>
              </w:rPr>
              <w:t>.</w:t>
            </w:r>
          </w:p>
        </w:tc>
        <w:tc>
          <w:tcPr>
            <w:tcW w:w="2143" w:type="dxa"/>
            <w:tcBorders>
              <w:top w:val="nil"/>
              <w:left w:val="single" w:sz="4" w:space="0" w:color="auto"/>
              <w:bottom w:val="nil"/>
              <w:right w:val="single" w:sz="4" w:space="0" w:color="auto"/>
            </w:tcBorders>
          </w:tcPr>
          <w:p w14:paraId="0951D6FB" w14:textId="77777777" w:rsidR="007A2AEC"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Superintendencia Financiera de Colombia</w:t>
            </w:r>
          </w:p>
        </w:tc>
      </w:tr>
      <w:tr w:rsidR="007A2AEC" w:rsidRPr="00125C44" w14:paraId="6D3968DD" w14:textId="77777777" w:rsidTr="797FBB80">
        <w:trPr>
          <w:jc w:val="center"/>
        </w:trPr>
        <w:tc>
          <w:tcPr>
            <w:tcW w:w="3223" w:type="dxa"/>
            <w:vMerge/>
            <w:shd w:val="clear" w:color="auto" w:fill="auto"/>
          </w:tcPr>
          <w:p w14:paraId="5C4CA6E4" w14:textId="77777777" w:rsidR="007A2AEC" w:rsidRPr="00ED5F97" w:rsidRDefault="007A2AEC"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03AB5B83" w14:textId="105AF46C" w:rsidR="007A2AEC" w:rsidRPr="00ED5F97"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bookmarkStart w:id="1" w:name="_Hlk482187724"/>
            <w:r w:rsidRPr="00ED5F97">
              <w:rPr>
                <w:rFonts w:ascii="Arial" w:eastAsia="Arial,Times New Roman" w:hAnsi="Arial" w:cs="Arial"/>
                <w:sz w:val="20"/>
                <w:szCs w:val="20"/>
                <w:lang w:val="es-ES"/>
              </w:rPr>
              <w:t>Se ha</w:t>
            </w:r>
            <w:r w:rsidR="00EA238C">
              <w:rPr>
                <w:rFonts w:ascii="Arial" w:eastAsia="Arial,Times New Roman" w:hAnsi="Arial" w:cs="Arial"/>
                <w:sz w:val="20"/>
                <w:szCs w:val="20"/>
                <w:lang w:val="es-ES"/>
              </w:rPr>
              <w:t>n</w:t>
            </w:r>
            <w:r w:rsidRPr="00ED5F97">
              <w:rPr>
                <w:rFonts w:ascii="Arial" w:eastAsia="Arial,Times New Roman" w:hAnsi="Arial" w:cs="Arial"/>
                <w:sz w:val="20"/>
                <w:szCs w:val="20"/>
                <w:lang w:val="es-ES"/>
              </w:rPr>
              <w:t xml:space="preserve"> llevado a cabo </w:t>
            </w:r>
            <w:r w:rsidR="00EA238C">
              <w:rPr>
                <w:rFonts w:ascii="Arial" w:eastAsia="Arial,Times New Roman" w:hAnsi="Arial" w:cs="Arial"/>
                <w:sz w:val="20"/>
                <w:szCs w:val="20"/>
                <w:lang w:val="es-ES"/>
              </w:rPr>
              <w:t xml:space="preserve">los </w:t>
            </w:r>
            <w:r w:rsidRPr="00ED5F97">
              <w:rPr>
                <w:rFonts w:ascii="Arial" w:eastAsia="Arial,Times New Roman" w:hAnsi="Arial" w:cs="Arial"/>
                <w:sz w:val="20"/>
                <w:szCs w:val="20"/>
                <w:lang w:val="es-ES"/>
              </w:rPr>
              <w:t>diagnóstico</w:t>
            </w:r>
            <w:r w:rsidR="00EA238C">
              <w:rPr>
                <w:rFonts w:ascii="Arial" w:eastAsia="Arial,Times New Roman" w:hAnsi="Arial" w:cs="Arial"/>
                <w:sz w:val="20"/>
                <w:szCs w:val="20"/>
                <w:lang w:val="es-ES"/>
              </w:rPr>
              <w:t>s</w:t>
            </w:r>
            <w:r w:rsidRPr="00ED5F97">
              <w:rPr>
                <w:rFonts w:ascii="Arial" w:eastAsia="Arial,Times New Roman" w:hAnsi="Arial" w:cs="Arial"/>
                <w:sz w:val="20"/>
                <w:szCs w:val="20"/>
                <w:lang w:val="es-ES"/>
              </w:rPr>
              <w:t xml:space="preserve"> de</w:t>
            </w:r>
            <w:r w:rsidR="00046B1A">
              <w:rPr>
                <w:rFonts w:ascii="Arial" w:eastAsia="Arial,Times New Roman" w:hAnsi="Arial" w:cs="Arial"/>
                <w:sz w:val="20"/>
                <w:szCs w:val="20"/>
                <w:lang w:val="es-ES"/>
              </w:rPr>
              <w:t xml:space="preserve"> </w:t>
            </w:r>
            <w:r w:rsidRPr="00ED5F97">
              <w:rPr>
                <w:rFonts w:ascii="Arial" w:eastAsia="Arial,Times New Roman" w:hAnsi="Arial" w:cs="Arial"/>
                <w:sz w:val="20"/>
                <w:szCs w:val="20"/>
                <w:lang w:val="es-ES"/>
              </w:rPr>
              <w:t xml:space="preserve">las barreras tributarias para la formalización y creación de ecosistemas de pagos </w:t>
            </w:r>
            <w:r w:rsidR="00EA238C">
              <w:rPr>
                <w:rFonts w:ascii="Arial" w:eastAsia="Arial,Times New Roman" w:hAnsi="Arial" w:cs="Arial"/>
                <w:sz w:val="20"/>
                <w:szCs w:val="20"/>
                <w:lang w:val="es-ES"/>
              </w:rPr>
              <w:t xml:space="preserve">y para incentivar los pagos digitales </w:t>
            </w:r>
            <w:r w:rsidR="00046B1A">
              <w:rPr>
                <w:rFonts w:ascii="Arial" w:eastAsia="Arial,Times New Roman" w:hAnsi="Arial" w:cs="Arial"/>
                <w:sz w:val="20"/>
                <w:szCs w:val="20"/>
                <w:lang w:val="es-ES"/>
              </w:rPr>
              <w:t>preparado</w:t>
            </w:r>
            <w:r w:rsidR="00EA238C">
              <w:rPr>
                <w:rFonts w:ascii="Arial" w:eastAsia="Arial,Times New Roman" w:hAnsi="Arial" w:cs="Arial"/>
                <w:sz w:val="20"/>
                <w:szCs w:val="20"/>
                <w:lang w:val="es-ES"/>
              </w:rPr>
              <w:t>s</w:t>
            </w:r>
            <w:r w:rsidR="00046B1A">
              <w:rPr>
                <w:rFonts w:ascii="Arial" w:eastAsia="Arial,Times New Roman" w:hAnsi="Arial" w:cs="Arial"/>
                <w:sz w:val="20"/>
                <w:szCs w:val="20"/>
                <w:lang w:val="es-ES"/>
              </w:rPr>
              <w:t xml:space="preserve"> por la Unidad de Proyección Normativa y Estudios de Regulación Financiera</w:t>
            </w:r>
            <w:r w:rsidR="0045107E">
              <w:rPr>
                <w:rFonts w:ascii="Arial" w:eastAsia="Arial,Times New Roman" w:hAnsi="Arial" w:cs="Arial"/>
                <w:sz w:val="20"/>
                <w:szCs w:val="20"/>
                <w:lang w:val="es-ES"/>
              </w:rPr>
              <w:t xml:space="preserve"> </w:t>
            </w:r>
            <w:r w:rsidR="00C27369">
              <w:rPr>
                <w:rFonts w:ascii="Arial" w:eastAsia="Arial,Times New Roman" w:hAnsi="Arial" w:cs="Arial"/>
                <w:sz w:val="20"/>
                <w:szCs w:val="20"/>
                <w:lang w:val="es-ES"/>
              </w:rPr>
              <w:t xml:space="preserve">(URF) </w:t>
            </w:r>
            <w:r w:rsidR="0045107E">
              <w:rPr>
                <w:rFonts w:ascii="Arial" w:eastAsia="Arial,Times New Roman" w:hAnsi="Arial" w:cs="Arial"/>
                <w:sz w:val="20"/>
                <w:szCs w:val="20"/>
                <w:lang w:val="es-ES"/>
              </w:rPr>
              <w:t>y publicado</w:t>
            </w:r>
            <w:r w:rsidR="00EA238C">
              <w:rPr>
                <w:rFonts w:ascii="Arial" w:eastAsia="Arial,Times New Roman" w:hAnsi="Arial" w:cs="Arial"/>
                <w:sz w:val="20"/>
                <w:szCs w:val="20"/>
                <w:lang w:val="es-ES"/>
              </w:rPr>
              <w:t>s</w:t>
            </w:r>
            <w:r w:rsidR="0045107E">
              <w:rPr>
                <w:rFonts w:ascii="Arial" w:eastAsia="Arial,Times New Roman" w:hAnsi="Arial" w:cs="Arial"/>
                <w:sz w:val="20"/>
                <w:szCs w:val="20"/>
                <w:lang w:val="es-ES"/>
              </w:rPr>
              <w:t xml:space="preserve"> por el MHCP</w:t>
            </w:r>
            <w:r w:rsidR="00046B1A">
              <w:rPr>
                <w:rFonts w:ascii="Arial" w:eastAsia="Arial,Times New Roman" w:hAnsi="Arial" w:cs="Arial"/>
                <w:sz w:val="20"/>
                <w:szCs w:val="20"/>
                <w:lang w:val="es-ES"/>
              </w:rPr>
              <w:t xml:space="preserve">; </w:t>
            </w:r>
            <w:r w:rsidR="00585879">
              <w:rPr>
                <w:rFonts w:ascii="Arial" w:eastAsia="Arial,Times New Roman" w:hAnsi="Arial" w:cs="Arial"/>
                <w:sz w:val="20"/>
                <w:szCs w:val="20"/>
                <w:lang w:val="es-ES"/>
              </w:rPr>
              <w:t xml:space="preserve">y </w:t>
            </w:r>
            <w:r w:rsidR="0045107E">
              <w:rPr>
                <w:rFonts w:ascii="Arial" w:eastAsia="Arial,Times New Roman" w:hAnsi="Arial" w:cs="Arial"/>
                <w:sz w:val="20"/>
                <w:szCs w:val="20"/>
                <w:lang w:val="es-ES"/>
              </w:rPr>
              <w:t xml:space="preserve">el </w:t>
            </w:r>
            <w:r w:rsidR="00B8611D">
              <w:rPr>
                <w:rFonts w:ascii="Arial" w:eastAsia="Arial,Times New Roman" w:hAnsi="Arial" w:cs="Arial"/>
                <w:sz w:val="20"/>
                <w:szCs w:val="20"/>
                <w:lang w:val="es-ES"/>
              </w:rPr>
              <w:t>mecanismo del monotributo</w:t>
            </w:r>
            <w:r w:rsidR="0045107E">
              <w:rPr>
                <w:rFonts w:ascii="Arial" w:eastAsia="Arial,Times New Roman" w:hAnsi="Arial" w:cs="Arial"/>
                <w:sz w:val="20"/>
                <w:szCs w:val="20"/>
                <w:lang w:val="es-ES"/>
              </w:rPr>
              <w:t xml:space="preserve"> ha sido creado</w:t>
            </w:r>
            <w:r w:rsidR="00B8611D">
              <w:rPr>
                <w:rFonts w:ascii="Arial" w:eastAsia="Arial,Times New Roman" w:hAnsi="Arial" w:cs="Arial"/>
                <w:sz w:val="20"/>
                <w:szCs w:val="20"/>
                <w:lang w:val="es-ES"/>
              </w:rPr>
              <w:t xml:space="preserve">. </w:t>
            </w:r>
            <w:bookmarkEnd w:id="1"/>
          </w:p>
        </w:tc>
        <w:tc>
          <w:tcPr>
            <w:tcW w:w="3240" w:type="dxa"/>
            <w:tcBorders>
              <w:top w:val="nil"/>
              <w:left w:val="single" w:sz="4" w:space="0" w:color="auto"/>
              <w:bottom w:val="nil"/>
              <w:right w:val="single" w:sz="4" w:space="0" w:color="auto"/>
            </w:tcBorders>
            <w:shd w:val="clear" w:color="auto" w:fill="auto"/>
          </w:tcPr>
          <w:p w14:paraId="57110662" w14:textId="75DDD8CD" w:rsidR="007A2AEC" w:rsidRDefault="00B8611D" w:rsidP="797FBB80">
            <w:pPr>
              <w:spacing w:after="0" w:line="240" w:lineRule="auto"/>
              <w:rPr>
                <w:rFonts w:ascii="Arial" w:eastAsia="Arial,Times New Roman" w:hAnsi="Arial" w:cs="Arial"/>
                <w:sz w:val="20"/>
                <w:szCs w:val="20"/>
                <w:lang w:val="es-ES"/>
              </w:rPr>
            </w:pPr>
            <w:r>
              <w:rPr>
                <w:rFonts w:ascii="Arial" w:eastAsia="Arial,Times New Roman" w:hAnsi="Arial" w:cs="Arial"/>
                <w:sz w:val="20"/>
                <w:szCs w:val="20"/>
                <w:lang w:val="es-ES"/>
              </w:rPr>
              <w:t>Reporte</w:t>
            </w:r>
            <w:r w:rsidR="00EA238C">
              <w:rPr>
                <w:rFonts w:ascii="Arial" w:eastAsia="Arial,Times New Roman" w:hAnsi="Arial" w:cs="Arial"/>
                <w:sz w:val="20"/>
                <w:szCs w:val="20"/>
                <w:lang w:val="es-ES"/>
              </w:rPr>
              <w:t>s</w:t>
            </w:r>
            <w:r>
              <w:rPr>
                <w:rFonts w:ascii="Arial" w:eastAsia="Arial,Times New Roman" w:hAnsi="Arial" w:cs="Arial"/>
                <w:sz w:val="20"/>
                <w:szCs w:val="20"/>
                <w:lang w:val="es-ES"/>
              </w:rPr>
              <w:t xml:space="preserve"> </w:t>
            </w:r>
            <w:r w:rsidR="00BA1D60">
              <w:rPr>
                <w:rFonts w:ascii="Arial" w:eastAsia="Arial,Times New Roman" w:hAnsi="Arial" w:cs="Arial"/>
                <w:sz w:val="20"/>
                <w:szCs w:val="20"/>
                <w:lang w:val="es-ES"/>
              </w:rPr>
              <w:t xml:space="preserve">de diagnóstico </w:t>
            </w:r>
            <w:r>
              <w:rPr>
                <w:rFonts w:ascii="Arial" w:eastAsia="Arial,Times New Roman" w:hAnsi="Arial" w:cs="Arial"/>
                <w:sz w:val="20"/>
                <w:szCs w:val="20"/>
                <w:lang w:val="es-ES"/>
              </w:rPr>
              <w:t>publicado</w:t>
            </w:r>
            <w:r w:rsidR="00EA238C">
              <w:rPr>
                <w:rFonts w:ascii="Arial" w:eastAsia="Arial,Times New Roman" w:hAnsi="Arial" w:cs="Arial"/>
                <w:sz w:val="20"/>
                <w:szCs w:val="20"/>
                <w:lang w:val="es-ES"/>
              </w:rPr>
              <w:t>s</w:t>
            </w:r>
            <w:r>
              <w:rPr>
                <w:rFonts w:ascii="Arial" w:eastAsia="Arial,Times New Roman" w:hAnsi="Arial" w:cs="Arial"/>
                <w:sz w:val="20"/>
                <w:szCs w:val="20"/>
                <w:lang w:val="es-ES"/>
              </w:rPr>
              <w:t xml:space="preserve"> por el </w:t>
            </w:r>
            <w:r w:rsidR="797FBB80" w:rsidRPr="00ED5F97">
              <w:rPr>
                <w:rFonts w:ascii="Arial" w:eastAsia="Arial,Times New Roman" w:hAnsi="Arial" w:cs="Arial"/>
                <w:sz w:val="20"/>
                <w:szCs w:val="20"/>
                <w:lang w:val="es-ES"/>
              </w:rPr>
              <w:t>Ministerio de Hacienda y Crédito Público</w:t>
            </w:r>
            <w:r>
              <w:rPr>
                <w:rFonts w:ascii="Arial" w:eastAsia="Arial,Times New Roman" w:hAnsi="Arial" w:cs="Arial"/>
                <w:sz w:val="20"/>
                <w:szCs w:val="20"/>
                <w:lang w:val="es-ES"/>
              </w:rPr>
              <w:t xml:space="preserve"> y la</w:t>
            </w:r>
            <w:r w:rsidR="009F5D17">
              <w:rPr>
                <w:rFonts w:ascii="Arial" w:eastAsia="Arial,Times New Roman" w:hAnsi="Arial" w:cs="Arial"/>
                <w:sz w:val="20"/>
                <w:szCs w:val="20"/>
                <w:lang w:val="es-ES"/>
              </w:rPr>
              <w:t xml:space="preserve"> </w:t>
            </w:r>
          </w:p>
          <w:p w14:paraId="5FE26C88" w14:textId="1CFF5DA3" w:rsidR="00046B1A" w:rsidRPr="00ED5F97" w:rsidRDefault="00046B1A" w:rsidP="797FBB80">
            <w:pPr>
              <w:spacing w:after="0" w:line="240" w:lineRule="auto"/>
              <w:rPr>
                <w:rFonts w:ascii="Arial" w:eastAsia="Arial,Times New Roman" w:hAnsi="Arial" w:cs="Arial"/>
                <w:sz w:val="20"/>
                <w:szCs w:val="20"/>
                <w:lang w:val="es-ES"/>
              </w:rPr>
            </w:pPr>
            <w:r>
              <w:rPr>
                <w:rFonts w:ascii="Arial" w:eastAsia="Arial,Times New Roman" w:hAnsi="Arial" w:cs="Arial"/>
                <w:sz w:val="20"/>
                <w:szCs w:val="20"/>
                <w:lang w:val="es-ES"/>
              </w:rPr>
              <w:t>Ley 1819 de la Reforma Tributaria del 29 de diciembre de 2016</w:t>
            </w:r>
            <w:r w:rsidR="0040776D">
              <w:rPr>
                <w:rFonts w:ascii="Arial" w:eastAsia="Arial,Times New Roman" w:hAnsi="Arial" w:cs="Arial"/>
                <w:sz w:val="20"/>
                <w:szCs w:val="20"/>
                <w:lang w:val="es-ES"/>
              </w:rPr>
              <w:t xml:space="preserve"> (Arts. 165-172)</w:t>
            </w:r>
            <w:r w:rsidR="00B8611D">
              <w:rPr>
                <w:rFonts w:ascii="Arial" w:eastAsia="Arial,Times New Roman" w:hAnsi="Arial" w:cs="Arial"/>
                <w:sz w:val="20"/>
                <w:szCs w:val="20"/>
                <w:lang w:val="es-ES"/>
              </w:rPr>
              <w:t>.</w:t>
            </w:r>
          </w:p>
        </w:tc>
        <w:tc>
          <w:tcPr>
            <w:tcW w:w="2143" w:type="dxa"/>
            <w:tcBorders>
              <w:top w:val="nil"/>
              <w:left w:val="single" w:sz="4" w:space="0" w:color="auto"/>
              <w:bottom w:val="nil"/>
              <w:right w:val="single" w:sz="4" w:space="0" w:color="auto"/>
            </w:tcBorders>
          </w:tcPr>
          <w:p w14:paraId="0C6A833D" w14:textId="77777777" w:rsidR="007A2AEC"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r w:rsidR="007A2AEC" w:rsidRPr="00125C44" w14:paraId="7B1B464F" w14:textId="77777777" w:rsidTr="797FBB80">
        <w:trPr>
          <w:jc w:val="center"/>
        </w:trPr>
        <w:tc>
          <w:tcPr>
            <w:tcW w:w="3223" w:type="dxa"/>
            <w:vMerge/>
            <w:shd w:val="clear" w:color="auto" w:fill="auto"/>
          </w:tcPr>
          <w:p w14:paraId="4E78DED8" w14:textId="77777777" w:rsidR="007A2AEC" w:rsidRPr="00ED5F97" w:rsidRDefault="007A2AEC"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0E09E85A" w14:textId="59F5D38B" w:rsidR="007A2AEC" w:rsidRPr="00ED5F97"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Times New Roman" w:hAnsi="Arial" w:cs="Arial"/>
                <w:sz w:val="20"/>
                <w:szCs w:val="20"/>
                <w:lang w:val="es-ES"/>
              </w:rPr>
              <w:t xml:space="preserve">Se ha llevado a cabo </w:t>
            </w:r>
            <w:r w:rsidR="00D600E9">
              <w:rPr>
                <w:rFonts w:ascii="Arial" w:eastAsia="Arial,Times New Roman" w:hAnsi="Arial" w:cs="Arial"/>
                <w:sz w:val="20"/>
                <w:szCs w:val="20"/>
                <w:lang w:val="es-ES"/>
              </w:rPr>
              <w:t>un</w:t>
            </w:r>
            <w:r w:rsidRPr="00ED5F97">
              <w:rPr>
                <w:rFonts w:ascii="Arial" w:eastAsia="Arial,Times New Roman" w:hAnsi="Arial" w:cs="Arial"/>
                <w:sz w:val="20"/>
                <w:szCs w:val="20"/>
                <w:lang w:val="es-ES"/>
              </w:rPr>
              <w:t xml:space="preserve"> diagnóstico de la normativa del sistema financiero para ampliar el acceso a servicios financieros p</w:t>
            </w:r>
            <w:r w:rsidR="007E50CC">
              <w:rPr>
                <w:rFonts w:ascii="Arial" w:eastAsia="Arial,Times New Roman" w:hAnsi="Arial" w:cs="Arial"/>
                <w:sz w:val="20"/>
                <w:szCs w:val="20"/>
                <w:lang w:val="es-ES"/>
              </w:rPr>
              <w:t>ara mujeres</w:t>
            </w:r>
            <w:r w:rsidR="00986F6A">
              <w:rPr>
                <w:rFonts w:ascii="Arial" w:eastAsia="Arial,Times New Roman" w:hAnsi="Arial" w:cs="Arial"/>
                <w:sz w:val="20"/>
                <w:szCs w:val="20"/>
                <w:lang w:val="es-ES"/>
              </w:rPr>
              <w:t>.</w:t>
            </w:r>
          </w:p>
        </w:tc>
        <w:tc>
          <w:tcPr>
            <w:tcW w:w="3240" w:type="dxa"/>
            <w:tcBorders>
              <w:top w:val="nil"/>
              <w:left w:val="single" w:sz="4" w:space="0" w:color="auto"/>
              <w:bottom w:val="nil"/>
              <w:right w:val="single" w:sz="4" w:space="0" w:color="auto"/>
            </w:tcBorders>
            <w:shd w:val="clear" w:color="auto" w:fill="auto"/>
          </w:tcPr>
          <w:p w14:paraId="0B52F5F7" w14:textId="46C15F3A" w:rsidR="007A2AEC" w:rsidRDefault="009F5D17" w:rsidP="797FBB80">
            <w:pPr>
              <w:spacing w:after="0" w:line="240" w:lineRule="auto"/>
              <w:rPr>
                <w:rFonts w:ascii="Arial" w:eastAsia="Arial" w:hAnsi="Arial" w:cs="Arial"/>
                <w:sz w:val="20"/>
                <w:szCs w:val="20"/>
                <w:lang w:val="es-ES"/>
              </w:rPr>
            </w:pPr>
            <w:r>
              <w:rPr>
                <w:rFonts w:ascii="Arial" w:eastAsia="Arial" w:hAnsi="Arial" w:cs="Arial"/>
                <w:sz w:val="20"/>
                <w:szCs w:val="20"/>
                <w:lang w:val="es-ES"/>
              </w:rPr>
              <w:t>Informe</w:t>
            </w:r>
            <w:r w:rsidR="797FBB80" w:rsidRPr="00ED5F97">
              <w:rPr>
                <w:rFonts w:ascii="Arial" w:eastAsia="Arial" w:hAnsi="Arial" w:cs="Arial"/>
                <w:sz w:val="20"/>
                <w:szCs w:val="20"/>
                <w:lang w:val="es-ES"/>
              </w:rPr>
              <w:t xml:space="preserve"> </w:t>
            </w:r>
            <w:r w:rsidR="007E50CC">
              <w:rPr>
                <w:rFonts w:ascii="Arial" w:eastAsia="Arial" w:hAnsi="Arial" w:cs="Arial"/>
                <w:sz w:val="20"/>
                <w:szCs w:val="20"/>
                <w:lang w:val="es-ES"/>
              </w:rPr>
              <w:t xml:space="preserve">final </w:t>
            </w:r>
            <w:r w:rsidR="0059413E">
              <w:rPr>
                <w:rFonts w:ascii="Arial" w:eastAsia="Arial" w:hAnsi="Arial" w:cs="Arial"/>
                <w:sz w:val="20"/>
                <w:szCs w:val="20"/>
                <w:lang w:val="es-ES"/>
              </w:rPr>
              <w:t xml:space="preserve">del estudio de la normativa del sistema financiero para ampliar el acceso a servicios financieros para mujeres preparado para </w:t>
            </w:r>
            <w:r w:rsidR="797FBB80" w:rsidRPr="00ED5F97">
              <w:rPr>
                <w:rFonts w:ascii="Arial" w:eastAsia="Arial" w:hAnsi="Arial" w:cs="Arial"/>
                <w:sz w:val="20"/>
                <w:szCs w:val="20"/>
                <w:lang w:val="es-ES"/>
              </w:rPr>
              <w:t>el Ministerio de Hacienda y Crédito Público</w:t>
            </w:r>
            <w:r w:rsidR="007C0A2E">
              <w:rPr>
                <w:rFonts w:ascii="Arial" w:eastAsia="Arial" w:hAnsi="Arial" w:cs="Arial"/>
                <w:sz w:val="20"/>
                <w:szCs w:val="20"/>
                <w:lang w:val="es-ES"/>
              </w:rPr>
              <w:t>.</w:t>
            </w:r>
          </w:p>
          <w:p w14:paraId="583FBC8F" w14:textId="77777777" w:rsidR="007E50CC" w:rsidRPr="00656F22" w:rsidRDefault="007E50CC" w:rsidP="007E50CC">
            <w:pPr>
              <w:autoSpaceDE w:val="0"/>
              <w:autoSpaceDN w:val="0"/>
              <w:adjustRightInd w:val="0"/>
              <w:spacing w:after="0" w:line="240" w:lineRule="auto"/>
              <w:rPr>
                <w:rFonts w:ascii="Times New Roman" w:hAnsi="Times New Roman" w:cs="Times New Roman"/>
                <w:color w:val="000000"/>
                <w:sz w:val="24"/>
                <w:szCs w:val="24"/>
                <w:lang w:val="es-ES_tradnl"/>
              </w:rPr>
            </w:pPr>
          </w:p>
          <w:tbl>
            <w:tblPr>
              <w:tblW w:w="0" w:type="auto"/>
              <w:tblBorders>
                <w:top w:val="nil"/>
                <w:left w:val="nil"/>
                <w:bottom w:val="nil"/>
                <w:right w:val="nil"/>
              </w:tblBorders>
              <w:tblLayout w:type="fixed"/>
              <w:tblLook w:val="0000" w:firstRow="0" w:lastRow="0" w:firstColumn="0" w:lastColumn="0" w:noHBand="0" w:noVBand="0"/>
            </w:tblPr>
            <w:tblGrid>
              <w:gridCol w:w="8250"/>
            </w:tblGrid>
            <w:tr w:rsidR="007E50CC" w:rsidRPr="00125C44" w14:paraId="34AB21A0" w14:textId="77777777">
              <w:trPr>
                <w:trHeight w:val="1364"/>
              </w:trPr>
              <w:tc>
                <w:tcPr>
                  <w:tcW w:w="8250" w:type="dxa"/>
                </w:tcPr>
                <w:p w14:paraId="7229478F" w14:textId="149369F4" w:rsidR="007E50CC" w:rsidRPr="00656F22" w:rsidRDefault="007E50CC" w:rsidP="007E50CC">
                  <w:pPr>
                    <w:autoSpaceDE w:val="0"/>
                    <w:autoSpaceDN w:val="0"/>
                    <w:adjustRightInd w:val="0"/>
                    <w:spacing w:after="0" w:line="240" w:lineRule="auto"/>
                    <w:rPr>
                      <w:rFonts w:ascii="Times New Roman" w:hAnsi="Times New Roman" w:cs="Times New Roman"/>
                      <w:color w:val="000000"/>
                      <w:lang w:val="es-ES_tradnl"/>
                    </w:rPr>
                  </w:pPr>
                </w:p>
              </w:tc>
            </w:tr>
          </w:tbl>
          <w:p w14:paraId="2D237D0B" w14:textId="774ACACC" w:rsidR="007E50CC" w:rsidRPr="00ED5F97" w:rsidRDefault="007E50CC" w:rsidP="797FBB80">
            <w:pPr>
              <w:spacing w:after="0" w:line="240" w:lineRule="auto"/>
              <w:rPr>
                <w:rFonts w:ascii="Arial" w:eastAsia="Arial" w:hAnsi="Arial" w:cs="Arial"/>
                <w:sz w:val="20"/>
                <w:szCs w:val="20"/>
                <w:lang w:val="es-ES"/>
              </w:rPr>
            </w:pPr>
          </w:p>
        </w:tc>
        <w:tc>
          <w:tcPr>
            <w:tcW w:w="2143" w:type="dxa"/>
            <w:tcBorders>
              <w:top w:val="nil"/>
              <w:left w:val="single" w:sz="4" w:space="0" w:color="auto"/>
              <w:bottom w:val="nil"/>
              <w:right w:val="single" w:sz="4" w:space="0" w:color="auto"/>
            </w:tcBorders>
          </w:tcPr>
          <w:p w14:paraId="4580D940" w14:textId="77777777" w:rsidR="007A2AEC"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lastRenderedPageBreak/>
              <w:t>Ministerio de Hacienda y Crédito Público</w:t>
            </w:r>
          </w:p>
        </w:tc>
      </w:tr>
      <w:tr w:rsidR="007A2AEC" w:rsidRPr="00125C44" w14:paraId="3435D54C" w14:textId="77777777" w:rsidTr="797FBB80">
        <w:trPr>
          <w:jc w:val="center"/>
        </w:trPr>
        <w:tc>
          <w:tcPr>
            <w:tcW w:w="3223" w:type="dxa"/>
            <w:vMerge/>
            <w:tcBorders>
              <w:bottom w:val="single" w:sz="4" w:space="0" w:color="auto"/>
            </w:tcBorders>
            <w:shd w:val="clear" w:color="auto" w:fill="auto"/>
          </w:tcPr>
          <w:p w14:paraId="606551A3" w14:textId="77777777" w:rsidR="007A2AEC" w:rsidRPr="00ED5F97" w:rsidRDefault="007A2AEC" w:rsidP="005208BB">
            <w:pPr>
              <w:spacing w:after="0" w:line="240" w:lineRule="auto"/>
              <w:rPr>
                <w:rFonts w:ascii="Arial" w:hAnsi="Arial" w:cs="Arial"/>
                <w:b/>
                <w:sz w:val="20"/>
                <w:szCs w:val="20"/>
                <w:lang w:val="es-ES_tradnl"/>
              </w:rPr>
            </w:pPr>
          </w:p>
        </w:tc>
        <w:tc>
          <w:tcPr>
            <w:tcW w:w="4320" w:type="dxa"/>
            <w:tcBorders>
              <w:top w:val="nil"/>
              <w:bottom w:val="single" w:sz="4" w:space="0" w:color="auto"/>
              <w:right w:val="single" w:sz="4" w:space="0" w:color="auto"/>
            </w:tcBorders>
            <w:shd w:val="clear" w:color="auto" w:fill="auto"/>
          </w:tcPr>
          <w:p w14:paraId="29F9CDAE" w14:textId="53DA710B" w:rsidR="007A2AEC" w:rsidRPr="00ED5F97" w:rsidRDefault="797FBB80" w:rsidP="797FBB80">
            <w:pPr>
              <w:pStyle w:val="ListParagraph"/>
              <w:numPr>
                <w:ilvl w:val="0"/>
                <w:numId w:val="12"/>
              </w:numPr>
              <w:spacing w:after="0" w:line="240" w:lineRule="auto"/>
              <w:ind w:left="162" w:hanging="180"/>
              <w:rPr>
                <w:rFonts w:ascii="Arial" w:eastAsia="Arial" w:hAnsi="Arial" w:cs="Arial"/>
                <w:b/>
                <w:bCs/>
                <w:sz w:val="20"/>
                <w:szCs w:val="20"/>
                <w:lang w:val="es-ES"/>
              </w:rPr>
            </w:pPr>
            <w:r w:rsidRPr="00ED5F97">
              <w:rPr>
                <w:rFonts w:ascii="Arial" w:eastAsia="Arial,Times New Roman" w:hAnsi="Arial" w:cs="Arial"/>
                <w:sz w:val="20"/>
                <w:szCs w:val="20"/>
                <w:lang w:val="es-ES"/>
              </w:rPr>
              <w:t xml:space="preserve">Se ha elaborado el </w:t>
            </w:r>
            <w:r w:rsidR="00B65E67">
              <w:rPr>
                <w:rFonts w:ascii="Arial" w:eastAsia="Arial,Times New Roman" w:hAnsi="Arial" w:cs="Arial"/>
                <w:sz w:val="20"/>
                <w:szCs w:val="20"/>
                <w:lang w:val="es-ES"/>
              </w:rPr>
              <w:t>estudio de diagnóstico</w:t>
            </w:r>
            <w:r w:rsidR="00C27369">
              <w:rPr>
                <w:rFonts w:ascii="Arial" w:eastAsia="Arial,Times New Roman" w:hAnsi="Arial" w:cs="Arial"/>
                <w:sz w:val="20"/>
                <w:szCs w:val="20"/>
                <w:lang w:val="es-ES"/>
              </w:rPr>
              <w:t xml:space="preserve"> del esquema de comercialización de seguros en Colombia preparado por la URF.</w:t>
            </w:r>
          </w:p>
        </w:tc>
        <w:tc>
          <w:tcPr>
            <w:tcW w:w="3240" w:type="dxa"/>
            <w:tcBorders>
              <w:top w:val="nil"/>
              <w:left w:val="single" w:sz="4" w:space="0" w:color="auto"/>
              <w:bottom w:val="single" w:sz="4" w:space="0" w:color="auto"/>
              <w:right w:val="single" w:sz="4" w:space="0" w:color="auto"/>
            </w:tcBorders>
            <w:shd w:val="clear" w:color="auto" w:fill="auto"/>
          </w:tcPr>
          <w:p w14:paraId="6F546287" w14:textId="7E6B522E" w:rsidR="007A2AEC" w:rsidRPr="00ED5F97" w:rsidRDefault="00C27369" w:rsidP="797FBB80">
            <w:pPr>
              <w:spacing w:after="0" w:line="240" w:lineRule="auto"/>
              <w:rPr>
                <w:rFonts w:ascii="Arial" w:eastAsia="Arial" w:hAnsi="Arial" w:cs="Arial"/>
                <w:sz w:val="20"/>
                <w:szCs w:val="20"/>
                <w:lang w:val="es-ES"/>
              </w:rPr>
            </w:pPr>
            <w:r>
              <w:rPr>
                <w:rFonts w:ascii="Arial" w:eastAsia="Arial" w:hAnsi="Arial" w:cs="Arial"/>
                <w:sz w:val="20"/>
                <w:szCs w:val="20"/>
                <w:lang w:val="es-ES"/>
              </w:rPr>
              <w:t xml:space="preserve">Estudio </w:t>
            </w:r>
            <w:r>
              <w:rPr>
                <w:rFonts w:ascii="Arial" w:eastAsia="Arial,Times New Roman" w:hAnsi="Arial" w:cs="Arial"/>
                <w:sz w:val="20"/>
                <w:szCs w:val="20"/>
                <w:lang w:val="es-ES"/>
              </w:rPr>
              <w:t xml:space="preserve">de </w:t>
            </w:r>
            <w:r w:rsidR="00986F6A">
              <w:rPr>
                <w:rFonts w:ascii="Arial" w:eastAsia="Arial,Times New Roman" w:hAnsi="Arial" w:cs="Arial"/>
                <w:sz w:val="20"/>
                <w:szCs w:val="20"/>
                <w:lang w:val="es-ES"/>
              </w:rPr>
              <w:t>d</w:t>
            </w:r>
            <w:r>
              <w:rPr>
                <w:rFonts w:ascii="Arial" w:eastAsia="Arial,Times New Roman" w:hAnsi="Arial" w:cs="Arial"/>
                <w:sz w:val="20"/>
                <w:szCs w:val="20"/>
                <w:lang w:val="es-ES"/>
              </w:rPr>
              <w:t>iagnóstico del esquema de comercialización de seguros en Colombia preparado por la URF</w:t>
            </w:r>
            <w:r w:rsidR="007C0A2E">
              <w:rPr>
                <w:rFonts w:ascii="Arial" w:eastAsia="Arial" w:hAnsi="Arial" w:cs="Arial"/>
                <w:sz w:val="20"/>
                <w:szCs w:val="20"/>
                <w:lang w:val="es-ES"/>
              </w:rPr>
              <w:t>.</w:t>
            </w:r>
          </w:p>
        </w:tc>
        <w:tc>
          <w:tcPr>
            <w:tcW w:w="2143" w:type="dxa"/>
            <w:tcBorders>
              <w:top w:val="nil"/>
              <w:left w:val="single" w:sz="4" w:space="0" w:color="auto"/>
              <w:bottom w:val="single" w:sz="4" w:space="0" w:color="auto"/>
              <w:right w:val="single" w:sz="4" w:space="0" w:color="auto"/>
            </w:tcBorders>
          </w:tcPr>
          <w:p w14:paraId="1354B87A" w14:textId="77777777" w:rsidR="007A2AEC"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bl>
    <w:p w14:paraId="10448833" w14:textId="77777777" w:rsidR="00C12C6F" w:rsidRPr="00DB08FA" w:rsidRDefault="00C12C6F">
      <w:pPr>
        <w:rPr>
          <w:rFonts w:ascii="Arial" w:hAnsi="Arial" w:cs="Arial"/>
          <w:lang w:val="es-ES_tradnl"/>
        </w:rPr>
      </w:pPr>
      <w:r w:rsidRPr="00DB08FA">
        <w:rPr>
          <w:rFonts w:ascii="Arial" w:hAnsi="Arial" w:cs="Arial"/>
          <w:lang w:val="es-ES_tradnl"/>
        </w:rPr>
        <w:br w:type="page"/>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4244"/>
        <w:gridCol w:w="3184"/>
        <w:gridCol w:w="2108"/>
      </w:tblGrid>
      <w:tr w:rsidR="00C12C6F" w:rsidRPr="00ED5F97" w14:paraId="2DF5C358" w14:textId="77777777" w:rsidTr="797FBB80">
        <w:trPr>
          <w:trHeight w:val="130"/>
          <w:tblHeader/>
          <w:jc w:val="center"/>
        </w:trPr>
        <w:tc>
          <w:tcPr>
            <w:tcW w:w="3223" w:type="dxa"/>
            <w:shd w:val="clear" w:color="auto" w:fill="BFBFBF" w:themeFill="background1" w:themeFillShade="BF"/>
            <w:vAlign w:val="center"/>
            <w:hideMark/>
          </w:tcPr>
          <w:p w14:paraId="3029B9DC" w14:textId="77777777" w:rsidR="00C12C6F" w:rsidRPr="00ED5F97" w:rsidRDefault="00C12C6F"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lastRenderedPageBreak/>
              <w:t>Objetivos de Política</w:t>
            </w:r>
          </w:p>
        </w:tc>
        <w:tc>
          <w:tcPr>
            <w:tcW w:w="4320" w:type="dxa"/>
            <w:shd w:val="clear" w:color="auto" w:fill="BFBFBF" w:themeFill="background1" w:themeFillShade="BF"/>
            <w:vAlign w:val="center"/>
            <w:hideMark/>
          </w:tcPr>
          <w:p w14:paraId="4BCC02A4" w14:textId="77777777" w:rsidR="00C12C6F" w:rsidRPr="00ED5F97" w:rsidRDefault="00C12C6F" w:rsidP="797FBB80">
            <w:pPr>
              <w:spacing w:after="0" w:line="240" w:lineRule="auto"/>
              <w:jc w:val="center"/>
              <w:rPr>
                <w:rFonts w:ascii="Arial" w:eastAsia="Arial" w:hAnsi="Arial" w:cs="Arial"/>
                <w:b/>
                <w:bCs/>
                <w:sz w:val="20"/>
                <w:szCs w:val="20"/>
                <w:lang w:val="pt-BR"/>
              </w:rPr>
            </w:pPr>
            <w:r w:rsidRPr="00ED5F97">
              <w:rPr>
                <w:rFonts w:ascii="Arial" w:eastAsia="Arial" w:hAnsi="Arial" w:cs="Arial"/>
                <w:b/>
                <w:bCs/>
                <w:smallCaps/>
                <w:sz w:val="20"/>
                <w:szCs w:val="20"/>
                <w:lang w:val="pt-BR"/>
              </w:rPr>
              <w:t>Medidas de Política Acordada</w:t>
            </w:r>
          </w:p>
          <w:p w14:paraId="6C8E1F9F" w14:textId="77777777" w:rsidR="00C12C6F" w:rsidRPr="00ED5F97" w:rsidRDefault="00C12C6F" w:rsidP="797FBB80">
            <w:pPr>
              <w:spacing w:after="0" w:line="240" w:lineRule="auto"/>
              <w:jc w:val="center"/>
              <w:rPr>
                <w:rFonts w:ascii="Arial" w:eastAsia="Arial" w:hAnsi="Arial" w:cs="Arial"/>
                <w:b/>
                <w:bCs/>
                <w:sz w:val="20"/>
                <w:szCs w:val="20"/>
                <w:lang w:val="pt-BR"/>
              </w:rPr>
            </w:pPr>
            <w:r w:rsidRPr="00ED5F97">
              <w:rPr>
                <w:rFonts w:ascii="Arial" w:eastAsia="Arial" w:hAnsi="Arial" w:cs="Arial"/>
                <w:b/>
                <w:bCs/>
                <w:smallCaps/>
                <w:sz w:val="20"/>
                <w:szCs w:val="20"/>
                <w:lang w:val="pt-BR"/>
              </w:rPr>
              <w:t>Programa I</w:t>
            </w:r>
            <w:r w:rsidR="00A32D40" w:rsidRPr="00ED5F97">
              <w:rPr>
                <w:rFonts w:ascii="Arial" w:eastAsia="Arial" w:hAnsi="Arial" w:cs="Arial"/>
                <w:b/>
                <w:bCs/>
                <w:smallCaps/>
                <w:sz w:val="20"/>
                <w:szCs w:val="20"/>
                <w:lang w:val="pt-BR"/>
              </w:rPr>
              <w:t>I</w:t>
            </w:r>
          </w:p>
        </w:tc>
        <w:tc>
          <w:tcPr>
            <w:tcW w:w="3240" w:type="dxa"/>
            <w:shd w:val="clear" w:color="auto" w:fill="BFBFBF" w:themeFill="background1" w:themeFillShade="BF"/>
            <w:vAlign w:val="center"/>
            <w:hideMark/>
          </w:tcPr>
          <w:p w14:paraId="236012FF" w14:textId="77777777" w:rsidR="00C12C6F" w:rsidRPr="00ED5F97" w:rsidRDefault="00C12C6F"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Medios De Verificación</w:t>
            </w:r>
          </w:p>
        </w:tc>
        <w:tc>
          <w:tcPr>
            <w:tcW w:w="2143" w:type="dxa"/>
            <w:shd w:val="clear" w:color="auto" w:fill="BFBFBF" w:themeFill="background1" w:themeFillShade="BF"/>
          </w:tcPr>
          <w:p w14:paraId="37C57A68" w14:textId="77777777" w:rsidR="00C12C6F" w:rsidRPr="00ED5F97" w:rsidRDefault="00C12C6F" w:rsidP="797FBB80">
            <w:pPr>
              <w:spacing w:before="120" w:after="120" w:line="240" w:lineRule="auto"/>
              <w:jc w:val="center"/>
              <w:rPr>
                <w:rFonts w:ascii="Arial" w:eastAsia="Arial" w:hAnsi="Arial" w:cs="Arial"/>
                <w:b/>
                <w:bCs/>
                <w:sz w:val="20"/>
                <w:szCs w:val="20"/>
                <w:lang w:val="es-ES"/>
              </w:rPr>
            </w:pPr>
            <w:r w:rsidRPr="00ED5F97">
              <w:rPr>
                <w:rFonts w:ascii="Arial" w:eastAsia="Arial" w:hAnsi="Arial" w:cs="Arial"/>
                <w:b/>
                <w:bCs/>
                <w:smallCaps/>
                <w:sz w:val="20"/>
                <w:szCs w:val="20"/>
                <w:lang w:val="es-ES"/>
              </w:rPr>
              <w:t>Unidad responsable</w:t>
            </w:r>
          </w:p>
        </w:tc>
      </w:tr>
      <w:tr w:rsidR="00C12C6F" w:rsidRPr="00125C44" w14:paraId="54B07933" w14:textId="77777777" w:rsidTr="797FBB80">
        <w:trPr>
          <w:jc w:val="center"/>
        </w:trPr>
        <w:tc>
          <w:tcPr>
            <w:tcW w:w="12926" w:type="dxa"/>
            <w:gridSpan w:val="4"/>
            <w:shd w:val="clear" w:color="auto" w:fill="BFBFBF" w:themeFill="background1" w:themeFillShade="BF"/>
          </w:tcPr>
          <w:p w14:paraId="4853DF75" w14:textId="77777777" w:rsidR="00C12C6F" w:rsidRPr="00ED5F97" w:rsidRDefault="797FBB80" w:rsidP="797FBB80">
            <w:pPr>
              <w:spacing w:before="80" w:after="80" w:line="240" w:lineRule="auto"/>
              <w:rPr>
                <w:rFonts w:ascii="Arial" w:eastAsia="Arial" w:hAnsi="Arial" w:cs="Arial"/>
                <w:b/>
                <w:bCs/>
                <w:sz w:val="20"/>
                <w:szCs w:val="20"/>
                <w:lang w:val="es-ES"/>
              </w:rPr>
            </w:pPr>
            <w:r w:rsidRPr="00ED5F97">
              <w:rPr>
                <w:rFonts w:ascii="Arial" w:eastAsia="Arial" w:hAnsi="Arial" w:cs="Arial"/>
                <w:b/>
                <w:bCs/>
                <w:sz w:val="20"/>
                <w:szCs w:val="20"/>
                <w:lang w:val="es-ES"/>
              </w:rPr>
              <w:t>Componente IV:</w:t>
            </w:r>
            <w:r w:rsidRPr="00ED5F97">
              <w:rPr>
                <w:rFonts w:ascii="Arial" w:eastAsia="Arial,Times New Roman" w:hAnsi="Arial" w:cs="Arial"/>
                <w:b/>
                <w:bCs/>
                <w:color w:val="000000" w:themeColor="text1"/>
                <w:sz w:val="20"/>
                <w:szCs w:val="20"/>
                <w:lang w:val="es-ES"/>
              </w:rPr>
              <w:t xml:space="preserve"> Mejora de la Inclusión Financiera.</w:t>
            </w:r>
          </w:p>
        </w:tc>
      </w:tr>
      <w:tr w:rsidR="007A2AEC" w:rsidRPr="00125C44" w14:paraId="7AC1A9AD" w14:textId="77777777" w:rsidTr="797FBB80">
        <w:trPr>
          <w:jc w:val="center"/>
        </w:trPr>
        <w:tc>
          <w:tcPr>
            <w:tcW w:w="3223" w:type="dxa"/>
            <w:vMerge w:val="restart"/>
            <w:shd w:val="clear" w:color="auto" w:fill="auto"/>
          </w:tcPr>
          <w:p w14:paraId="1126705F" w14:textId="77777777" w:rsidR="007A2AEC" w:rsidRPr="00ED5F97" w:rsidRDefault="797FBB80" w:rsidP="797FBB80">
            <w:pPr>
              <w:pStyle w:val="ListParagraph"/>
              <w:numPr>
                <w:ilvl w:val="0"/>
                <w:numId w:val="13"/>
              </w:numPr>
              <w:spacing w:after="0" w:line="240" w:lineRule="auto"/>
              <w:ind w:left="281" w:hanging="270"/>
              <w:rPr>
                <w:rFonts w:ascii="Arial" w:eastAsia="Arial" w:hAnsi="Arial" w:cs="Arial"/>
                <w:sz w:val="20"/>
                <w:szCs w:val="20"/>
                <w:lang w:val="es-ES"/>
              </w:rPr>
            </w:pPr>
            <w:r w:rsidRPr="00ED5F97">
              <w:rPr>
                <w:rFonts w:ascii="Arial" w:eastAsia="Arial" w:hAnsi="Arial" w:cs="Arial"/>
                <w:sz w:val="20"/>
                <w:szCs w:val="20"/>
                <w:lang w:val="es-ES"/>
              </w:rPr>
              <w:t>Mejora de la institucionalidad para aumentar la inclusión financiera.</w:t>
            </w:r>
          </w:p>
        </w:tc>
        <w:tc>
          <w:tcPr>
            <w:tcW w:w="4320" w:type="dxa"/>
            <w:tcBorders>
              <w:bottom w:val="nil"/>
              <w:right w:val="single" w:sz="4" w:space="0" w:color="auto"/>
            </w:tcBorders>
            <w:shd w:val="clear" w:color="auto" w:fill="auto"/>
          </w:tcPr>
          <w:p w14:paraId="0AB1B3FF" w14:textId="77777777" w:rsidR="007A2AEC" w:rsidRPr="00ED5F97" w:rsidRDefault="797FBB80" w:rsidP="797FBB80">
            <w:pPr>
              <w:spacing w:after="0" w:line="240" w:lineRule="auto"/>
              <w:rPr>
                <w:rFonts w:ascii="Arial" w:eastAsia="Arial" w:hAnsi="Arial" w:cs="Arial"/>
                <w:sz w:val="20"/>
                <w:szCs w:val="20"/>
                <w:lang w:val="es-ES"/>
              </w:rPr>
            </w:pPr>
            <w:r w:rsidRPr="00ED5F97">
              <w:rPr>
                <w:rFonts w:ascii="Arial" w:eastAsia="Arial,Times New Roman" w:hAnsi="Arial" w:cs="Arial"/>
                <w:sz w:val="20"/>
                <w:szCs w:val="20"/>
                <w:lang w:val="es-ES"/>
              </w:rPr>
              <w:t>Se han adoptado medidas para fortalecer la coordinación de las entidades de Gobierno que participen en inclusión financiera y educación económica y financiera, incluidas como mínimo las siguientes:</w:t>
            </w:r>
          </w:p>
        </w:tc>
        <w:tc>
          <w:tcPr>
            <w:tcW w:w="3240" w:type="dxa"/>
            <w:tcBorders>
              <w:top w:val="single" w:sz="4" w:space="0" w:color="auto"/>
              <w:left w:val="single" w:sz="4" w:space="0" w:color="auto"/>
              <w:bottom w:val="nil"/>
              <w:right w:val="single" w:sz="4" w:space="0" w:color="auto"/>
            </w:tcBorders>
            <w:shd w:val="clear" w:color="auto" w:fill="auto"/>
          </w:tcPr>
          <w:p w14:paraId="5E52FC0D" w14:textId="77777777" w:rsidR="007A2AEC" w:rsidRPr="00ED5F97" w:rsidRDefault="007A2AEC" w:rsidP="00B46930">
            <w:pPr>
              <w:spacing w:after="0" w:line="240" w:lineRule="auto"/>
              <w:rPr>
                <w:rFonts w:ascii="Arial" w:hAnsi="Arial" w:cs="Arial"/>
                <w:sz w:val="20"/>
                <w:szCs w:val="20"/>
                <w:lang w:val="es-ES_tradnl"/>
              </w:rPr>
            </w:pPr>
          </w:p>
        </w:tc>
        <w:tc>
          <w:tcPr>
            <w:tcW w:w="2143" w:type="dxa"/>
            <w:tcBorders>
              <w:top w:val="single" w:sz="4" w:space="0" w:color="auto"/>
              <w:left w:val="single" w:sz="4" w:space="0" w:color="auto"/>
              <w:bottom w:val="nil"/>
              <w:right w:val="single" w:sz="4" w:space="0" w:color="auto"/>
            </w:tcBorders>
          </w:tcPr>
          <w:p w14:paraId="309C6454" w14:textId="77777777" w:rsidR="007A2AEC" w:rsidRPr="00ED5F97" w:rsidRDefault="007A2AEC" w:rsidP="005208BB">
            <w:pPr>
              <w:spacing w:after="0" w:line="240" w:lineRule="auto"/>
              <w:rPr>
                <w:rFonts w:ascii="Arial" w:hAnsi="Arial" w:cs="Arial"/>
                <w:sz w:val="20"/>
                <w:szCs w:val="20"/>
                <w:lang w:val="es-ES_tradnl"/>
              </w:rPr>
            </w:pPr>
          </w:p>
        </w:tc>
      </w:tr>
      <w:tr w:rsidR="007A2AEC" w:rsidRPr="00125C44" w14:paraId="267590DB" w14:textId="77777777" w:rsidTr="797FBB80">
        <w:trPr>
          <w:jc w:val="center"/>
        </w:trPr>
        <w:tc>
          <w:tcPr>
            <w:tcW w:w="3223" w:type="dxa"/>
            <w:vMerge/>
            <w:shd w:val="clear" w:color="auto" w:fill="auto"/>
          </w:tcPr>
          <w:p w14:paraId="729756C5" w14:textId="77777777" w:rsidR="007A2AEC" w:rsidRPr="00ED5F97" w:rsidRDefault="007A2AEC" w:rsidP="005208BB">
            <w:pPr>
              <w:spacing w:after="0" w:line="240" w:lineRule="auto"/>
              <w:rPr>
                <w:rFonts w:ascii="Arial" w:hAnsi="Arial" w:cs="Arial"/>
                <w:b/>
                <w:sz w:val="20"/>
                <w:szCs w:val="20"/>
                <w:lang w:val="es-ES_tradnl"/>
              </w:rPr>
            </w:pPr>
          </w:p>
        </w:tc>
        <w:tc>
          <w:tcPr>
            <w:tcW w:w="4320" w:type="dxa"/>
            <w:tcBorders>
              <w:top w:val="nil"/>
              <w:bottom w:val="nil"/>
              <w:right w:val="single" w:sz="4" w:space="0" w:color="auto"/>
            </w:tcBorders>
            <w:shd w:val="clear" w:color="auto" w:fill="auto"/>
          </w:tcPr>
          <w:p w14:paraId="32E8A666" w14:textId="77777777" w:rsidR="007A2AEC" w:rsidRPr="00ED5F97" w:rsidRDefault="797FBB80" w:rsidP="797FBB80">
            <w:pPr>
              <w:pStyle w:val="ListParagraph"/>
              <w:numPr>
                <w:ilvl w:val="0"/>
                <w:numId w:val="12"/>
              </w:numPr>
              <w:spacing w:after="0" w:line="240" w:lineRule="auto"/>
              <w:ind w:left="162" w:hanging="180"/>
              <w:rPr>
                <w:rFonts w:ascii="Arial" w:eastAsia="Arial" w:hAnsi="Arial" w:cs="Arial"/>
                <w:sz w:val="20"/>
                <w:szCs w:val="20"/>
                <w:lang w:val="es-ES"/>
              </w:rPr>
            </w:pPr>
            <w:r w:rsidRPr="00ED5F97">
              <w:rPr>
                <w:rFonts w:ascii="Arial" w:eastAsia="Arial,Times New Roman" w:hAnsi="Arial" w:cs="Arial"/>
                <w:sz w:val="20"/>
                <w:szCs w:val="20"/>
                <w:lang w:val="es-ES"/>
              </w:rPr>
              <w:t>El Decreto de creación y establecimiento de una Comisión Intersectorial para la Inclusión Financiera ha sido emitido por el Gobierno Nacional (MHCP).</w:t>
            </w:r>
          </w:p>
        </w:tc>
        <w:tc>
          <w:tcPr>
            <w:tcW w:w="3240" w:type="dxa"/>
            <w:tcBorders>
              <w:top w:val="nil"/>
              <w:left w:val="single" w:sz="4" w:space="0" w:color="auto"/>
              <w:bottom w:val="nil"/>
              <w:right w:val="single" w:sz="4" w:space="0" w:color="auto"/>
            </w:tcBorders>
            <w:shd w:val="clear" w:color="auto" w:fill="auto"/>
          </w:tcPr>
          <w:p w14:paraId="22446103" w14:textId="2A145AA0" w:rsidR="007A2AEC" w:rsidRPr="00ED5F97" w:rsidRDefault="797FBB80" w:rsidP="797FBB80">
            <w:pPr>
              <w:spacing w:after="0" w:line="240" w:lineRule="auto"/>
              <w:rPr>
                <w:rFonts w:ascii="Arial" w:eastAsia="Arial,Times New Roman" w:hAnsi="Arial" w:cs="Arial"/>
                <w:sz w:val="20"/>
                <w:szCs w:val="20"/>
                <w:lang w:val="es-ES"/>
              </w:rPr>
            </w:pPr>
            <w:r w:rsidRPr="00ED5F97">
              <w:rPr>
                <w:rFonts w:ascii="Arial" w:eastAsia="Arial,Times New Roman" w:hAnsi="Arial" w:cs="Arial"/>
                <w:sz w:val="20"/>
                <w:szCs w:val="20"/>
                <w:lang w:val="es-ES"/>
              </w:rPr>
              <w:t>Decreto 2338 del 03 de diciembre 2015</w:t>
            </w:r>
            <w:r w:rsidR="007C0A2E">
              <w:rPr>
                <w:rFonts w:ascii="Arial" w:eastAsia="Arial,Times New Roman" w:hAnsi="Arial" w:cs="Arial"/>
                <w:sz w:val="20"/>
                <w:szCs w:val="20"/>
                <w:lang w:val="es-ES"/>
              </w:rPr>
              <w:t>.</w:t>
            </w:r>
          </w:p>
        </w:tc>
        <w:tc>
          <w:tcPr>
            <w:tcW w:w="2143" w:type="dxa"/>
            <w:tcBorders>
              <w:top w:val="nil"/>
              <w:left w:val="single" w:sz="4" w:space="0" w:color="auto"/>
              <w:bottom w:val="nil"/>
              <w:right w:val="single" w:sz="4" w:space="0" w:color="auto"/>
            </w:tcBorders>
          </w:tcPr>
          <w:p w14:paraId="344A6E48" w14:textId="77777777" w:rsidR="007A2AEC"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Ministerio de Hacienda y Crédito Público</w:t>
            </w:r>
          </w:p>
        </w:tc>
      </w:tr>
      <w:tr w:rsidR="00BD45AF" w:rsidRPr="00125C44" w14:paraId="3EE8E77E" w14:textId="77777777" w:rsidTr="797FBB80">
        <w:trPr>
          <w:jc w:val="center"/>
        </w:trPr>
        <w:tc>
          <w:tcPr>
            <w:tcW w:w="3223" w:type="dxa"/>
            <w:vMerge/>
            <w:tcBorders>
              <w:bottom w:val="single" w:sz="4" w:space="0" w:color="auto"/>
            </w:tcBorders>
            <w:shd w:val="clear" w:color="auto" w:fill="auto"/>
          </w:tcPr>
          <w:p w14:paraId="0742ED17" w14:textId="77777777" w:rsidR="00BD45AF" w:rsidRPr="00ED5F97" w:rsidRDefault="00BD45AF" w:rsidP="005208BB">
            <w:pPr>
              <w:spacing w:after="0" w:line="240" w:lineRule="auto"/>
              <w:rPr>
                <w:rFonts w:ascii="Arial" w:hAnsi="Arial" w:cs="Arial"/>
                <w:b/>
                <w:sz w:val="20"/>
                <w:szCs w:val="20"/>
                <w:lang w:val="es-ES_tradnl"/>
              </w:rPr>
            </w:pPr>
          </w:p>
        </w:tc>
        <w:tc>
          <w:tcPr>
            <w:tcW w:w="4320" w:type="dxa"/>
            <w:tcBorders>
              <w:top w:val="nil"/>
              <w:bottom w:val="single" w:sz="4" w:space="0" w:color="auto"/>
              <w:right w:val="single" w:sz="4" w:space="0" w:color="auto"/>
            </w:tcBorders>
            <w:shd w:val="clear" w:color="auto" w:fill="auto"/>
          </w:tcPr>
          <w:p w14:paraId="42D62CDB" w14:textId="77777777" w:rsidR="00225F70" w:rsidRPr="00656F22" w:rsidRDefault="00225F70" w:rsidP="00225F70">
            <w:pPr>
              <w:pStyle w:val="Default"/>
              <w:rPr>
                <w:lang w:val="es-ES_tradnl"/>
              </w:rPr>
            </w:pPr>
          </w:p>
          <w:p w14:paraId="2D8E426E" w14:textId="5A55DEA5" w:rsidR="00BD45AF" w:rsidRPr="00ED5F97" w:rsidRDefault="00225F70" w:rsidP="00225F70">
            <w:pPr>
              <w:pStyle w:val="ListParagraph"/>
              <w:numPr>
                <w:ilvl w:val="0"/>
                <w:numId w:val="12"/>
              </w:numPr>
              <w:spacing w:after="0" w:line="240" w:lineRule="auto"/>
              <w:ind w:left="162" w:hanging="180"/>
              <w:rPr>
                <w:rFonts w:ascii="Arial" w:eastAsia="Arial" w:hAnsi="Arial" w:cs="Arial"/>
                <w:sz w:val="20"/>
                <w:szCs w:val="20"/>
                <w:lang w:val="es-ES"/>
              </w:rPr>
            </w:pPr>
            <w:r w:rsidRPr="00656F22">
              <w:rPr>
                <w:rFonts w:ascii="Arial" w:hAnsi="Arial" w:cs="Arial"/>
                <w:bCs/>
                <w:sz w:val="20"/>
                <w:szCs w:val="20"/>
                <w:lang w:val="es-ES_tradnl"/>
              </w:rPr>
              <w:t xml:space="preserve">Se ha </w:t>
            </w:r>
            <w:r w:rsidR="008F3C2D" w:rsidRPr="00656F22">
              <w:rPr>
                <w:rFonts w:ascii="Arial" w:hAnsi="Arial" w:cs="Arial"/>
                <w:bCs/>
                <w:sz w:val="20"/>
                <w:szCs w:val="20"/>
                <w:lang w:val="es-ES_tradnl"/>
              </w:rPr>
              <w:t xml:space="preserve">elaborado </w:t>
            </w:r>
            <w:r w:rsidR="001428EF" w:rsidRPr="00656F22">
              <w:rPr>
                <w:rFonts w:ascii="Arial" w:hAnsi="Arial" w:cs="Arial"/>
                <w:bCs/>
                <w:sz w:val="20"/>
                <w:szCs w:val="20"/>
                <w:lang w:val="es-ES_tradnl"/>
              </w:rPr>
              <w:t>l</w:t>
            </w:r>
            <w:r w:rsidR="002947B1" w:rsidRPr="00656F22">
              <w:rPr>
                <w:rFonts w:ascii="Arial" w:hAnsi="Arial" w:cs="Arial"/>
                <w:bCs/>
                <w:sz w:val="20"/>
                <w:szCs w:val="20"/>
                <w:lang w:val="es-ES_tradnl"/>
              </w:rPr>
              <w:t>a</w:t>
            </w:r>
            <w:r w:rsidRPr="00656F22">
              <w:rPr>
                <w:rFonts w:ascii="Arial" w:hAnsi="Arial" w:cs="Arial"/>
                <w:bCs/>
                <w:sz w:val="20"/>
                <w:szCs w:val="20"/>
                <w:lang w:val="es-ES_tradnl"/>
              </w:rPr>
              <w:t xml:space="preserve"> Estrategia Nacional de Educación Económica y Financiera de Colombia (ENEEF)</w:t>
            </w:r>
            <w:r w:rsidRPr="00656F22">
              <w:rPr>
                <w:rFonts w:ascii="Arial" w:hAnsi="Arial" w:cs="Arial"/>
                <w:b/>
                <w:bCs/>
                <w:sz w:val="24"/>
                <w:szCs w:val="24"/>
                <w:lang w:val="es-ES_tradnl"/>
              </w:rPr>
              <w:t xml:space="preserve"> </w:t>
            </w:r>
            <w:r w:rsidR="797FBB80" w:rsidRPr="00ED5F97">
              <w:rPr>
                <w:rFonts w:ascii="Arial" w:eastAsia="Arial" w:hAnsi="Arial" w:cs="Arial"/>
                <w:sz w:val="20"/>
                <w:szCs w:val="20"/>
                <w:lang w:val="es-ES"/>
              </w:rPr>
              <w:t>por la Comisión Intersectorial para la Educación Económica y Financiera.</w:t>
            </w:r>
          </w:p>
        </w:tc>
        <w:tc>
          <w:tcPr>
            <w:tcW w:w="3240" w:type="dxa"/>
            <w:tcBorders>
              <w:top w:val="nil"/>
              <w:left w:val="single" w:sz="4" w:space="0" w:color="auto"/>
              <w:bottom w:val="single" w:sz="4" w:space="0" w:color="auto"/>
              <w:right w:val="single" w:sz="4" w:space="0" w:color="auto"/>
            </w:tcBorders>
            <w:shd w:val="clear" w:color="auto" w:fill="auto"/>
          </w:tcPr>
          <w:p w14:paraId="3A902B32" w14:textId="77777777" w:rsidR="001C3B11" w:rsidRDefault="001C3B11" w:rsidP="797FBB80">
            <w:pPr>
              <w:spacing w:after="0" w:line="240" w:lineRule="auto"/>
              <w:rPr>
                <w:rFonts w:ascii="Arial" w:eastAsia="Arial,Times New Roman" w:hAnsi="Arial" w:cs="Arial"/>
                <w:sz w:val="20"/>
                <w:szCs w:val="20"/>
                <w:lang w:val="es-ES"/>
              </w:rPr>
            </w:pPr>
          </w:p>
          <w:p w14:paraId="45973CD8" w14:textId="6FB160E2" w:rsidR="00BD45AF" w:rsidRPr="00ED5F97" w:rsidRDefault="001C3B11" w:rsidP="797FBB80">
            <w:pPr>
              <w:spacing w:after="0" w:line="240" w:lineRule="auto"/>
              <w:rPr>
                <w:rFonts w:ascii="Arial" w:eastAsia="Arial,Times New Roman" w:hAnsi="Arial" w:cs="Arial"/>
                <w:sz w:val="20"/>
                <w:szCs w:val="20"/>
                <w:lang w:val="es-ES"/>
              </w:rPr>
            </w:pPr>
            <w:r w:rsidRPr="006425D6">
              <w:rPr>
                <w:rFonts w:ascii="Arial" w:eastAsia="Arial,Times New Roman" w:hAnsi="Arial" w:cs="Arial"/>
                <w:sz w:val="20"/>
                <w:szCs w:val="20"/>
                <w:lang w:val="es-ES"/>
              </w:rPr>
              <w:t xml:space="preserve">Documento de </w:t>
            </w:r>
            <w:r w:rsidRPr="00656F22">
              <w:rPr>
                <w:rFonts w:ascii="Arial" w:hAnsi="Arial" w:cs="Arial"/>
                <w:bCs/>
                <w:sz w:val="20"/>
                <w:szCs w:val="20"/>
                <w:lang w:val="es-ES_tradnl"/>
              </w:rPr>
              <w:t>Estrategia Nacional de Educación Económica y Financiera de Colombia (ENEEF)</w:t>
            </w:r>
            <w:r w:rsidRPr="00656F22">
              <w:rPr>
                <w:rFonts w:ascii="Arial" w:hAnsi="Arial" w:cs="Arial"/>
                <w:b/>
                <w:bCs/>
                <w:sz w:val="24"/>
                <w:szCs w:val="24"/>
                <w:lang w:val="es-ES_tradnl"/>
              </w:rPr>
              <w:t xml:space="preserve"> </w:t>
            </w:r>
            <w:r w:rsidR="008F3C2D" w:rsidRPr="00656F22">
              <w:rPr>
                <w:rFonts w:ascii="Arial" w:hAnsi="Arial" w:cs="Arial"/>
                <w:bCs/>
                <w:sz w:val="20"/>
                <w:szCs w:val="20"/>
                <w:lang w:val="es-ES_tradnl"/>
              </w:rPr>
              <w:t>publicado para comentarios por</w:t>
            </w:r>
            <w:r>
              <w:rPr>
                <w:rFonts w:ascii="Arial" w:eastAsia="Arial,Times New Roman" w:hAnsi="Arial" w:cs="Arial"/>
                <w:sz w:val="20"/>
                <w:szCs w:val="20"/>
                <w:lang w:val="es-ES"/>
              </w:rPr>
              <w:t xml:space="preserve"> la </w:t>
            </w:r>
            <w:r w:rsidR="797FBB80" w:rsidRPr="00ED5F97">
              <w:rPr>
                <w:rFonts w:ascii="Arial" w:eastAsia="Arial,Times New Roman" w:hAnsi="Arial" w:cs="Arial"/>
                <w:sz w:val="20"/>
                <w:szCs w:val="20"/>
                <w:lang w:val="es-ES"/>
              </w:rPr>
              <w:t>Comisión Intersectorial para la Educación Económica y Financiera</w:t>
            </w:r>
            <w:r w:rsidR="007C0A2E">
              <w:rPr>
                <w:rFonts w:ascii="Arial" w:eastAsia="Arial,Times New Roman" w:hAnsi="Arial" w:cs="Arial"/>
                <w:sz w:val="20"/>
                <w:szCs w:val="20"/>
                <w:lang w:val="es-ES"/>
              </w:rPr>
              <w:t>.</w:t>
            </w:r>
          </w:p>
        </w:tc>
        <w:tc>
          <w:tcPr>
            <w:tcW w:w="2143" w:type="dxa"/>
            <w:tcBorders>
              <w:top w:val="nil"/>
              <w:left w:val="single" w:sz="4" w:space="0" w:color="auto"/>
              <w:bottom w:val="single" w:sz="4" w:space="0" w:color="auto"/>
              <w:right w:val="single" w:sz="4" w:space="0" w:color="auto"/>
            </w:tcBorders>
          </w:tcPr>
          <w:p w14:paraId="5E93E44C" w14:textId="77777777" w:rsidR="001C3B11" w:rsidRDefault="001C3B11" w:rsidP="797FBB80">
            <w:pPr>
              <w:spacing w:after="0" w:line="240" w:lineRule="auto"/>
              <w:rPr>
                <w:rFonts w:ascii="Arial" w:eastAsia="Arial" w:hAnsi="Arial" w:cs="Arial"/>
                <w:sz w:val="20"/>
                <w:szCs w:val="20"/>
                <w:lang w:val="es-ES"/>
              </w:rPr>
            </w:pPr>
          </w:p>
          <w:p w14:paraId="5605FDDD" w14:textId="1BB08967" w:rsidR="00BD45AF" w:rsidRPr="00ED5F97" w:rsidRDefault="797FBB80" w:rsidP="797FBB80">
            <w:pPr>
              <w:spacing w:after="0" w:line="240" w:lineRule="auto"/>
              <w:rPr>
                <w:rFonts w:ascii="Arial" w:eastAsia="Arial" w:hAnsi="Arial" w:cs="Arial"/>
                <w:sz w:val="20"/>
                <w:szCs w:val="20"/>
                <w:lang w:val="es-ES"/>
              </w:rPr>
            </w:pPr>
            <w:r w:rsidRPr="00ED5F97">
              <w:rPr>
                <w:rFonts w:ascii="Arial" w:eastAsia="Arial" w:hAnsi="Arial" w:cs="Arial"/>
                <w:sz w:val="20"/>
                <w:szCs w:val="20"/>
                <w:lang w:val="es-ES"/>
              </w:rPr>
              <w:t>Comisión Intersectorial para la Educación Económica y Financiera</w:t>
            </w:r>
          </w:p>
        </w:tc>
      </w:tr>
    </w:tbl>
    <w:p w14:paraId="0805AF4F" w14:textId="77777777" w:rsidR="00C5763B" w:rsidRPr="00DB08FA" w:rsidRDefault="00C5763B" w:rsidP="00D14A8E">
      <w:pPr>
        <w:rPr>
          <w:rFonts w:ascii="Arial" w:hAnsi="Arial" w:cs="Arial"/>
          <w:sz w:val="24"/>
          <w:szCs w:val="24"/>
          <w:lang w:val="es-ES_tradnl"/>
        </w:rPr>
      </w:pPr>
    </w:p>
    <w:sectPr w:rsidR="00C5763B" w:rsidRPr="00DB08FA" w:rsidSect="00C55F8D">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76B6" w14:textId="77777777" w:rsidR="001725D6" w:rsidRDefault="001725D6" w:rsidP="00547A9D">
      <w:pPr>
        <w:spacing w:after="0" w:line="240" w:lineRule="auto"/>
      </w:pPr>
      <w:r>
        <w:separator/>
      </w:r>
    </w:p>
  </w:endnote>
  <w:endnote w:type="continuationSeparator" w:id="0">
    <w:p w14:paraId="11D3DF93" w14:textId="77777777" w:rsidR="001725D6" w:rsidRDefault="001725D6" w:rsidP="00547A9D">
      <w:pPr>
        <w:spacing w:after="0" w:line="240" w:lineRule="auto"/>
      </w:pPr>
      <w:r>
        <w:continuationSeparator/>
      </w:r>
    </w:p>
  </w:endnote>
  <w:endnote w:type="continuationNotice" w:id="1">
    <w:p w14:paraId="6A1A75C5" w14:textId="77777777" w:rsidR="001725D6" w:rsidRDefault="001725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435B0" w14:textId="77777777" w:rsidR="00D06B88" w:rsidRDefault="00D06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3B4D2" w14:textId="77777777" w:rsidR="001725D6" w:rsidRDefault="001725D6" w:rsidP="00547A9D">
      <w:pPr>
        <w:spacing w:after="0" w:line="240" w:lineRule="auto"/>
      </w:pPr>
      <w:r>
        <w:separator/>
      </w:r>
    </w:p>
  </w:footnote>
  <w:footnote w:type="continuationSeparator" w:id="0">
    <w:p w14:paraId="5C72369C" w14:textId="77777777" w:rsidR="001725D6" w:rsidRDefault="001725D6" w:rsidP="00547A9D">
      <w:pPr>
        <w:spacing w:after="0" w:line="240" w:lineRule="auto"/>
      </w:pPr>
      <w:r>
        <w:continuationSeparator/>
      </w:r>
    </w:p>
  </w:footnote>
  <w:footnote w:type="continuationNotice" w:id="1">
    <w:p w14:paraId="0BAED166" w14:textId="77777777" w:rsidR="001725D6" w:rsidRDefault="001725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168209085"/>
      <w:docPartObj>
        <w:docPartGallery w:val="Page Numbers (Top of Page)"/>
        <w:docPartUnique/>
      </w:docPartObj>
    </w:sdtPr>
    <w:sdtEndPr/>
    <w:sdtContent>
      <w:p w14:paraId="5D2317B4" w14:textId="77777777" w:rsidR="00D06B88" w:rsidRPr="00973F29" w:rsidRDefault="00D06B88" w:rsidP="797FBB80">
        <w:pPr>
          <w:pStyle w:val="Header"/>
          <w:jc w:val="right"/>
          <w:rPr>
            <w:rFonts w:ascii="Arial" w:eastAsia="Arial" w:hAnsi="Arial" w:cs="Arial"/>
            <w:sz w:val="18"/>
            <w:szCs w:val="18"/>
          </w:rPr>
        </w:pPr>
        <w:r w:rsidRPr="797FBB80">
          <w:rPr>
            <w:rFonts w:ascii="Arial" w:eastAsia="Arial" w:hAnsi="Arial" w:cs="Arial"/>
            <w:sz w:val="18"/>
            <w:szCs w:val="18"/>
          </w:rPr>
          <w:t>CO-L1214</w:t>
        </w:r>
      </w:p>
      <w:p w14:paraId="26514276" w14:textId="1444DE5B" w:rsidR="00D06B88" w:rsidRPr="00973F29" w:rsidRDefault="00D06B88" w:rsidP="797FBB80">
        <w:pPr>
          <w:pStyle w:val="Header"/>
          <w:jc w:val="right"/>
          <w:rPr>
            <w:rFonts w:ascii="Arial" w:eastAsia="Arial" w:hAnsi="Arial" w:cs="Arial"/>
            <w:sz w:val="18"/>
            <w:szCs w:val="18"/>
          </w:rPr>
        </w:pPr>
        <w:r w:rsidRPr="797FBB80">
          <w:rPr>
            <w:rFonts w:ascii="Arial" w:eastAsia="Arial" w:hAnsi="Arial" w:cs="Arial"/>
            <w:sz w:val="18"/>
            <w:szCs w:val="18"/>
            <w:lang w:val="es-ES"/>
          </w:rPr>
          <w:t>Página</w:t>
        </w:r>
        <w:r w:rsidRPr="797FBB80">
          <w:rPr>
            <w:rFonts w:ascii="Arial" w:eastAsia="Arial" w:hAnsi="Arial" w:cs="Arial"/>
            <w:sz w:val="18"/>
            <w:szCs w:val="18"/>
          </w:rPr>
          <w:t xml:space="preserve"> </w:t>
        </w:r>
        <w:r w:rsidRPr="797FBB80">
          <w:rPr>
            <w:rFonts w:ascii="Arial" w:eastAsia="Arial" w:hAnsi="Arial" w:cs="Arial"/>
            <w:b/>
            <w:bCs/>
            <w:noProof/>
            <w:sz w:val="18"/>
            <w:szCs w:val="18"/>
          </w:rPr>
          <w:fldChar w:fldCharType="begin"/>
        </w:r>
        <w:r w:rsidRPr="797FBB80">
          <w:rPr>
            <w:rFonts w:ascii="Arial" w:eastAsia="Arial" w:hAnsi="Arial" w:cs="Arial"/>
            <w:b/>
            <w:bCs/>
            <w:noProof/>
            <w:sz w:val="18"/>
            <w:szCs w:val="18"/>
          </w:rPr>
          <w:instrText xml:space="preserve"> PAGE </w:instrText>
        </w:r>
        <w:r w:rsidRPr="797FBB80">
          <w:rPr>
            <w:rFonts w:ascii="Arial" w:eastAsia="Arial" w:hAnsi="Arial" w:cs="Arial"/>
            <w:b/>
            <w:bCs/>
            <w:noProof/>
            <w:sz w:val="18"/>
            <w:szCs w:val="18"/>
          </w:rPr>
          <w:fldChar w:fldCharType="separate"/>
        </w:r>
        <w:r w:rsidR="00125C44">
          <w:rPr>
            <w:rFonts w:ascii="Arial" w:eastAsia="Arial" w:hAnsi="Arial" w:cs="Arial"/>
            <w:b/>
            <w:bCs/>
            <w:noProof/>
            <w:sz w:val="18"/>
            <w:szCs w:val="18"/>
          </w:rPr>
          <w:t>8</w:t>
        </w:r>
        <w:r w:rsidRPr="797FBB80">
          <w:rPr>
            <w:rFonts w:ascii="Arial" w:eastAsia="Arial" w:hAnsi="Arial" w:cs="Arial"/>
            <w:b/>
            <w:bCs/>
            <w:noProof/>
            <w:sz w:val="18"/>
            <w:szCs w:val="18"/>
          </w:rPr>
          <w:fldChar w:fldCharType="end"/>
        </w:r>
        <w:r w:rsidRPr="797FBB80">
          <w:rPr>
            <w:rFonts w:ascii="Arial" w:eastAsia="Arial" w:hAnsi="Arial" w:cs="Arial"/>
            <w:sz w:val="18"/>
            <w:szCs w:val="18"/>
          </w:rPr>
          <w:t xml:space="preserve"> de </w:t>
        </w:r>
        <w:r w:rsidRPr="797FBB80">
          <w:rPr>
            <w:rFonts w:ascii="Arial" w:eastAsia="Arial" w:hAnsi="Arial" w:cs="Arial"/>
            <w:b/>
            <w:bCs/>
            <w:noProof/>
            <w:sz w:val="18"/>
            <w:szCs w:val="18"/>
          </w:rPr>
          <w:fldChar w:fldCharType="begin"/>
        </w:r>
        <w:r w:rsidRPr="797FBB80">
          <w:rPr>
            <w:rFonts w:ascii="Arial" w:eastAsia="Arial" w:hAnsi="Arial" w:cs="Arial"/>
            <w:b/>
            <w:bCs/>
            <w:noProof/>
            <w:sz w:val="18"/>
            <w:szCs w:val="18"/>
          </w:rPr>
          <w:instrText xml:space="preserve"> NUMPAGES  </w:instrText>
        </w:r>
        <w:r w:rsidRPr="797FBB80">
          <w:rPr>
            <w:rFonts w:ascii="Arial" w:eastAsia="Arial" w:hAnsi="Arial" w:cs="Arial"/>
            <w:b/>
            <w:bCs/>
            <w:noProof/>
            <w:sz w:val="18"/>
            <w:szCs w:val="18"/>
          </w:rPr>
          <w:fldChar w:fldCharType="separate"/>
        </w:r>
        <w:r w:rsidR="00125C44">
          <w:rPr>
            <w:rFonts w:ascii="Arial" w:eastAsia="Arial" w:hAnsi="Arial" w:cs="Arial"/>
            <w:b/>
            <w:bCs/>
            <w:noProof/>
            <w:sz w:val="18"/>
            <w:szCs w:val="18"/>
          </w:rPr>
          <w:t>9</w:t>
        </w:r>
        <w:r w:rsidRPr="797FBB80">
          <w:rPr>
            <w:rFonts w:ascii="Arial" w:eastAsia="Arial" w:hAnsi="Arial" w:cs="Arial"/>
            <w:b/>
            <w:bCs/>
            <w:noProof/>
            <w:sz w:val="18"/>
            <w:szCs w:val="18"/>
          </w:rPr>
          <w:fldChar w:fldCharType="end"/>
        </w:r>
      </w:p>
    </w:sdtContent>
  </w:sdt>
  <w:p w14:paraId="166F7C31" w14:textId="77777777" w:rsidR="00D06B88" w:rsidRDefault="00D06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253"/>
    <w:multiLevelType w:val="hybridMultilevel"/>
    <w:tmpl w:val="E1FC0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D1B44"/>
    <w:multiLevelType w:val="hybridMultilevel"/>
    <w:tmpl w:val="DF00C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55474"/>
    <w:multiLevelType w:val="hybridMultilevel"/>
    <w:tmpl w:val="426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0435C"/>
    <w:multiLevelType w:val="hybridMultilevel"/>
    <w:tmpl w:val="1748A2EE"/>
    <w:lvl w:ilvl="0" w:tplc="19C26C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81399"/>
    <w:multiLevelType w:val="hybridMultilevel"/>
    <w:tmpl w:val="4E0C72B8"/>
    <w:lvl w:ilvl="0" w:tplc="1C4AA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60C46"/>
    <w:multiLevelType w:val="hybridMultilevel"/>
    <w:tmpl w:val="141A829C"/>
    <w:lvl w:ilvl="0" w:tplc="6B30872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450DA0"/>
    <w:multiLevelType w:val="hybridMultilevel"/>
    <w:tmpl w:val="8356F8E6"/>
    <w:lvl w:ilvl="0" w:tplc="7D442262">
      <w:start w:val="1"/>
      <w:numFmt w:val="lowerLetter"/>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7" w15:restartNumberingAfterBreak="0">
    <w:nsid w:val="2D9B4ECD"/>
    <w:multiLevelType w:val="hybridMultilevel"/>
    <w:tmpl w:val="7BBC6BB8"/>
    <w:lvl w:ilvl="0" w:tplc="718A47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21826"/>
    <w:multiLevelType w:val="hybridMultilevel"/>
    <w:tmpl w:val="6E6C8A94"/>
    <w:lvl w:ilvl="0" w:tplc="89947AB2">
      <w:start w:val="1"/>
      <w:numFmt w:val="lowerLetter"/>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9" w15:restartNumberingAfterBreak="0">
    <w:nsid w:val="37CC562B"/>
    <w:multiLevelType w:val="hybridMultilevel"/>
    <w:tmpl w:val="5F70B0B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D2D3E"/>
    <w:multiLevelType w:val="hybridMultilevel"/>
    <w:tmpl w:val="9F1216EA"/>
    <w:lvl w:ilvl="0" w:tplc="6B30872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856DFA"/>
    <w:multiLevelType w:val="hybridMultilevel"/>
    <w:tmpl w:val="C82E4A72"/>
    <w:lvl w:ilvl="0" w:tplc="444A4B26">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A4025"/>
    <w:multiLevelType w:val="hybridMultilevel"/>
    <w:tmpl w:val="40988FF6"/>
    <w:lvl w:ilvl="0" w:tplc="718A47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528FC"/>
    <w:multiLevelType w:val="hybridMultilevel"/>
    <w:tmpl w:val="53EE694E"/>
    <w:lvl w:ilvl="0" w:tplc="75D4C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32231"/>
    <w:multiLevelType w:val="hybridMultilevel"/>
    <w:tmpl w:val="DC0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1255C"/>
    <w:multiLevelType w:val="hybridMultilevel"/>
    <w:tmpl w:val="4E0C72B8"/>
    <w:lvl w:ilvl="0" w:tplc="1C4AA6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772CE"/>
    <w:multiLevelType w:val="hybridMultilevel"/>
    <w:tmpl w:val="2BA6FD02"/>
    <w:lvl w:ilvl="0" w:tplc="6B30872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32292"/>
    <w:multiLevelType w:val="hybridMultilevel"/>
    <w:tmpl w:val="F24A8B68"/>
    <w:lvl w:ilvl="0" w:tplc="718A4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24DD9"/>
    <w:multiLevelType w:val="multilevel"/>
    <w:tmpl w:val="0B8AF102"/>
    <w:lvl w:ilvl="0">
      <w:start w:val="1"/>
      <w:numFmt w:val="none"/>
      <w:pStyle w:val="FirstHeading"/>
      <w:suff w:val="nothing"/>
      <w:lvlText w:val=""/>
      <w:lvlJc w:val="left"/>
      <w:pPr>
        <w:ind w:left="5168" w:hanging="720"/>
      </w:pPr>
    </w:lvl>
    <w:lvl w:ilvl="1">
      <w:start w:val="1"/>
      <w:numFmt w:val="decimal"/>
      <w:pStyle w:val="SecHeading"/>
      <w:lvlText w:val="%2."/>
      <w:lvlJc w:val="left"/>
      <w:pPr>
        <w:tabs>
          <w:tab w:val="num" w:pos="5744"/>
        </w:tabs>
        <w:ind w:left="5744" w:hanging="576"/>
      </w:pPr>
      <w:rPr>
        <w:b/>
      </w:rPr>
    </w:lvl>
    <w:lvl w:ilvl="2">
      <w:start w:val="1"/>
      <w:numFmt w:val="lowerLetter"/>
      <w:pStyle w:val="SubHeading1"/>
      <w:lvlText w:val="%3)"/>
      <w:lvlJc w:val="left"/>
      <w:pPr>
        <w:tabs>
          <w:tab w:val="num" w:pos="6320"/>
        </w:tabs>
        <w:ind w:left="6320" w:hanging="576"/>
      </w:pPr>
      <w:rPr>
        <w:b/>
      </w:rPr>
    </w:lvl>
    <w:lvl w:ilvl="3">
      <w:start w:val="1"/>
      <w:numFmt w:val="lowerRoman"/>
      <w:pStyle w:val="Subheading2"/>
      <w:lvlText w:val="(%4)"/>
      <w:lvlJc w:val="right"/>
      <w:pPr>
        <w:tabs>
          <w:tab w:val="num" w:pos="6824"/>
        </w:tabs>
        <w:ind w:left="6824" w:hanging="288"/>
      </w:pPr>
      <w:rPr>
        <w:b/>
      </w:rPr>
    </w:lvl>
    <w:lvl w:ilvl="4">
      <w:start w:val="1"/>
      <w:numFmt w:val="decimal"/>
      <w:pStyle w:val="Heading5"/>
      <w:lvlText w:val="%5)"/>
      <w:lvlJc w:val="left"/>
      <w:pPr>
        <w:ind w:left="5456" w:hanging="432"/>
      </w:pPr>
    </w:lvl>
    <w:lvl w:ilvl="5">
      <w:start w:val="1"/>
      <w:numFmt w:val="lowerLetter"/>
      <w:pStyle w:val="Heading6"/>
      <w:lvlText w:val="%6)"/>
      <w:lvlJc w:val="left"/>
      <w:pPr>
        <w:ind w:left="5600" w:hanging="432"/>
      </w:pPr>
    </w:lvl>
    <w:lvl w:ilvl="6">
      <w:start w:val="1"/>
      <w:numFmt w:val="lowerRoman"/>
      <w:pStyle w:val="Heading7"/>
      <w:lvlText w:val="%7)"/>
      <w:lvlJc w:val="right"/>
      <w:pPr>
        <w:ind w:left="5744" w:hanging="288"/>
      </w:pPr>
    </w:lvl>
    <w:lvl w:ilvl="7">
      <w:start w:val="1"/>
      <w:numFmt w:val="lowerLetter"/>
      <w:pStyle w:val="Heading8"/>
      <w:lvlText w:val="%8."/>
      <w:lvlJc w:val="left"/>
      <w:pPr>
        <w:ind w:left="5888" w:hanging="432"/>
      </w:pPr>
    </w:lvl>
    <w:lvl w:ilvl="8">
      <w:start w:val="1"/>
      <w:numFmt w:val="lowerRoman"/>
      <w:pStyle w:val="Heading9"/>
      <w:lvlText w:val="%9."/>
      <w:lvlJc w:val="right"/>
      <w:pPr>
        <w:ind w:left="6032" w:hanging="144"/>
      </w:pPr>
    </w:lvl>
  </w:abstractNum>
  <w:abstractNum w:abstractNumId="19" w15:restartNumberingAfterBreak="0">
    <w:nsid w:val="6E7B3BA9"/>
    <w:multiLevelType w:val="hybridMultilevel"/>
    <w:tmpl w:val="2D6CF3DA"/>
    <w:lvl w:ilvl="0" w:tplc="B4BE570E">
      <w:start w:val="1"/>
      <w:numFmt w:val="bullet"/>
      <w:lvlText w:val=""/>
      <w:lvlJc w:val="left"/>
      <w:pPr>
        <w:ind w:left="720" w:hanging="360"/>
      </w:pPr>
      <w:rPr>
        <w:rFonts w:ascii="Symbol" w:hAnsi="Symbol"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86F51"/>
    <w:multiLevelType w:val="hybridMultilevel"/>
    <w:tmpl w:val="40988FF6"/>
    <w:lvl w:ilvl="0" w:tplc="718A47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805D8"/>
    <w:multiLevelType w:val="hybridMultilevel"/>
    <w:tmpl w:val="C77A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5158A"/>
    <w:multiLevelType w:val="hybridMultilevel"/>
    <w:tmpl w:val="03B20FFE"/>
    <w:lvl w:ilvl="0" w:tplc="5706D35C">
      <w:start w:val="1"/>
      <w:numFmt w:val="lowerRoman"/>
      <w:lvlText w:val="(%1)"/>
      <w:lvlJc w:val="left"/>
      <w:pPr>
        <w:ind w:left="738" w:hanging="72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16"/>
  </w:num>
  <w:num w:numId="5">
    <w:abstractNumId w:val="10"/>
  </w:num>
  <w:num w:numId="6">
    <w:abstractNumId w:val="21"/>
  </w:num>
  <w:num w:numId="7">
    <w:abstractNumId w:val="12"/>
  </w:num>
  <w:num w:numId="8">
    <w:abstractNumId w:val="3"/>
  </w:num>
  <w:num w:numId="9">
    <w:abstractNumId w:val="0"/>
  </w:num>
  <w:num w:numId="10">
    <w:abstractNumId w:val="1"/>
  </w:num>
  <w:num w:numId="11">
    <w:abstractNumId w:val="20"/>
  </w:num>
  <w:num w:numId="12">
    <w:abstractNumId w:val="14"/>
  </w:num>
  <w:num w:numId="13">
    <w:abstractNumId w:val="8"/>
  </w:num>
  <w:num w:numId="14">
    <w:abstractNumId w:val="17"/>
  </w:num>
  <w:num w:numId="15">
    <w:abstractNumId w:val="7"/>
  </w:num>
  <w:num w:numId="16">
    <w:abstractNumId w:val="22"/>
  </w:num>
  <w:num w:numId="17">
    <w:abstractNumId w:val="15"/>
  </w:num>
  <w:num w:numId="18">
    <w:abstractNumId w:val="13"/>
  </w:num>
  <w:num w:numId="19">
    <w:abstractNumId w:val="4"/>
  </w:num>
  <w:num w:numId="20">
    <w:abstractNumId w:val="6"/>
  </w:num>
  <w:num w:numId="21">
    <w:abstractNumId w:val="11"/>
  </w:num>
  <w:num w:numId="22">
    <w:abstractNumId w:val="2"/>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2A"/>
    <w:rsid w:val="0000060D"/>
    <w:rsid w:val="00001190"/>
    <w:rsid w:val="00010589"/>
    <w:rsid w:val="00011822"/>
    <w:rsid w:val="00025262"/>
    <w:rsid w:val="0002767C"/>
    <w:rsid w:val="00032D6D"/>
    <w:rsid w:val="00037350"/>
    <w:rsid w:val="0003797F"/>
    <w:rsid w:val="0004042F"/>
    <w:rsid w:val="0004152A"/>
    <w:rsid w:val="000448B9"/>
    <w:rsid w:val="00045223"/>
    <w:rsid w:val="00046B1A"/>
    <w:rsid w:val="000531CA"/>
    <w:rsid w:val="00056558"/>
    <w:rsid w:val="00071AC9"/>
    <w:rsid w:val="00087EC7"/>
    <w:rsid w:val="00096F50"/>
    <w:rsid w:val="000A4246"/>
    <w:rsid w:val="000A6C64"/>
    <w:rsid w:val="000B06FE"/>
    <w:rsid w:val="000B4675"/>
    <w:rsid w:val="000B7FD5"/>
    <w:rsid w:val="000C5BD7"/>
    <w:rsid w:val="000D568E"/>
    <w:rsid w:val="000E09B1"/>
    <w:rsid w:val="000E6B4B"/>
    <w:rsid w:val="000F5882"/>
    <w:rsid w:val="00100288"/>
    <w:rsid w:val="00100B71"/>
    <w:rsid w:val="00100C49"/>
    <w:rsid w:val="001013CF"/>
    <w:rsid w:val="001036EF"/>
    <w:rsid w:val="001047CC"/>
    <w:rsid w:val="001048AB"/>
    <w:rsid w:val="001059A8"/>
    <w:rsid w:val="00107E65"/>
    <w:rsid w:val="00113B29"/>
    <w:rsid w:val="00115B50"/>
    <w:rsid w:val="001215E1"/>
    <w:rsid w:val="001233E3"/>
    <w:rsid w:val="00125C44"/>
    <w:rsid w:val="00130AAE"/>
    <w:rsid w:val="00132CA9"/>
    <w:rsid w:val="001356BC"/>
    <w:rsid w:val="001374C8"/>
    <w:rsid w:val="001420A9"/>
    <w:rsid w:val="001428EF"/>
    <w:rsid w:val="00143D1F"/>
    <w:rsid w:val="00147030"/>
    <w:rsid w:val="00147E96"/>
    <w:rsid w:val="00150729"/>
    <w:rsid w:val="001511A7"/>
    <w:rsid w:val="00152F32"/>
    <w:rsid w:val="001551CD"/>
    <w:rsid w:val="001601FD"/>
    <w:rsid w:val="001672D8"/>
    <w:rsid w:val="00167E35"/>
    <w:rsid w:val="001725D6"/>
    <w:rsid w:val="00172836"/>
    <w:rsid w:val="00176DF9"/>
    <w:rsid w:val="00180A2A"/>
    <w:rsid w:val="00186B37"/>
    <w:rsid w:val="0018754C"/>
    <w:rsid w:val="001A5250"/>
    <w:rsid w:val="001B547B"/>
    <w:rsid w:val="001C0647"/>
    <w:rsid w:val="001C3B11"/>
    <w:rsid w:val="001D711F"/>
    <w:rsid w:val="001E2C3B"/>
    <w:rsid w:val="001F00BE"/>
    <w:rsid w:val="001F455E"/>
    <w:rsid w:val="001F4EC3"/>
    <w:rsid w:val="00225F70"/>
    <w:rsid w:val="00231359"/>
    <w:rsid w:val="002331DB"/>
    <w:rsid w:val="00233982"/>
    <w:rsid w:val="00242DC4"/>
    <w:rsid w:val="00244381"/>
    <w:rsid w:val="00245BE7"/>
    <w:rsid w:val="002478AC"/>
    <w:rsid w:val="00251642"/>
    <w:rsid w:val="00252D03"/>
    <w:rsid w:val="0025660A"/>
    <w:rsid w:val="002626D5"/>
    <w:rsid w:val="00262F67"/>
    <w:rsid w:val="00266A23"/>
    <w:rsid w:val="002761A2"/>
    <w:rsid w:val="002858F7"/>
    <w:rsid w:val="00290B3B"/>
    <w:rsid w:val="002947B1"/>
    <w:rsid w:val="002A2389"/>
    <w:rsid w:val="002A25BF"/>
    <w:rsid w:val="002C49DD"/>
    <w:rsid w:val="002D272C"/>
    <w:rsid w:val="002E3681"/>
    <w:rsid w:val="002E3C4D"/>
    <w:rsid w:val="002E5683"/>
    <w:rsid w:val="002F3067"/>
    <w:rsid w:val="00302761"/>
    <w:rsid w:val="003110ED"/>
    <w:rsid w:val="00316008"/>
    <w:rsid w:val="0031619C"/>
    <w:rsid w:val="00317005"/>
    <w:rsid w:val="003171AE"/>
    <w:rsid w:val="00320953"/>
    <w:rsid w:val="003236C2"/>
    <w:rsid w:val="003247F4"/>
    <w:rsid w:val="0032562D"/>
    <w:rsid w:val="00325797"/>
    <w:rsid w:val="003277E0"/>
    <w:rsid w:val="003310E6"/>
    <w:rsid w:val="003354BF"/>
    <w:rsid w:val="00335AC0"/>
    <w:rsid w:val="003375FC"/>
    <w:rsid w:val="00337C4D"/>
    <w:rsid w:val="0034095A"/>
    <w:rsid w:val="00341206"/>
    <w:rsid w:val="003475C6"/>
    <w:rsid w:val="00347F5F"/>
    <w:rsid w:val="0036163F"/>
    <w:rsid w:val="0036726F"/>
    <w:rsid w:val="003726E7"/>
    <w:rsid w:val="00377ACD"/>
    <w:rsid w:val="003811FA"/>
    <w:rsid w:val="00386F4A"/>
    <w:rsid w:val="003901A9"/>
    <w:rsid w:val="00394856"/>
    <w:rsid w:val="003A4973"/>
    <w:rsid w:val="003B0C71"/>
    <w:rsid w:val="003C16A0"/>
    <w:rsid w:val="003C2F43"/>
    <w:rsid w:val="003D155A"/>
    <w:rsid w:val="003D3715"/>
    <w:rsid w:val="003D4D5F"/>
    <w:rsid w:val="003F1D58"/>
    <w:rsid w:val="004017DF"/>
    <w:rsid w:val="00406CD5"/>
    <w:rsid w:val="0040776D"/>
    <w:rsid w:val="00411692"/>
    <w:rsid w:val="00411F25"/>
    <w:rsid w:val="00416C21"/>
    <w:rsid w:val="00425971"/>
    <w:rsid w:val="00425F1A"/>
    <w:rsid w:val="0042654F"/>
    <w:rsid w:val="004304C5"/>
    <w:rsid w:val="00432D41"/>
    <w:rsid w:val="00434516"/>
    <w:rsid w:val="00434AAD"/>
    <w:rsid w:val="00440B18"/>
    <w:rsid w:val="00447289"/>
    <w:rsid w:val="0045107E"/>
    <w:rsid w:val="00453915"/>
    <w:rsid w:val="004567F2"/>
    <w:rsid w:val="0046225C"/>
    <w:rsid w:val="004622A3"/>
    <w:rsid w:val="004632A2"/>
    <w:rsid w:val="00471E90"/>
    <w:rsid w:val="00472127"/>
    <w:rsid w:val="004807C1"/>
    <w:rsid w:val="00482BB5"/>
    <w:rsid w:val="004871BD"/>
    <w:rsid w:val="00494A3B"/>
    <w:rsid w:val="00495320"/>
    <w:rsid w:val="004A1EE2"/>
    <w:rsid w:val="004A6B64"/>
    <w:rsid w:val="004C1AE3"/>
    <w:rsid w:val="004C63E6"/>
    <w:rsid w:val="004E76F7"/>
    <w:rsid w:val="004F3603"/>
    <w:rsid w:val="004F73D5"/>
    <w:rsid w:val="0050032D"/>
    <w:rsid w:val="005031BF"/>
    <w:rsid w:val="00503F77"/>
    <w:rsid w:val="005118B7"/>
    <w:rsid w:val="00516137"/>
    <w:rsid w:val="00517D42"/>
    <w:rsid w:val="00520171"/>
    <w:rsid w:val="005208BB"/>
    <w:rsid w:val="00535EE6"/>
    <w:rsid w:val="005373BB"/>
    <w:rsid w:val="00547A9D"/>
    <w:rsid w:val="0055025A"/>
    <w:rsid w:val="00557341"/>
    <w:rsid w:val="00561755"/>
    <w:rsid w:val="005802A2"/>
    <w:rsid w:val="00580BF6"/>
    <w:rsid w:val="005840CE"/>
    <w:rsid w:val="00585879"/>
    <w:rsid w:val="00591067"/>
    <w:rsid w:val="0059344F"/>
    <w:rsid w:val="0059413E"/>
    <w:rsid w:val="005A04D1"/>
    <w:rsid w:val="005A2322"/>
    <w:rsid w:val="005A5415"/>
    <w:rsid w:val="005A5969"/>
    <w:rsid w:val="005A6576"/>
    <w:rsid w:val="005C2F07"/>
    <w:rsid w:val="005C4C9B"/>
    <w:rsid w:val="005C5875"/>
    <w:rsid w:val="005D5A0C"/>
    <w:rsid w:val="005D638A"/>
    <w:rsid w:val="005D652A"/>
    <w:rsid w:val="005D7CD7"/>
    <w:rsid w:val="005E646C"/>
    <w:rsid w:val="00603F49"/>
    <w:rsid w:val="0060761D"/>
    <w:rsid w:val="00611F7F"/>
    <w:rsid w:val="006156DD"/>
    <w:rsid w:val="006174AB"/>
    <w:rsid w:val="00621AC0"/>
    <w:rsid w:val="006229BA"/>
    <w:rsid w:val="0062463C"/>
    <w:rsid w:val="006275BE"/>
    <w:rsid w:val="00642081"/>
    <w:rsid w:val="006425D6"/>
    <w:rsid w:val="00642891"/>
    <w:rsid w:val="00643C1B"/>
    <w:rsid w:val="00652620"/>
    <w:rsid w:val="00656F22"/>
    <w:rsid w:val="006615DA"/>
    <w:rsid w:val="006622DC"/>
    <w:rsid w:val="0066344A"/>
    <w:rsid w:val="006637F7"/>
    <w:rsid w:val="006641A6"/>
    <w:rsid w:val="0066555D"/>
    <w:rsid w:val="006678DA"/>
    <w:rsid w:val="00670C54"/>
    <w:rsid w:val="00681507"/>
    <w:rsid w:val="006859AC"/>
    <w:rsid w:val="00693650"/>
    <w:rsid w:val="006B3907"/>
    <w:rsid w:val="006C32EB"/>
    <w:rsid w:val="006C3A32"/>
    <w:rsid w:val="006C4046"/>
    <w:rsid w:val="006C6CA6"/>
    <w:rsid w:val="006D1FC2"/>
    <w:rsid w:val="006D66E5"/>
    <w:rsid w:val="006E65EE"/>
    <w:rsid w:val="006E7477"/>
    <w:rsid w:val="006F034D"/>
    <w:rsid w:val="006F0D9B"/>
    <w:rsid w:val="006F250C"/>
    <w:rsid w:val="006F770C"/>
    <w:rsid w:val="0070416D"/>
    <w:rsid w:val="0071333A"/>
    <w:rsid w:val="00713F01"/>
    <w:rsid w:val="00716EC5"/>
    <w:rsid w:val="007202B4"/>
    <w:rsid w:val="007262A1"/>
    <w:rsid w:val="007329E8"/>
    <w:rsid w:val="00742D74"/>
    <w:rsid w:val="0077324B"/>
    <w:rsid w:val="00780C67"/>
    <w:rsid w:val="0079077F"/>
    <w:rsid w:val="007971A6"/>
    <w:rsid w:val="007A1CF3"/>
    <w:rsid w:val="007A2AEC"/>
    <w:rsid w:val="007B26D6"/>
    <w:rsid w:val="007B5643"/>
    <w:rsid w:val="007B5D9D"/>
    <w:rsid w:val="007C0A2E"/>
    <w:rsid w:val="007C4B9F"/>
    <w:rsid w:val="007D21B2"/>
    <w:rsid w:val="007E236F"/>
    <w:rsid w:val="007E2AAF"/>
    <w:rsid w:val="007E4A08"/>
    <w:rsid w:val="007E50CC"/>
    <w:rsid w:val="007F1CD5"/>
    <w:rsid w:val="007F2B87"/>
    <w:rsid w:val="007F500E"/>
    <w:rsid w:val="007F7841"/>
    <w:rsid w:val="00800B2A"/>
    <w:rsid w:val="008025F1"/>
    <w:rsid w:val="00805AAC"/>
    <w:rsid w:val="008076C7"/>
    <w:rsid w:val="00810A6B"/>
    <w:rsid w:val="008127D5"/>
    <w:rsid w:val="008131ED"/>
    <w:rsid w:val="00815234"/>
    <w:rsid w:val="00841AEB"/>
    <w:rsid w:val="00861B35"/>
    <w:rsid w:val="0086597B"/>
    <w:rsid w:val="008674CC"/>
    <w:rsid w:val="00873C0D"/>
    <w:rsid w:val="008745E8"/>
    <w:rsid w:val="0087473B"/>
    <w:rsid w:val="008809E2"/>
    <w:rsid w:val="00884756"/>
    <w:rsid w:val="0088510E"/>
    <w:rsid w:val="008861FC"/>
    <w:rsid w:val="00893EE3"/>
    <w:rsid w:val="008B0883"/>
    <w:rsid w:val="008B188E"/>
    <w:rsid w:val="008B700B"/>
    <w:rsid w:val="008B7CD5"/>
    <w:rsid w:val="008C0770"/>
    <w:rsid w:val="008C5F82"/>
    <w:rsid w:val="008D2350"/>
    <w:rsid w:val="008D55EC"/>
    <w:rsid w:val="008E086E"/>
    <w:rsid w:val="008E2632"/>
    <w:rsid w:val="008E28C6"/>
    <w:rsid w:val="008F3C2D"/>
    <w:rsid w:val="008F51EC"/>
    <w:rsid w:val="008F6235"/>
    <w:rsid w:val="008F7477"/>
    <w:rsid w:val="0091365A"/>
    <w:rsid w:val="00914086"/>
    <w:rsid w:val="00921E9C"/>
    <w:rsid w:val="009222E1"/>
    <w:rsid w:val="00925ACB"/>
    <w:rsid w:val="0093011D"/>
    <w:rsid w:val="009417AB"/>
    <w:rsid w:val="00941EF5"/>
    <w:rsid w:val="00946EDB"/>
    <w:rsid w:val="00947F77"/>
    <w:rsid w:val="00954131"/>
    <w:rsid w:val="0096212B"/>
    <w:rsid w:val="00972AC9"/>
    <w:rsid w:val="00973F29"/>
    <w:rsid w:val="00974D89"/>
    <w:rsid w:val="00977D82"/>
    <w:rsid w:val="00981AA6"/>
    <w:rsid w:val="00986F6A"/>
    <w:rsid w:val="009874FD"/>
    <w:rsid w:val="00994C03"/>
    <w:rsid w:val="00995F60"/>
    <w:rsid w:val="009A4B9E"/>
    <w:rsid w:val="009A63E9"/>
    <w:rsid w:val="009B06EB"/>
    <w:rsid w:val="009C2D5E"/>
    <w:rsid w:val="009C2EC4"/>
    <w:rsid w:val="009C3AEE"/>
    <w:rsid w:val="009D15B4"/>
    <w:rsid w:val="009D21EA"/>
    <w:rsid w:val="009D2C0C"/>
    <w:rsid w:val="009D2E41"/>
    <w:rsid w:val="009D499A"/>
    <w:rsid w:val="009E3406"/>
    <w:rsid w:val="009E60F2"/>
    <w:rsid w:val="009F3405"/>
    <w:rsid w:val="009F5D17"/>
    <w:rsid w:val="00A1270C"/>
    <w:rsid w:val="00A12E6C"/>
    <w:rsid w:val="00A15D87"/>
    <w:rsid w:val="00A317CB"/>
    <w:rsid w:val="00A32D40"/>
    <w:rsid w:val="00A36C99"/>
    <w:rsid w:val="00A436AC"/>
    <w:rsid w:val="00A44FC9"/>
    <w:rsid w:val="00A525B6"/>
    <w:rsid w:val="00A52A6B"/>
    <w:rsid w:val="00A52EFF"/>
    <w:rsid w:val="00A62278"/>
    <w:rsid w:val="00A648F7"/>
    <w:rsid w:val="00A77ACB"/>
    <w:rsid w:val="00A80C7F"/>
    <w:rsid w:val="00A92C5E"/>
    <w:rsid w:val="00AA1FB1"/>
    <w:rsid w:val="00AB1A89"/>
    <w:rsid w:val="00AB6116"/>
    <w:rsid w:val="00AB6317"/>
    <w:rsid w:val="00AD09BD"/>
    <w:rsid w:val="00AE779E"/>
    <w:rsid w:val="00AE7B96"/>
    <w:rsid w:val="00AF18B3"/>
    <w:rsid w:val="00AF327B"/>
    <w:rsid w:val="00AF3F6B"/>
    <w:rsid w:val="00B05608"/>
    <w:rsid w:val="00B140FC"/>
    <w:rsid w:val="00B176A6"/>
    <w:rsid w:val="00B21277"/>
    <w:rsid w:val="00B26135"/>
    <w:rsid w:val="00B27B04"/>
    <w:rsid w:val="00B34532"/>
    <w:rsid w:val="00B371F7"/>
    <w:rsid w:val="00B4517E"/>
    <w:rsid w:val="00B46930"/>
    <w:rsid w:val="00B606D3"/>
    <w:rsid w:val="00B65E67"/>
    <w:rsid w:val="00B664B9"/>
    <w:rsid w:val="00B678B1"/>
    <w:rsid w:val="00B85173"/>
    <w:rsid w:val="00B8611D"/>
    <w:rsid w:val="00B96BED"/>
    <w:rsid w:val="00B97F1C"/>
    <w:rsid w:val="00BA1D60"/>
    <w:rsid w:val="00BA4A47"/>
    <w:rsid w:val="00BA4B30"/>
    <w:rsid w:val="00BB244B"/>
    <w:rsid w:val="00BB3ACD"/>
    <w:rsid w:val="00BC4FE9"/>
    <w:rsid w:val="00BC519F"/>
    <w:rsid w:val="00BD45AF"/>
    <w:rsid w:val="00BD4A0E"/>
    <w:rsid w:val="00BE0984"/>
    <w:rsid w:val="00BE0F8C"/>
    <w:rsid w:val="00BE110B"/>
    <w:rsid w:val="00BE3003"/>
    <w:rsid w:val="00BE40E1"/>
    <w:rsid w:val="00BF3747"/>
    <w:rsid w:val="00BF4434"/>
    <w:rsid w:val="00BF66B5"/>
    <w:rsid w:val="00C00228"/>
    <w:rsid w:val="00C04F16"/>
    <w:rsid w:val="00C06133"/>
    <w:rsid w:val="00C066F4"/>
    <w:rsid w:val="00C1273E"/>
    <w:rsid w:val="00C12C6F"/>
    <w:rsid w:val="00C15744"/>
    <w:rsid w:val="00C22337"/>
    <w:rsid w:val="00C23A72"/>
    <w:rsid w:val="00C27369"/>
    <w:rsid w:val="00C307B2"/>
    <w:rsid w:val="00C316EA"/>
    <w:rsid w:val="00C332FB"/>
    <w:rsid w:val="00C3478A"/>
    <w:rsid w:val="00C34946"/>
    <w:rsid w:val="00C349AE"/>
    <w:rsid w:val="00C40745"/>
    <w:rsid w:val="00C4264E"/>
    <w:rsid w:val="00C43E7C"/>
    <w:rsid w:val="00C47B30"/>
    <w:rsid w:val="00C53FDC"/>
    <w:rsid w:val="00C55A41"/>
    <w:rsid w:val="00C55E6A"/>
    <w:rsid w:val="00C55F8D"/>
    <w:rsid w:val="00C5763B"/>
    <w:rsid w:val="00C618FB"/>
    <w:rsid w:val="00C66881"/>
    <w:rsid w:val="00C70B90"/>
    <w:rsid w:val="00C732EB"/>
    <w:rsid w:val="00C7457F"/>
    <w:rsid w:val="00C74952"/>
    <w:rsid w:val="00C77DD7"/>
    <w:rsid w:val="00C84F3A"/>
    <w:rsid w:val="00C864C0"/>
    <w:rsid w:val="00C872E9"/>
    <w:rsid w:val="00C92DD8"/>
    <w:rsid w:val="00C9430D"/>
    <w:rsid w:val="00C96C00"/>
    <w:rsid w:val="00CA5138"/>
    <w:rsid w:val="00CC0DFD"/>
    <w:rsid w:val="00CC711D"/>
    <w:rsid w:val="00CC7B3F"/>
    <w:rsid w:val="00CD21AD"/>
    <w:rsid w:val="00CD2996"/>
    <w:rsid w:val="00CD3442"/>
    <w:rsid w:val="00CE5390"/>
    <w:rsid w:val="00CE6E75"/>
    <w:rsid w:val="00CF082A"/>
    <w:rsid w:val="00D02CAA"/>
    <w:rsid w:val="00D05F62"/>
    <w:rsid w:val="00D06B88"/>
    <w:rsid w:val="00D112B9"/>
    <w:rsid w:val="00D1159F"/>
    <w:rsid w:val="00D11B02"/>
    <w:rsid w:val="00D14A8E"/>
    <w:rsid w:val="00D17961"/>
    <w:rsid w:val="00D21D2C"/>
    <w:rsid w:val="00D23201"/>
    <w:rsid w:val="00D30DBF"/>
    <w:rsid w:val="00D317E7"/>
    <w:rsid w:val="00D33080"/>
    <w:rsid w:val="00D43958"/>
    <w:rsid w:val="00D43CDA"/>
    <w:rsid w:val="00D5429A"/>
    <w:rsid w:val="00D54F25"/>
    <w:rsid w:val="00D600E9"/>
    <w:rsid w:val="00D618AF"/>
    <w:rsid w:val="00D620A0"/>
    <w:rsid w:val="00D64F2B"/>
    <w:rsid w:val="00D737EA"/>
    <w:rsid w:val="00D73893"/>
    <w:rsid w:val="00D759B7"/>
    <w:rsid w:val="00D8496F"/>
    <w:rsid w:val="00D86CAF"/>
    <w:rsid w:val="00D94B00"/>
    <w:rsid w:val="00DA0969"/>
    <w:rsid w:val="00DA26FD"/>
    <w:rsid w:val="00DA739C"/>
    <w:rsid w:val="00DB08FA"/>
    <w:rsid w:val="00DB5CC6"/>
    <w:rsid w:val="00DC07AD"/>
    <w:rsid w:val="00DC7B80"/>
    <w:rsid w:val="00DD3987"/>
    <w:rsid w:val="00E038A5"/>
    <w:rsid w:val="00E05FCC"/>
    <w:rsid w:val="00E1020A"/>
    <w:rsid w:val="00E115C2"/>
    <w:rsid w:val="00E119E3"/>
    <w:rsid w:val="00E15845"/>
    <w:rsid w:val="00E162B3"/>
    <w:rsid w:val="00E24418"/>
    <w:rsid w:val="00E375DE"/>
    <w:rsid w:val="00E45509"/>
    <w:rsid w:val="00E50FFE"/>
    <w:rsid w:val="00E56F97"/>
    <w:rsid w:val="00E74069"/>
    <w:rsid w:val="00E87853"/>
    <w:rsid w:val="00E92EB3"/>
    <w:rsid w:val="00EA238C"/>
    <w:rsid w:val="00EA2FB9"/>
    <w:rsid w:val="00EA3A64"/>
    <w:rsid w:val="00EA64BA"/>
    <w:rsid w:val="00EB0842"/>
    <w:rsid w:val="00EC194D"/>
    <w:rsid w:val="00ED0E0E"/>
    <w:rsid w:val="00ED248D"/>
    <w:rsid w:val="00ED5F97"/>
    <w:rsid w:val="00EE0070"/>
    <w:rsid w:val="00EE0486"/>
    <w:rsid w:val="00EE0DD9"/>
    <w:rsid w:val="00EF25B4"/>
    <w:rsid w:val="00EF266A"/>
    <w:rsid w:val="00EF5E86"/>
    <w:rsid w:val="00F07C53"/>
    <w:rsid w:val="00F1579C"/>
    <w:rsid w:val="00F404F8"/>
    <w:rsid w:val="00F42A90"/>
    <w:rsid w:val="00F4677F"/>
    <w:rsid w:val="00F534E5"/>
    <w:rsid w:val="00F53AB7"/>
    <w:rsid w:val="00F56E15"/>
    <w:rsid w:val="00F61384"/>
    <w:rsid w:val="00F727A3"/>
    <w:rsid w:val="00F77342"/>
    <w:rsid w:val="00F9007C"/>
    <w:rsid w:val="00F96F14"/>
    <w:rsid w:val="00FA55BF"/>
    <w:rsid w:val="00FB03FE"/>
    <w:rsid w:val="00FB7F25"/>
    <w:rsid w:val="00FD4D1F"/>
    <w:rsid w:val="00FE7A6D"/>
    <w:rsid w:val="00FF1F7C"/>
    <w:rsid w:val="00FF21DE"/>
    <w:rsid w:val="00FF7E3B"/>
    <w:rsid w:val="10E89DC6"/>
    <w:rsid w:val="797FB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0BA0"/>
  <w15:docId w15:val="{911436F4-1802-4074-BCE7-FA610552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93EE3"/>
    <w:pPr>
      <w:keepNext/>
      <w:keepLines/>
      <w:spacing w:before="200" w:after="0" w:line="240" w:lineRule="auto"/>
      <w:ind w:left="864" w:hanging="576"/>
      <w:outlineLvl w:val="1"/>
    </w:pPr>
    <w:rPr>
      <w:rFonts w:ascii="Cambria" w:eastAsia="Times New Roman" w:hAnsi="Cambria" w:cs="Times New Roman"/>
      <w:b/>
      <w:bCs/>
      <w:color w:val="4F81BD"/>
      <w:sz w:val="26"/>
      <w:szCs w:val="26"/>
      <w:lang w:val="es-ES"/>
    </w:rPr>
  </w:style>
  <w:style w:type="paragraph" w:styleId="Heading3">
    <w:name w:val="heading 3"/>
    <w:basedOn w:val="Normal"/>
    <w:next w:val="Normal"/>
    <w:link w:val="Heading3Char"/>
    <w:uiPriority w:val="9"/>
    <w:semiHidden/>
    <w:unhideWhenUsed/>
    <w:qFormat/>
    <w:rsid w:val="00893EE3"/>
    <w:pPr>
      <w:keepNext/>
      <w:keepLines/>
      <w:spacing w:before="200" w:after="0" w:line="240" w:lineRule="auto"/>
      <w:ind w:left="1008" w:hanging="720"/>
      <w:outlineLvl w:val="2"/>
    </w:pPr>
    <w:rPr>
      <w:rFonts w:ascii="Cambria" w:eastAsia="Times New Roman" w:hAnsi="Cambria" w:cs="Times New Roman"/>
      <w:b/>
      <w:bCs/>
      <w:color w:val="4F81BD"/>
      <w:sz w:val="24"/>
      <w:szCs w:val="24"/>
      <w:lang w:val="es-ES"/>
    </w:rPr>
  </w:style>
  <w:style w:type="paragraph" w:styleId="Heading4">
    <w:name w:val="heading 4"/>
    <w:basedOn w:val="Normal"/>
    <w:next w:val="Normal"/>
    <w:link w:val="Heading4Char"/>
    <w:uiPriority w:val="9"/>
    <w:semiHidden/>
    <w:unhideWhenUsed/>
    <w:qFormat/>
    <w:rsid w:val="00893EE3"/>
    <w:pPr>
      <w:keepNext/>
      <w:keepLines/>
      <w:spacing w:before="200" w:after="0" w:line="240" w:lineRule="auto"/>
      <w:ind w:left="1152" w:hanging="864"/>
      <w:outlineLvl w:val="3"/>
    </w:pPr>
    <w:rPr>
      <w:rFonts w:ascii="Cambria" w:eastAsia="Times New Roman" w:hAnsi="Cambria" w:cs="Times New Roman"/>
      <w:b/>
      <w:bCs/>
      <w:i/>
      <w:iCs/>
      <w:color w:val="4F81BD"/>
      <w:sz w:val="24"/>
      <w:szCs w:val="24"/>
      <w:lang w:val="es-ES"/>
    </w:rPr>
  </w:style>
  <w:style w:type="paragraph" w:styleId="Heading5">
    <w:name w:val="heading 5"/>
    <w:basedOn w:val="Normal"/>
    <w:next w:val="Normal"/>
    <w:link w:val="Heading5Char"/>
    <w:uiPriority w:val="9"/>
    <w:semiHidden/>
    <w:unhideWhenUsed/>
    <w:qFormat/>
    <w:rsid w:val="0042654F"/>
    <w:pPr>
      <w:numPr>
        <w:ilvl w:val="4"/>
        <w:numId w:val="1"/>
      </w:numPr>
      <w:spacing w:before="240" w:after="60" w:line="240" w:lineRule="auto"/>
      <w:outlineLvl w:val="4"/>
    </w:pPr>
    <w:rPr>
      <w:rFonts w:ascii="Times New Roman" w:eastAsia="Times New Roman" w:hAnsi="Times New Roman" w:cs="Times New Roman"/>
      <w:szCs w:val="20"/>
      <w:lang w:val="x-none" w:eastAsia="x-none"/>
    </w:rPr>
  </w:style>
  <w:style w:type="paragraph" w:styleId="Heading6">
    <w:name w:val="heading 6"/>
    <w:basedOn w:val="Normal"/>
    <w:next w:val="Normal"/>
    <w:link w:val="Heading6Char"/>
    <w:uiPriority w:val="9"/>
    <w:semiHidden/>
    <w:unhideWhenUsed/>
    <w:qFormat/>
    <w:rsid w:val="0042654F"/>
    <w:pPr>
      <w:numPr>
        <w:ilvl w:val="5"/>
        <w:numId w:val="1"/>
      </w:numPr>
      <w:spacing w:before="240" w:after="60" w:line="240" w:lineRule="auto"/>
      <w:outlineLvl w:val="5"/>
    </w:pPr>
    <w:rPr>
      <w:rFonts w:ascii="Times New Roman" w:eastAsia="Times New Roman" w:hAnsi="Times New Roman" w:cs="Times New Roman"/>
      <w:i/>
      <w:szCs w:val="20"/>
      <w:lang w:val="x-none" w:eastAsia="x-none"/>
    </w:rPr>
  </w:style>
  <w:style w:type="paragraph" w:styleId="Heading7">
    <w:name w:val="heading 7"/>
    <w:basedOn w:val="Normal"/>
    <w:next w:val="Normal"/>
    <w:link w:val="Heading7Char"/>
    <w:uiPriority w:val="9"/>
    <w:semiHidden/>
    <w:unhideWhenUsed/>
    <w:qFormat/>
    <w:rsid w:val="0042654F"/>
    <w:pPr>
      <w:numPr>
        <w:ilvl w:val="6"/>
        <w:numId w:val="1"/>
      </w:numPr>
      <w:spacing w:before="240" w:after="60" w:line="240" w:lineRule="auto"/>
      <w:outlineLvl w:val="6"/>
    </w:pPr>
    <w:rPr>
      <w:rFonts w:ascii="Arial" w:eastAsia="Times New Roman" w:hAnsi="Arial" w:cs="Times New Roman"/>
      <w:sz w:val="24"/>
      <w:szCs w:val="20"/>
      <w:lang w:val="x-none" w:eastAsia="x-none"/>
    </w:rPr>
  </w:style>
  <w:style w:type="paragraph" w:styleId="Heading8">
    <w:name w:val="heading 8"/>
    <w:basedOn w:val="Normal"/>
    <w:next w:val="Normal"/>
    <w:link w:val="Heading8Char"/>
    <w:uiPriority w:val="9"/>
    <w:semiHidden/>
    <w:unhideWhenUsed/>
    <w:qFormat/>
    <w:rsid w:val="0042654F"/>
    <w:pPr>
      <w:numPr>
        <w:ilvl w:val="7"/>
        <w:numId w:val="1"/>
      </w:numPr>
      <w:spacing w:before="240" w:after="60" w:line="240" w:lineRule="auto"/>
      <w:outlineLvl w:val="7"/>
    </w:pPr>
    <w:rPr>
      <w:rFonts w:ascii="Arial" w:eastAsia="Times New Roman" w:hAnsi="Arial" w:cs="Times New Roman"/>
      <w:i/>
      <w:sz w:val="24"/>
      <w:szCs w:val="20"/>
      <w:lang w:val="x-none" w:eastAsia="x-none"/>
    </w:rPr>
  </w:style>
  <w:style w:type="paragraph" w:styleId="Heading9">
    <w:name w:val="heading 9"/>
    <w:basedOn w:val="Normal"/>
    <w:next w:val="Normal"/>
    <w:link w:val="Heading9Char"/>
    <w:uiPriority w:val="9"/>
    <w:semiHidden/>
    <w:unhideWhenUsed/>
    <w:qFormat/>
    <w:rsid w:val="0042654F"/>
    <w:pPr>
      <w:numPr>
        <w:ilvl w:val="8"/>
        <w:numId w:val="1"/>
      </w:numPr>
      <w:spacing w:before="240" w:after="60" w:line="240" w:lineRule="auto"/>
      <w:outlineLvl w:val="8"/>
    </w:pPr>
    <w:rPr>
      <w:rFonts w:ascii="Arial" w:eastAsia="Times New Roman" w:hAnsi="Arial" w:cs="Times New Roman"/>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FCC"/>
    <w:pPr>
      <w:ind w:left="720"/>
      <w:contextualSpacing/>
    </w:pPr>
  </w:style>
  <w:style w:type="paragraph" w:styleId="Title">
    <w:name w:val="Title"/>
    <w:basedOn w:val="Normal"/>
    <w:link w:val="TitleChar"/>
    <w:qFormat/>
    <w:rsid w:val="001036EF"/>
    <w:pPr>
      <w:spacing w:after="0" w:line="240" w:lineRule="auto"/>
      <w:jc w:val="center"/>
    </w:pPr>
    <w:rPr>
      <w:rFonts w:ascii="Times New Roman" w:eastAsia="Times New Roman" w:hAnsi="Times New Roman" w:cs="Times New Roman"/>
      <w:b/>
      <w:sz w:val="20"/>
      <w:szCs w:val="20"/>
      <w:lang w:val="es-ES_tradnl"/>
    </w:rPr>
  </w:style>
  <w:style w:type="character" w:customStyle="1" w:styleId="TitleChar">
    <w:name w:val="Title Char"/>
    <w:basedOn w:val="DefaultParagraphFont"/>
    <w:link w:val="Title"/>
    <w:rsid w:val="001036EF"/>
    <w:rPr>
      <w:rFonts w:ascii="Times New Roman" w:eastAsia="Times New Roman" w:hAnsi="Times New Roman" w:cs="Times New Roman"/>
      <w:b/>
      <w:sz w:val="20"/>
      <w:szCs w:val="20"/>
      <w:lang w:val="es-ES_tradnl"/>
    </w:rPr>
  </w:style>
  <w:style w:type="paragraph" w:customStyle="1" w:styleId="Paragraph">
    <w:name w:val="Paragraph"/>
    <w:aliases w:val="paragraph,p,PARAGRAPH,PG,pa,at"/>
    <w:basedOn w:val="BodyTextIndent"/>
    <w:link w:val="ParagraphChar"/>
    <w:uiPriority w:val="99"/>
    <w:rsid w:val="00F96F14"/>
    <w:pPr>
      <w:suppressAutoHyphens/>
      <w:autoSpaceDN w:val="0"/>
      <w:spacing w:before="120" w:line="240" w:lineRule="auto"/>
      <w:jc w:val="both"/>
      <w:textAlignment w:val="baseline"/>
      <w:outlineLvl w:val="1"/>
    </w:pPr>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F96F14"/>
    <w:pPr>
      <w:spacing w:after="120"/>
      <w:ind w:left="360"/>
    </w:pPr>
  </w:style>
  <w:style w:type="character" w:customStyle="1" w:styleId="BodyTextIndentChar">
    <w:name w:val="Body Text Indent Char"/>
    <w:basedOn w:val="DefaultParagraphFont"/>
    <w:link w:val="BodyTextIndent"/>
    <w:uiPriority w:val="99"/>
    <w:semiHidden/>
    <w:rsid w:val="00F96F14"/>
  </w:style>
  <w:style w:type="paragraph" w:styleId="BalloonText">
    <w:name w:val="Balloon Text"/>
    <w:basedOn w:val="Normal"/>
    <w:link w:val="BalloonTextChar"/>
    <w:uiPriority w:val="99"/>
    <w:semiHidden/>
    <w:unhideWhenUsed/>
    <w:rsid w:val="000A6C6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A6C64"/>
    <w:rPr>
      <w:rFonts w:ascii="Arial" w:hAnsi="Arial" w:cs="Arial"/>
      <w:sz w:val="16"/>
      <w:szCs w:val="16"/>
    </w:rPr>
  </w:style>
  <w:style w:type="paragraph" w:styleId="Revision">
    <w:name w:val="Revision"/>
    <w:hidden/>
    <w:uiPriority w:val="99"/>
    <w:semiHidden/>
    <w:rsid w:val="00A36C99"/>
    <w:pPr>
      <w:spacing w:after="0" w:line="240" w:lineRule="auto"/>
    </w:pPr>
  </w:style>
  <w:style w:type="paragraph" w:styleId="PlainText">
    <w:name w:val="Plain Text"/>
    <w:basedOn w:val="Normal"/>
    <w:link w:val="PlainTextChar"/>
    <w:uiPriority w:val="99"/>
    <w:unhideWhenUsed/>
    <w:rsid w:val="009417A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417AB"/>
    <w:rPr>
      <w:rFonts w:ascii="Calibri" w:hAnsi="Calibri" w:cs="Consolas"/>
      <w:szCs w:val="21"/>
    </w:rPr>
  </w:style>
  <w:style w:type="paragraph" w:customStyle="1" w:styleId="xmsonormal">
    <w:name w:val="x_msonormal"/>
    <w:basedOn w:val="Normal"/>
    <w:rsid w:val="009417A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2A6B"/>
    <w:rPr>
      <w:b/>
      <w:bCs/>
    </w:rPr>
  </w:style>
  <w:style w:type="paragraph" w:customStyle="1" w:styleId="docs">
    <w:name w:val="docs"/>
    <w:basedOn w:val="Normal"/>
    <w:rsid w:val="005802A2"/>
    <w:pPr>
      <w:spacing w:after="0" w:line="240" w:lineRule="auto"/>
      <w:jc w:val="both"/>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547A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7A9D"/>
    <w:rPr>
      <w:sz w:val="20"/>
      <w:szCs w:val="20"/>
    </w:rPr>
  </w:style>
  <w:style w:type="character" w:styleId="EndnoteReference">
    <w:name w:val="endnote reference"/>
    <w:basedOn w:val="DefaultParagraphFont"/>
    <w:uiPriority w:val="99"/>
    <w:semiHidden/>
    <w:unhideWhenUsed/>
    <w:rsid w:val="00547A9D"/>
    <w:rPr>
      <w:vertAlign w:val="superscript"/>
    </w:rPr>
  </w:style>
  <w:style w:type="paragraph" w:styleId="Header">
    <w:name w:val="header"/>
    <w:basedOn w:val="Normal"/>
    <w:link w:val="HeaderChar"/>
    <w:uiPriority w:val="99"/>
    <w:unhideWhenUsed/>
    <w:rsid w:val="00547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9D"/>
  </w:style>
  <w:style w:type="paragraph" w:styleId="Footer">
    <w:name w:val="footer"/>
    <w:basedOn w:val="Normal"/>
    <w:link w:val="FooterChar"/>
    <w:uiPriority w:val="99"/>
    <w:unhideWhenUsed/>
    <w:rsid w:val="00547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9D"/>
  </w:style>
  <w:style w:type="character" w:customStyle="1" w:styleId="Heading5Char">
    <w:name w:val="Heading 5 Char"/>
    <w:basedOn w:val="DefaultParagraphFont"/>
    <w:link w:val="Heading5"/>
    <w:uiPriority w:val="9"/>
    <w:semiHidden/>
    <w:rsid w:val="0042654F"/>
    <w:rPr>
      <w:rFonts w:ascii="Times New Roman" w:eastAsia="Times New Roman" w:hAnsi="Times New Roman" w:cs="Times New Roman"/>
      <w:szCs w:val="20"/>
      <w:lang w:val="x-none" w:eastAsia="x-none"/>
    </w:rPr>
  </w:style>
  <w:style w:type="character" w:customStyle="1" w:styleId="Heading6Char">
    <w:name w:val="Heading 6 Char"/>
    <w:basedOn w:val="DefaultParagraphFont"/>
    <w:link w:val="Heading6"/>
    <w:uiPriority w:val="9"/>
    <w:semiHidden/>
    <w:rsid w:val="0042654F"/>
    <w:rPr>
      <w:rFonts w:ascii="Times New Roman" w:eastAsia="Times New Roman" w:hAnsi="Times New Roman" w:cs="Times New Roman"/>
      <w:i/>
      <w:szCs w:val="20"/>
      <w:lang w:val="x-none" w:eastAsia="x-none"/>
    </w:rPr>
  </w:style>
  <w:style w:type="character" w:customStyle="1" w:styleId="Heading7Char">
    <w:name w:val="Heading 7 Char"/>
    <w:basedOn w:val="DefaultParagraphFont"/>
    <w:link w:val="Heading7"/>
    <w:uiPriority w:val="9"/>
    <w:semiHidden/>
    <w:rsid w:val="0042654F"/>
    <w:rPr>
      <w:rFonts w:ascii="Arial" w:eastAsia="Times New Roman" w:hAnsi="Arial" w:cs="Times New Roman"/>
      <w:sz w:val="24"/>
      <w:szCs w:val="20"/>
      <w:lang w:val="x-none" w:eastAsia="x-none"/>
    </w:rPr>
  </w:style>
  <w:style w:type="character" w:customStyle="1" w:styleId="Heading8Char">
    <w:name w:val="Heading 8 Char"/>
    <w:basedOn w:val="DefaultParagraphFont"/>
    <w:link w:val="Heading8"/>
    <w:uiPriority w:val="9"/>
    <w:semiHidden/>
    <w:rsid w:val="0042654F"/>
    <w:rPr>
      <w:rFonts w:ascii="Arial" w:eastAsia="Times New Roman" w:hAnsi="Arial" w:cs="Times New Roman"/>
      <w:i/>
      <w:sz w:val="24"/>
      <w:szCs w:val="20"/>
      <w:lang w:val="x-none" w:eastAsia="x-none"/>
    </w:rPr>
  </w:style>
  <w:style w:type="character" w:customStyle="1" w:styleId="Heading9Char">
    <w:name w:val="Heading 9 Char"/>
    <w:basedOn w:val="DefaultParagraphFont"/>
    <w:link w:val="Heading9"/>
    <w:uiPriority w:val="9"/>
    <w:semiHidden/>
    <w:rsid w:val="0042654F"/>
    <w:rPr>
      <w:rFonts w:ascii="Arial" w:eastAsia="Times New Roman" w:hAnsi="Arial" w:cs="Times New Roman"/>
      <w:b/>
      <w:i/>
      <w:sz w:val="18"/>
      <w:szCs w:val="20"/>
      <w:lang w:val="x-none" w:eastAsia="x-none"/>
    </w:rPr>
  </w:style>
  <w:style w:type="character" w:customStyle="1" w:styleId="FootnoteTextChar">
    <w:name w:val="Footnote Text Char"/>
    <w:aliases w:val="fn Char,Texto nota pie IIRSA Char"/>
    <w:basedOn w:val="DefaultParagraphFont"/>
    <w:link w:val="FootnoteText"/>
    <w:uiPriority w:val="99"/>
    <w:semiHidden/>
    <w:locked/>
    <w:rsid w:val="0042654F"/>
    <w:rPr>
      <w:spacing w:val="-3"/>
      <w:lang w:val="x-none" w:eastAsia="x-none"/>
    </w:rPr>
  </w:style>
  <w:style w:type="paragraph" w:styleId="FootnoteText">
    <w:name w:val="footnote text"/>
    <w:aliases w:val="fn,Texto nota pie IIRSA"/>
    <w:basedOn w:val="Normal"/>
    <w:link w:val="FootnoteTextChar"/>
    <w:uiPriority w:val="99"/>
    <w:semiHidden/>
    <w:unhideWhenUsed/>
    <w:rsid w:val="0042654F"/>
    <w:pPr>
      <w:keepNext/>
      <w:keepLines/>
      <w:spacing w:after="120" w:line="240" w:lineRule="auto"/>
      <w:ind w:left="288" w:hanging="288"/>
      <w:jc w:val="both"/>
    </w:pPr>
    <w:rPr>
      <w:spacing w:val="-3"/>
      <w:lang w:val="x-none" w:eastAsia="x-none"/>
    </w:rPr>
  </w:style>
  <w:style w:type="character" w:customStyle="1" w:styleId="FootnoteTextChar1">
    <w:name w:val="Footnote Text Char1"/>
    <w:basedOn w:val="DefaultParagraphFont"/>
    <w:uiPriority w:val="99"/>
    <w:semiHidden/>
    <w:rsid w:val="0042654F"/>
    <w:rPr>
      <w:sz w:val="20"/>
      <w:szCs w:val="20"/>
    </w:rPr>
  </w:style>
  <w:style w:type="paragraph" w:customStyle="1" w:styleId="Chapter">
    <w:name w:val="Chapter"/>
    <w:basedOn w:val="Normal"/>
    <w:next w:val="Normal"/>
    <w:rsid w:val="0042654F"/>
    <w:pPr>
      <w:keepNext/>
      <w:tabs>
        <w:tab w:val="num" w:pos="648"/>
        <w:tab w:val="left" w:pos="1440"/>
        <w:tab w:val="num" w:pos="2088"/>
      </w:tabs>
      <w:spacing w:before="240" w:after="240" w:line="240" w:lineRule="auto"/>
      <w:ind w:firstLine="288"/>
      <w:jc w:val="center"/>
    </w:pPr>
    <w:rPr>
      <w:rFonts w:ascii="Times New Roman" w:eastAsia="Times New Roman" w:hAnsi="Times New Roman" w:cs="Times New Roman"/>
      <w:b/>
      <w:smallCaps/>
      <w:sz w:val="24"/>
      <w:szCs w:val="20"/>
      <w:lang w:val="es-ES"/>
    </w:rPr>
  </w:style>
  <w:style w:type="paragraph" w:customStyle="1" w:styleId="FirstHeading">
    <w:name w:val="FirstHeading"/>
    <w:basedOn w:val="Normal"/>
    <w:next w:val="Normal"/>
    <w:uiPriority w:val="99"/>
    <w:rsid w:val="0042654F"/>
    <w:pPr>
      <w:keepNext/>
      <w:numPr>
        <w:numId w:val="1"/>
      </w:numPr>
      <w:tabs>
        <w:tab w:val="left" w:pos="0"/>
        <w:tab w:val="left" w:pos="86"/>
      </w:tabs>
      <w:spacing w:before="120" w:after="120" w:line="240" w:lineRule="auto"/>
    </w:pPr>
    <w:rPr>
      <w:rFonts w:ascii="Times New Roman" w:eastAsia="Times New Roman" w:hAnsi="Times New Roman" w:cs="Times New Roman"/>
      <w:b/>
      <w:sz w:val="24"/>
      <w:szCs w:val="20"/>
      <w:lang w:val="es-ES"/>
    </w:rPr>
  </w:style>
  <w:style w:type="character" w:customStyle="1" w:styleId="ParagraphChar">
    <w:name w:val="Paragraph Char"/>
    <w:link w:val="Paragraph"/>
    <w:uiPriority w:val="99"/>
    <w:locked/>
    <w:rsid w:val="0042654F"/>
    <w:rPr>
      <w:rFonts w:ascii="Times New Roman" w:eastAsia="Times New Roman" w:hAnsi="Times New Roman" w:cs="Times New Roman"/>
      <w:sz w:val="24"/>
      <w:szCs w:val="20"/>
      <w:lang w:val="es-ES"/>
    </w:rPr>
  </w:style>
  <w:style w:type="paragraph" w:customStyle="1" w:styleId="SecHeading">
    <w:name w:val="SecHeading"/>
    <w:basedOn w:val="Normal"/>
    <w:next w:val="Paragraph"/>
    <w:uiPriority w:val="99"/>
    <w:rsid w:val="0042654F"/>
    <w:pPr>
      <w:keepNext/>
      <w:numPr>
        <w:ilvl w:val="1"/>
        <w:numId w:val="1"/>
      </w:numPr>
      <w:tabs>
        <w:tab w:val="num" w:pos="1296"/>
      </w:tabs>
      <w:spacing w:before="120" w:after="120" w:line="240" w:lineRule="auto"/>
      <w:ind w:left="1296"/>
    </w:pPr>
    <w:rPr>
      <w:rFonts w:ascii="Times New Roman" w:eastAsia="Times New Roman" w:hAnsi="Times New Roman" w:cs="Times New Roman"/>
      <w:b/>
      <w:sz w:val="24"/>
      <w:szCs w:val="20"/>
      <w:lang w:val="es-ES_tradnl"/>
    </w:rPr>
  </w:style>
  <w:style w:type="paragraph" w:customStyle="1" w:styleId="SubHeading1">
    <w:name w:val="SubHeading1"/>
    <w:basedOn w:val="SecHeading"/>
    <w:uiPriority w:val="99"/>
    <w:rsid w:val="0042654F"/>
    <w:pPr>
      <w:numPr>
        <w:ilvl w:val="2"/>
      </w:numPr>
      <w:tabs>
        <w:tab w:val="num" w:pos="1872"/>
        <w:tab w:val="num" w:pos="5744"/>
      </w:tabs>
      <w:ind w:left="1872"/>
    </w:pPr>
  </w:style>
  <w:style w:type="paragraph" w:customStyle="1" w:styleId="Subheading2">
    <w:name w:val="Subheading2"/>
    <w:basedOn w:val="SecHeading"/>
    <w:uiPriority w:val="99"/>
    <w:rsid w:val="0042654F"/>
    <w:pPr>
      <w:numPr>
        <w:ilvl w:val="3"/>
      </w:numPr>
      <w:tabs>
        <w:tab w:val="num" w:pos="2376"/>
        <w:tab w:val="num" w:pos="5744"/>
      </w:tabs>
      <w:ind w:left="2376"/>
    </w:pPr>
  </w:style>
  <w:style w:type="paragraph" w:customStyle="1" w:styleId="subpar">
    <w:name w:val="subpar"/>
    <w:basedOn w:val="BodyTextIndent3"/>
    <w:uiPriority w:val="99"/>
    <w:rsid w:val="0042654F"/>
    <w:pPr>
      <w:tabs>
        <w:tab w:val="num" w:pos="360"/>
        <w:tab w:val="num" w:pos="1152"/>
      </w:tabs>
      <w:spacing w:before="120" w:line="240" w:lineRule="auto"/>
      <w:ind w:left="1152"/>
      <w:jc w:val="both"/>
      <w:outlineLvl w:val="2"/>
    </w:pPr>
    <w:rPr>
      <w:rFonts w:ascii="Times New Roman" w:eastAsia="Times New Roman" w:hAnsi="Times New Roman" w:cs="Times New Roman"/>
      <w:sz w:val="24"/>
      <w:szCs w:val="20"/>
      <w:lang w:val="es-ES_tradnl" w:eastAsia="x-none"/>
    </w:rPr>
  </w:style>
  <w:style w:type="paragraph" w:customStyle="1" w:styleId="SubSubPar">
    <w:name w:val="SubSubPar"/>
    <w:basedOn w:val="subpar"/>
    <w:uiPriority w:val="99"/>
    <w:rsid w:val="0042654F"/>
    <w:pPr>
      <w:tabs>
        <w:tab w:val="clear" w:pos="1152"/>
        <w:tab w:val="left" w:pos="0"/>
        <w:tab w:val="num" w:pos="1296"/>
      </w:tabs>
      <w:ind w:left="1296" w:hanging="720"/>
    </w:pPr>
  </w:style>
  <w:style w:type="character" w:styleId="FootnoteReference">
    <w:name w:val="footnote reference"/>
    <w:aliases w:val="titulo 2"/>
    <w:uiPriority w:val="99"/>
    <w:semiHidden/>
    <w:unhideWhenUsed/>
    <w:rsid w:val="0042654F"/>
    <w:rPr>
      <w:rFonts w:ascii="Times New Roman" w:hAnsi="Times New Roman" w:cs="Times New Roman" w:hint="default"/>
      <w:vertAlign w:val="superscript"/>
    </w:rPr>
  </w:style>
  <w:style w:type="paragraph" w:styleId="BodyTextIndent3">
    <w:name w:val="Body Text Indent 3"/>
    <w:basedOn w:val="Normal"/>
    <w:link w:val="BodyTextIndent3Char"/>
    <w:uiPriority w:val="99"/>
    <w:semiHidden/>
    <w:unhideWhenUsed/>
    <w:rsid w:val="004265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654F"/>
    <w:rPr>
      <w:sz w:val="16"/>
      <w:szCs w:val="16"/>
    </w:rPr>
  </w:style>
  <w:style w:type="character" w:customStyle="1" w:styleId="Heading2Char">
    <w:name w:val="Heading 2 Char"/>
    <w:basedOn w:val="DefaultParagraphFont"/>
    <w:link w:val="Heading2"/>
    <w:uiPriority w:val="9"/>
    <w:semiHidden/>
    <w:rsid w:val="00893EE3"/>
    <w:rPr>
      <w:rFonts w:ascii="Cambria" w:eastAsia="Times New Roman" w:hAnsi="Cambria" w:cs="Times New Roman"/>
      <w:b/>
      <w:bCs/>
      <w:color w:val="4F81BD"/>
      <w:sz w:val="26"/>
      <w:szCs w:val="26"/>
      <w:lang w:val="es-ES"/>
    </w:rPr>
  </w:style>
  <w:style w:type="character" w:customStyle="1" w:styleId="Heading3Char">
    <w:name w:val="Heading 3 Char"/>
    <w:basedOn w:val="DefaultParagraphFont"/>
    <w:link w:val="Heading3"/>
    <w:uiPriority w:val="9"/>
    <w:semiHidden/>
    <w:rsid w:val="00893EE3"/>
    <w:rPr>
      <w:rFonts w:ascii="Cambria" w:eastAsia="Times New Roman" w:hAnsi="Cambria" w:cs="Times New Roman"/>
      <w:b/>
      <w:bCs/>
      <w:color w:val="4F81BD"/>
      <w:sz w:val="24"/>
      <w:szCs w:val="24"/>
      <w:lang w:val="es-ES"/>
    </w:rPr>
  </w:style>
  <w:style w:type="character" w:customStyle="1" w:styleId="Heading4Char">
    <w:name w:val="Heading 4 Char"/>
    <w:basedOn w:val="DefaultParagraphFont"/>
    <w:link w:val="Heading4"/>
    <w:uiPriority w:val="9"/>
    <w:semiHidden/>
    <w:rsid w:val="00893EE3"/>
    <w:rPr>
      <w:rFonts w:ascii="Cambria" w:eastAsia="Times New Roman" w:hAnsi="Cambria" w:cs="Times New Roman"/>
      <w:b/>
      <w:bCs/>
      <w:i/>
      <w:iCs/>
      <w:color w:val="4F81BD"/>
      <w:sz w:val="24"/>
      <w:szCs w:val="24"/>
      <w:lang w:val="es-ES"/>
    </w:rPr>
  </w:style>
  <w:style w:type="paragraph" w:styleId="NormalWeb">
    <w:name w:val="Normal (Web)"/>
    <w:basedOn w:val="Normal"/>
    <w:uiPriority w:val="99"/>
    <w:semiHidden/>
    <w:unhideWhenUsed/>
    <w:rsid w:val="00C5763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CommentReference">
    <w:name w:val="annotation reference"/>
    <w:basedOn w:val="DefaultParagraphFont"/>
    <w:uiPriority w:val="99"/>
    <w:semiHidden/>
    <w:unhideWhenUsed/>
    <w:rsid w:val="00D30DBF"/>
    <w:rPr>
      <w:sz w:val="16"/>
      <w:szCs w:val="16"/>
    </w:rPr>
  </w:style>
  <w:style w:type="paragraph" w:styleId="CommentText">
    <w:name w:val="annotation text"/>
    <w:basedOn w:val="Normal"/>
    <w:link w:val="CommentTextChar"/>
    <w:uiPriority w:val="99"/>
    <w:semiHidden/>
    <w:unhideWhenUsed/>
    <w:rsid w:val="00D30DBF"/>
    <w:pPr>
      <w:spacing w:line="240" w:lineRule="auto"/>
    </w:pPr>
    <w:rPr>
      <w:sz w:val="20"/>
      <w:szCs w:val="20"/>
    </w:rPr>
  </w:style>
  <w:style w:type="character" w:customStyle="1" w:styleId="CommentTextChar">
    <w:name w:val="Comment Text Char"/>
    <w:basedOn w:val="DefaultParagraphFont"/>
    <w:link w:val="CommentText"/>
    <w:uiPriority w:val="99"/>
    <w:semiHidden/>
    <w:rsid w:val="00D30DBF"/>
    <w:rPr>
      <w:sz w:val="20"/>
      <w:szCs w:val="20"/>
    </w:rPr>
  </w:style>
  <w:style w:type="paragraph" w:styleId="CommentSubject">
    <w:name w:val="annotation subject"/>
    <w:basedOn w:val="CommentText"/>
    <w:next w:val="CommentText"/>
    <w:link w:val="CommentSubjectChar"/>
    <w:uiPriority w:val="99"/>
    <w:semiHidden/>
    <w:unhideWhenUsed/>
    <w:rsid w:val="00D30DBF"/>
    <w:rPr>
      <w:b/>
      <w:bCs/>
    </w:rPr>
  </w:style>
  <w:style w:type="character" w:customStyle="1" w:styleId="CommentSubjectChar">
    <w:name w:val="Comment Subject Char"/>
    <w:basedOn w:val="CommentTextChar"/>
    <w:link w:val="CommentSubject"/>
    <w:uiPriority w:val="99"/>
    <w:semiHidden/>
    <w:rsid w:val="00D30DBF"/>
    <w:rPr>
      <w:b/>
      <w:bCs/>
      <w:sz w:val="20"/>
      <w:szCs w:val="20"/>
    </w:rPr>
  </w:style>
  <w:style w:type="paragraph" w:customStyle="1" w:styleId="Default">
    <w:name w:val="Default"/>
    <w:rsid w:val="006F0D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41185">
      <w:bodyDiv w:val="1"/>
      <w:marLeft w:val="0"/>
      <w:marRight w:val="0"/>
      <w:marTop w:val="0"/>
      <w:marBottom w:val="0"/>
      <w:divBdr>
        <w:top w:val="none" w:sz="0" w:space="0" w:color="auto"/>
        <w:left w:val="none" w:sz="0" w:space="0" w:color="auto"/>
        <w:bottom w:val="none" w:sz="0" w:space="0" w:color="auto"/>
        <w:right w:val="none" w:sz="0" w:space="0" w:color="auto"/>
      </w:divBdr>
    </w:div>
    <w:div w:id="592907113">
      <w:bodyDiv w:val="1"/>
      <w:marLeft w:val="0"/>
      <w:marRight w:val="0"/>
      <w:marTop w:val="0"/>
      <w:marBottom w:val="0"/>
      <w:divBdr>
        <w:top w:val="none" w:sz="0" w:space="0" w:color="auto"/>
        <w:left w:val="none" w:sz="0" w:space="0" w:color="auto"/>
        <w:bottom w:val="none" w:sz="0" w:space="0" w:color="auto"/>
        <w:right w:val="none" w:sz="0" w:space="0" w:color="auto"/>
      </w:divBdr>
    </w:div>
    <w:div w:id="646711117">
      <w:bodyDiv w:val="1"/>
      <w:marLeft w:val="0"/>
      <w:marRight w:val="0"/>
      <w:marTop w:val="0"/>
      <w:marBottom w:val="0"/>
      <w:divBdr>
        <w:top w:val="none" w:sz="0" w:space="0" w:color="auto"/>
        <w:left w:val="none" w:sz="0" w:space="0" w:color="auto"/>
        <w:bottom w:val="none" w:sz="0" w:space="0" w:color="auto"/>
        <w:right w:val="none" w:sz="0" w:space="0" w:color="auto"/>
      </w:divBdr>
    </w:div>
    <w:div w:id="682170836">
      <w:bodyDiv w:val="1"/>
      <w:marLeft w:val="0"/>
      <w:marRight w:val="0"/>
      <w:marTop w:val="0"/>
      <w:marBottom w:val="0"/>
      <w:divBdr>
        <w:top w:val="none" w:sz="0" w:space="0" w:color="auto"/>
        <w:left w:val="none" w:sz="0" w:space="0" w:color="auto"/>
        <w:bottom w:val="none" w:sz="0" w:space="0" w:color="auto"/>
        <w:right w:val="none" w:sz="0" w:space="0" w:color="auto"/>
      </w:divBdr>
    </w:div>
    <w:div w:id="977417426">
      <w:bodyDiv w:val="1"/>
      <w:marLeft w:val="0"/>
      <w:marRight w:val="0"/>
      <w:marTop w:val="0"/>
      <w:marBottom w:val="0"/>
      <w:divBdr>
        <w:top w:val="none" w:sz="0" w:space="0" w:color="auto"/>
        <w:left w:val="none" w:sz="0" w:space="0" w:color="auto"/>
        <w:bottom w:val="none" w:sz="0" w:space="0" w:color="auto"/>
        <w:right w:val="none" w:sz="0" w:space="0" w:color="auto"/>
      </w:divBdr>
    </w:div>
    <w:div w:id="1677875932">
      <w:bodyDiv w:val="1"/>
      <w:marLeft w:val="0"/>
      <w:marRight w:val="0"/>
      <w:marTop w:val="0"/>
      <w:marBottom w:val="0"/>
      <w:divBdr>
        <w:top w:val="none" w:sz="0" w:space="0" w:color="auto"/>
        <w:left w:val="none" w:sz="0" w:space="0" w:color="auto"/>
        <w:bottom w:val="none" w:sz="0" w:space="0" w:color="auto"/>
        <w:right w:val="none" w:sz="0" w:space="0" w:color="auto"/>
      </w:divBdr>
    </w:div>
    <w:div w:id="1681619552">
      <w:bodyDiv w:val="1"/>
      <w:marLeft w:val="0"/>
      <w:marRight w:val="0"/>
      <w:marTop w:val="0"/>
      <w:marBottom w:val="0"/>
      <w:divBdr>
        <w:top w:val="none" w:sz="0" w:space="0" w:color="auto"/>
        <w:left w:val="none" w:sz="0" w:space="0" w:color="auto"/>
        <w:bottom w:val="none" w:sz="0" w:space="0" w:color="auto"/>
        <w:right w:val="none" w:sz="0" w:space="0" w:color="auto"/>
      </w:divBdr>
    </w:div>
    <w:div w:id="18406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 xsi:nil="true"/>
    <TaxCatchAll xmlns="cdc7663a-08f0-4737-9e8c-148ce897a09c">
      <Value>50</Value>
      <Value>31</Value>
      <Value>27</Value>
      <Value>7</Value>
      <Value>71</Value>
      <Value>2</Value>
      <Value>51</Value>
    </TaxCatchAll>
    <Phase xmlns="cdc7663a-08f0-4737-9e8c-148ce897a09c" xsi:nil="true"/>
    <SISCOR_x0020_Number xmlns="cdc7663a-08f0-4737-9e8c-148ce897a09c" xsi:nil="true"/>
    <Division_x0020_or_x0020_Unit xmlns="cdc7663a-08f0-4737-9e8c-148ce897a09c">IFD/CMF</Division_x0020_or_x0020_Unit>
    <Approval_x0020_Number xmlns="cdc7663a-08f0-4737-9e8c-148ce897a09c" xsi:nil="true"/>
    <Document_x0020_Author xmlns="cdc7663a-08f0-4737-9e8c-148ce897a09c">Gaggero, Annabella</Document_x0020_Author>
    <Fiscal_x0020_Year_x0020_IDB xmlns="cdc7663a-08f0-4737-9e8c-148ce897a09c">2017</Fiscal_x0020_Year_x0020_IDB>
    <Other_x0020_Author xmlns="cdc7663a-08f0-4737-9e8c-148ce897a09c" xsi:nil="true"/>
    <Project_x0020_Number xmlns="cdc7663a-08f0-4737-9e8c-148ce897a09c">CO-L1214</Project_x0020_Number>
    <Package_x0020_Code xmlns="cdc7663a-08f0-4737-9e8c-148ce897a09c" xsi:nil="true"/>
    <Key_x0020_Document xmlns="cdc7663a-08f0-4737-9e8c-148ce897a09c" xsi:nil="true"/>
    <Migration_x0020_Info xmlns="cdc7663a-08f0-4737-9e8c-148ce897a09c" xsi:nil="true"/>
    <Operation_x0020_Type xmlns="cdc7663a-08f0-4737-9e8c-148ce897a09c">Loan Operation</Operation_x0020_Type>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Mission Report</TermName>
          <TermId xmlns="http://schemas.microsoft.com/office/infopath/2007/PartnerControls">11d962ee-56b5-4670-be97-f378599c86ca</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FINANCIAL REGULATION AND SUPERVISION</TermName>
          <TermId xmlns="http://schemas.microsoft.com/office/infopath/2007/PartnerControls">cfed87c2-6f36-4f6b-9a83-5b88cea48148</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Info xmlns="http://schemas.microsoft.com/office/infopath/2007/PartnerControls">
          <TermName xmlns="http://schemas.microsoft.com/office/infopath/2007/PartnerControls">CHC</TermName>
          <TermId xmlns="http://schemas.microsoft.com/office/infopath/2007/PartnerControls">d10ee644-ef4b-40bb-b5a1-2275688ee788</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_dlc_DocId xmlns="cdc7663a-08f0-4737-9e8c-148ce897a09c">EZSHARE-1417945983-5</_dlc_DocId>
    <_dlc_DocIdUrl xmlns="cdc7663a-08f0-4737-9e8c-148ce897a09c">
      <Url>https://idbg.sharepoint.com/teams/EZ-CO-LON/CO-L1214/_layouts/15/DocIdRedir.aspx?ID=EZSHARE-1417945983-5</Url>
      <Description>EZSHARE-1417945983-5</Description>
    </_dlc_DocIdUrl>
    <Record_x0020_Number xmlns="cdc7663a-08f0-4737-9e8c-148ce897a09c">R0000066997</Record_x0020_Number>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Banking and Financial Services;Finance;Financial Regulation and Oversight;Financial Risk Management;Financial Sector Development;</Webtopic>
    <Abstract xmlns="cdc7663a-08f0-4737-9e8c-148ce897a09c" xsi:nil="true"/>
    <Publishing_x0020_House xmlns="cdc7663a-08f0-4737-9e8c-148ce897a09c" xsi:nil="true"/>
  </documentManagement>
</p:properti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32B668316E7E54A90D96CCB9867CFAA" ma:contentTypeVersion="19" ma:contentTypeDescription="A content type to manage public (operations) IDB documents" ma:contentTypeScope="" ma:versionID="5b5ad02f16b5ed50bc4c080148e6a2e3">
  <xsd:schema xmlns:xsd="http://www.w3.org/2001/XMLSchema" xmlns:xs="http://www.w3.org/2001/XMLSchema" xmlns:p="http://schemas.microsoft.com/office/2006/metadata/properties" xmlns:ns2="cdc7663a-08f0-4737-9e8c-148ce897a09c" targetNamespace="http://schemas.microsoft.com/office/2006/metadata/properties" ma:root="true" ma:fieldsID="52f75a97534f73305059e4ad7324dd1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maxLength value="255"/>
        </xsd:restriction>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A3A8-45F3-4D95-8247-21F3F048F570}">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D8AB17AF-8E9F-4BD4-A087-ECE78B7B45F3}"/>
</file>

<file path=customXml/itemProps3.xml><?xml version="1.0" encoding="utf-8"?>
<ds:datastoreItem xmlns:ds="http://schemas.openxmlformats.org/officeDocument/2006/customXml" ds:itemID="{7C70390A-C8E8-430D-A412-D8315044DA29}"/>
</file>

<file path=customXml/itemProps4.xml><?xml version="1.0" encoding="utf-8"?>
<ds:datastoreItem xmlns:ds="http://schemas.openxmlformats.org/officeDocument/2006/customXml" ds:itemID="{8BAF6427-39A1-48C9-9456-D8933546BF73}">
  <ds:schemaRefs>
    <ds:schemaRef ds:uri="Microsoft.SharePoint.Taxonomy.ContentTypeSync"/>
  </ds:schemaRefs>
</ds:datastoreItem>
</file>

<file path=customXml/itemProps5.xml><?xml version="1.0" encoding="utf-8"?>
<ds:datastoreItem xmlns:ds="http://schemas.openxmlformats.org/officeDocument/2006/customXml" ds:itemID="{600CE3D4-951F-4261-8190-F8BBA79BBBE7}">
  <ds:schemaRefs>
    <ds:schemaRef ds:uri="http://schemas.microsoft.com/sharepoint/v3/contenttype/forms"/>
  </ds:schemaRefs>
</ds:datastoreItem>
</file>

<file path=customXml/itemProps6.xml><?xml version="1.0" encoding="utf-8"?>
<ds:datastoreItem xmlns:ds="http://schemas.openxmlformats.org/officeDocument/2006/customXml" ds:itemID="{E017AE06-5E16-46E5-9599-95D045FF9BD1}">
  <ds:schemaRefs>
    <ds:schemaRef ds:uri="http://schemas.microsoft.com/sharepoint/events"/>
  </ds:schemaRefs>
</ds:datastoreItem>
</file>

<file path=customXml/itemProps7.xml><?xml version="1.0" encoding="utf-8"?>
<ds:datastoreItem xmlns:ds="http://schemas.openxmlformats.org/officeDocument/2006/customXml" ds:itemID="{04B55AEB-E675-4B0F-92C6-98A4D2D7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Gaggero, Annabella</cp:lastModifiedBy>
  <cp:revision>2</cp:revision>
  <cp:lastPrinted>2017-05-15T17:01:00Z</cp:lastPrinted>
  <dcterms:created xsi:type="dcterms:W3CDTF">2017-05-17T14:05:00Z</dcterms:created>
  <dcterms:modified xsi:type="dcterms:W3CDTF">2017-05-17T14:05:00Z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Function Operations IDB">
    <vt:lpwstr>2;#Monitoring and Reporting|df3c2aa1-d63e-41aa-b1f5-bb15dee691ca</vt:lpwstr>
  </property>
  <property fmtid="{D5CDD505-2E9C-101B-9397-08002B2CF9AE}" pid="5" name="Disclosure Activity">
    <vt:lpwstr>Loan Proposal</vt:lpwstr>
  </property>
  <property fmtid="{D5CDD505-2E9C-101B-9397-08002B2CF9AE}" pid="6" name="Sub_x002d_Sector">
    <vt:lpwstr/>
  </property>
  <property fmtid="{D5CDD505-2E9C-101B-9397-08002B2CF9AE}" pid="7" name="TaxKeywordTaxHTField">
    <vt:lpwstr/>
  </property>
  <property fmtid="{D5CDD505-2E9C-101B-9397-08002B2CF9AE}" pid="8" name="Series Operations IDB">
    <vt:lpwstr>7;#Loan Proposal|6ee86b6f-6e46-485b-8bfb-87a1f44622ac</vt:lpwstr>
  </property>
  <property fmtid="{D5CDD505-2E9C-101B-9397-08002B2CF9AE}" pid="9" name="Country">
    <vt:lpwstr>27;#Colombia|c7d386d6-75f3-4fc0-bde8-e021ccd68f5c</vt:lpwstr>
  </property>
  <property fmtid="{D5CDD505-2E9C-101B-9397-08002B2CF9AE}" pid="10" name="Fund IDB">
    <vt:lpwstr>31;#ORC|c028a4b2-ad8b-4cf4-9cac-a2ae6a778e23;#71;#CHC|d10ee644-ef4b-40bb-b5a1-2275688ee788</vt:lpwstr>
  </property>
  <property fmtid="{D5CDD505-2E9C-101B-9397-08002B2CF9AE}" pid="11" name="Series_x0020_Operations_x0020_IDB">
    <vt:lpwstr>7;#Loan Proposal|6ee86b6f-6e46-485b-8bfb-87a1f44622ac</vt:lpwstr>
  </property>
  <property fmtid="{D5CDD505-2E9C-101B-9397-08002B2CF9AE}" pid="12" name="Sector IDB">
    <vt:lpwstr>50;#FINANCIAL MARKETS|75500f29-2419-473a-bcd8-84901ddc2aa7</vt:lpwstr>
  </property>
  <property fmtid="{D5CDD505-2E9C-101B-9397-08002B2CF9AE}" pid="13" name="Sub-Sector">
    <vt:lpwstr>51;#FINANCIAL REGULATION AND SUPERVISION|cfed87c2-6f36-4f6b-9a83-5b88cea48148</vt:lpwstr>
  </property>
  <property fmtid="{D5CDD505-2E9C-101B-9397-08002B2CF9AE}" pid="14" name="_dlc_DocIdItemGuid">
    <vt:lpwstr>015f2a76-a845-4a5d-b7f4-98465f2bde89</vt:lpwstr>
  </property>
  <property fmtid="{D5CDD505-2E9C-101B-9397-08002B2CF9AE}" pid="15" name="RecordPoint_ActiveItemMoved">
    <vt:lpwstr>/teams/EZ-CO-LON/CO-L1214/15 LifeCycle Milestones/Draft Area/Matriz de Medios de Verificacion - CO-L1214.docx</vt:lpwstr>
  </property>
  <property fmtid="{D5CDD505-2E9C-101B-9397-08002B2CF9AE}" pid="16" name="RecordStorageActiveId">
    <vt:lpwstr>f8cf3663-da28-4704-a4c8-eb463c0fc1eb</vt:lpwstr>
  </property>
  <property fmtid="{D5CDD505-2E9C-101B-9397-08002B2CF9AE}" pid="17" name="ContentTypeId">
    <vt:lpwstr>0x0101001A458A224826124E8B45B1D613300CFC00A32B668316E7E54A90D96CCB9867CFAA</vt:lpwstr>
  </property>
</Properties>
</file>