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28" w:rsidRDefault="005B3C28" w:rsidP="00C51BD0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18"/>
          <w:lang w:val="es-ES_tradnl"/>
        </w:rPr>
      </w:pPr>
      <w:bookmarkStart w:id="0" w:name="_GoBack"/>
      <w:bookmarkEnd w:id="0"/>
      <w:r w:rsidRPr="00E3064B">
        <w:rPr>
          <w:rFonts w:ascii="Arial" w:hAnsi="Arial" w:cs="Arial"/>
          <w:b/>
          <w:smallCaps/>
          <w:sz w:val="24"/>
          <w:szCs w:val="18"/>
          <w:lang w:val="es-ES_tradnl"/>
        </w:rPr>
        <w:t xml:space="preserve">Matriz de </w:t>
      </w:r>
      <w:r w:rsidR="003C0BA6">
        <w:rPr>
          <w:rFonts w:ascii="Arial" w:hAnsi="Arial" w:cs="Arial"/>
          <w:b/>
          <w:smallCaps/>
          <w:sz w:val="24"/>
          <w:szCs w:val="18"/>
          <w:lang w:val="es-ES_tradnl"/>
        </w:rPr>
        <w:t xml:space="preserve">Medios de Verificación </w:t>
      </w:r>
    </w:p>
    <w:p w:rsidR="00C51BD0" w:rsidRPr="003F0CAD" w:rsidRDefault="00C51BD0" w:rsidP="003F0CAD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tbl>
      <w:tblPr>
        <w:tblW w:w="136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860"/>
        <w:gridCol w:w="4500"/>
        <w:gridCol w:w="2006"/>
      </w:tblGrid>
      <w:tr w:rsidR="009C2C1A" w:rsidRPr="006D2C5E" w:rsidTr="006D2C5E">
        <w:trPr>
          <w:tblHeader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C2C1A" w:rsidRPr="006D2C5E" w:rsidRDefault="009C2C1A" w:rsidP="006D2C5E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D2C5E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C2C1A" w:rsidRPr="006D2C5E" w:rsidRDefault="009C2C1A" w:rsidP="006D2C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C5E">
              <w:rPr>
                <w:rFonts w:ascii="Arial" w:hAnsi="Arial" w:cs="Arial"/>
                <w:b/>
                <w:sz w:val="20"/>
                <w:szCs w:val="20"/>
              </w:rPr>
              <w:t>Acciones de Política</w:t>
            </w:r>
          </w:p>
          <w:p w:rsidR="009C2C1A" w:rsidRPr="006D2C5E" w:rsidRDefault="009C2C1A" w:rsidP="006D2C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C5E">
              <w:rPr>
                <w:rFonts w:ascii="Arial" w:hAnsi="Arial" w:cs="Arial"/>
                <w:b/>
                <w:sz w:val="20"/>
                <w:szCs w:val="20"/>
              </w:rPr>
              <w:t>(Programático II)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BFBFBF"/>
          </w:tcPr>
          <w:p w:rsidR="009C2C1A" w:rsidRPr="006D2C5E" w:rsidRDefault="009C2C1A" w:rsidP="006D2C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C5E">
              <w:rPr>
                <w:rFonts w:ascii="Arial" w:hAnsi="Arial" w:cs="Arial"/>
                <w:b/>
                <w:sz w:val="20"/>
                <w:szCs w:val="20"/>
              </w:rPr>
              <w:t>Medios de Verificación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BFBFBF"/>
          </w:tcPr>
          <w:p w:rsidR="009C2C1A" w:rsidRPr="006D2C5E" w:rsidRDefault="009C2C1A" w:rsidP="006D2C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C5E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4037E7" w:rsidRPr="006D2C5E" w:rsidTr="006D2C5E">
        <w:trPr>
          <w:trHeight w:val="576"/>
        </w:trPr>
        <w:tc>
          <w:tcPr>
            <w:tcW w:w="13616" w:type="dxa"/>
            <w:gridSpan w:val="4"/>
            <w:shd w:val="clear" w:color="auto" w:fill="D9D9D9"/>
            <w:vAlign w:val="center"/>
          </w:tcPr>
          <w:p w:rsidR="004037E7" w:rsidRPr="006D2C5E" w:rsidRDefault="004037E7" w:rsidP="006D2C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2C5E">
              <w:rPr>
                <w:rFonts w:ascii="Arial" w:hAnsi="Arial" w:cs="Arial"/>
                <w:b/>
                <w:sz w:val="20"/>
                <w:szCs w:val="20"/>
              </w:rPr>
              <w:t>Componente I -  Estabilidad macroeconómica</w:t>
            </w:r>
          </w:p>
        </w:tc>
      </w:tr>
      <w:tr w:rsidR="009C2C1A" w:rsidRPr="006D2C5E" w:rsidTr="006D2C5E">
        <w:trPr>
          <w:trHeight w:val="710"/>
        </w:trPr>
        <w:tc>
          <w:tcPr>
            <w:tcW w:w="2250" w:type="dxa"/>
            <w:shd w:val="clear" w:color="auto" w:fill="auto"/>
          </w:tcPr>
          <w:p w:rsidR="009C2C1A" w:rsidRPr="006D2C5E" w:rsidRDefault="009C2C1A" w:rsidP="00FF271E">
            <w:pPr>
              <w:pStyle w:val="ListParagraph"/>
              <w:numPr>
                <w:ilvl w:val="0"/>
                <w:numId w:val="1"/>
              </w:numPr>
              <w:spacing w:before="40" w:after="40"/>
              <w:ind w:left="162" w:hanging="180"/>
              <w:rPr>
                <w:rFonts w:ascii="Arial" w:hAnsi="Arial" w:cs="Arial"/>
                <w:sz w:val="20"/>
                <w:lang w:val="es-ES_tradnl"/>
              </w:rPr>
            </w:pPr>
            <w:r w:rsidRPr="006D2C5E">
              <w:rPr>
                <w:rFonts w:ascii="Arial" w:hAnsi="Arial" w:cs="Arial"/>
                <w:sz w:val="20"/>
                <w:lang w:val="es-ES_tradnl"/>
              </w:rPr>
              <w:t>Mantener entorno macro-económico conducente a la sostenibilidad fiscal.</w:t>
            </w:r>
          </w:p>
        </w:tc>
        <w:tc>
          <w:tcPr>
            <w:tcW w:w="4860" w:type="dxa"/>
            <w:shd w:val="clear" w:color="auto" w:fill="auto"/>
          </w:tcPr>
          <w:p w:rsidR="009C2C1A" w:rsidRPr="006D2C5E" w:rsidRDefault="009C2C1A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>El contexto macroeconómico del Prestatario es congruente con los objetivos del programa.</w:t>
            </w:r>
          </w:p>
        </w:tc>
        <w:tc>
          <w:tcPr>
            <w:tcW w:w="4500" w:type="dxa"/>
            <w:shd w:val="clear" w:color="auto" w:fill="auto"/>
          </w:tcPr>
          <w:p w:rsidR="009C2C1A" w:rsidRPr="006D2C5E" w:rsidRDefault="009C2C1A" w:rsidP="00FF271E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>Evaluación independiente de Condiciones Macroeconómicos (IAMC por sus siglas en inglés) elaborada por el Banco y vigente al momento del desembolso</w:t>
            </w:r>
            <w:r w:rsidR="004037E7" w:rsidRPr="006D2C5E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2006" w:type="dxa"/>
            <w:shd w:val="clear" w:color="auto" w:fill="auto"/>
          </w:tcPr>
          <w:p w:rsidR="009C2C1A" w:rsidRPr="006D2C5E" w:rsidRDefault="009C2C1A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Ministerio de Hacienda (acción), BID (IAMC por sus siglas en inglés)</w:t>
            </w:r>
          </w:p>
        </w:tc>
      </w:tr>
      <w:tr w:rsidR="004037E7" w:rsidRPr="006D2C5E" w:rsidTr="006D2C5E">
        <w:trPr>
          <w:trHeight w:val="576"/>
        </w:trPr>
        <w:tc>
          <w:tcPr>
            <w:tcW w:w="13616" w:type="dxa"/>
            <w:gridSpan w:val="4"/>
            <w:shd w:val="clear" w:color="auto" w:fill="D9D9D9"/>
            <w:vAlign w:val="center"/>
          </w:tcPr>
          <w:p w:rsidR="004037E7" w:rsidRPr="006D2C5E" w:rsidRDefault="004037E7" w:rsidP="006D2C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2C5E">
              <w:rPr>
                <w:rFonts w:ascii="Arial" w:hAnsi="Arial" w:cs="Arial"/>
                <w:b/>
                <w:sz w:val="20"/>
                <w:szCs w:val="20"/>
              </w:rPr>
              <w:t>Componente II –  Fortalecer el marco legal e institucional de probidad y transparencia</w:t>
            </w:r>
          </w:p>
        </w:tc>
      </w:tr>
      <w:tr w:rsidR="00974B08" w:rsidRPr="006D2C5E" w:rsidTr="006D2C5E">
        <w:tc>
          <w:tcPr>
            <w:tcW w:w="2250" w:type="dxa"/>
            <w:vMerge w:val="restart"/>
            <w:shd w:val="clear" w:color="auto" w:fill="auto"/>
          </w:tcPr>
          <w:p w:rsidR="00974B08" w:rsidRPr="006D2C5E" w:rsidRDefault="00974B08" w:rsidP="00FF271E">
            <w:pPr>
              <w:pStyle w:val="ListParagraph"/>
              <w:numPr>
                <w:ilvl w:val="0"/>
                <w:numId w:val="1"/>
              </w:numPr>
              <w:spacing w:before="40" w:after="40"/>
              <w:ind w:left="162" w:hanging="180"/>
              <w:rPr>
                <w:rFonts w:ascii="Arial" w:hAnsi="Arial" w:cs="Arial"/>
                <w:sz w:val="20"/>
                <w:lang w:val="es-ES_tradnl"/>
              </w:rPr>
            </w:pPr>
            <w:r w:rsidRPr="006D2C5E">
              <w:rPr>
                <w:rFonts w:ascii="Arial" w:hAnsi="Arial" w:cs="Arial"/>
                <w:sz w:val="20"/>
                <w:lang w:val="es-ES_tradnl"/>
              </w:rPr>
              <w:t>Fortalecer el marco legal e institucional según los principios de probidad administrativa y de transparencia, y el derecho de acceso a la información pública, que define la Ley.</w:t>
            </w:r>
          </w:p>
        </w:tc>
        <w:tc>
          <w:tcPr>
            <w:tcW w:w="4860" w:type="dxa"/>
            <w:shd w:val="clear" w:color="auto" w:fill="auto"/>
          </w:tcPr>
          <w:p w:rsidR="00974B08" w:rsidRPr="00E63011" w:rsidRDefault="00974B08" w:rsidP="00FF271E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="Arial" w:hAnsi="Arial" w:cs="Arial"/>
                <w:vanish/>
                <w:color w:val="FFFFFF"/>
                <w:sz w:val="2"/>
                <w:lang w:val="es-ES"/>
              </w:rPr>
            </w:pPr>
          </w:p>
          <w:p w:rsidR="00974B08" w:rsidRPr="006D2C5E" w:rsidRDefault="00974B08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Reglamentación de la </w:t>
            </w:r>
            <w:r w:rsidR="009D26D4" w:rsidRPr="009D26D4">
              <w:rPr>
                <w:rFonts w:ascii="Arial" w:hAnsi="Arial" w:cs="Arial"/>
                <w:sz w:val="20"/>
                <w:lang w:val="es-ES"/>
              </w:rPr>
              <w:t xml:space="preserve">Ley </w:t>
            </w:r>
            <w:r w:rsidR="009D26D4" w:rsidRPr="00AC51E2">
              <w:rPr>
                <w:rFonts w:ascii="Arial" w:hAnsi="Arial" w:cs="Arial"/>
                <w:sz w:val="20"/>
                <w:lang w:val="es-ES"/>
              </w:rPr>
              <w:t>No</w:t>
            </w:r>
            <w:r w:rsidR="009D26D4" w:rsidRPr="00C00E71">
              <w:rPr>
                <w:rFonts w:ascii="Arial" w:hAnsi="Arial" w:cs="Arial"/>
                <w:sz w:val="20"/>
                <w:lang w:val="es-ES"/>
              </w:rPr>
              <w:t>.</w:t>
            </w:r>
            <w:r w:rsidR="009D26D4" w:rsidRPr="003C05B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9D26D4" w:rsidRPr="007964C8">
              <w:rPr>
                <w:rFonts w:ascii="Arial" w:hAnsi="Arial" w:cs="Arial"/>
                <w:sz w:val="20"/>
                <w:lang w:val="es-ES"/>
              </w:rPr>
              <w:t>20.88</w:t>
            </w:r>
            <w:r w:rsidR="009D26D4" w:rsidRPr="0019121C">
              <w:rPr>
                <w:rFonts w:ascii="Arial" w:hAnsi="Arial" w:cs="Arial"/>
                <w:sz w:val="20"/>
                <w:lang w:val="es-ES"/>
              </w:rPr>
              <w:t>0</w:t>
            </w:r>
            <w:r w:rsidR="0019121C">
              <w:rPr>
                <w:rFonts w:ascii="Arial" w:hAnsi="Arial" w:cs="Arial"/>
                <w:sz w:val="20"/>
                <w:lang w:val="es-ES"/>
              </w:rPr>
              <w:t>,</w:t>
            </w:r>
            <w:r w:rsidR="009D26D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6D2C5E">
              <w:rPr>
                <w:rFonts w:ascii="Arial" w:hAnsi="Arial" w:cs="Arial"/>
                <w:sz w:val="20"/>
                <w:lang w:val="es-ES"/>
              </w:rPr>
              <w:t>“Ley sobre Probidad en la Función Pública y Prevención de los Conflictos de Intereses”</w:t>
            </w:r>
            <w:r w:rsidR="0019121C">
              <w:rPr>
                <w:rFonts w:ascii="Arial" w:hAnsi="Arial" w:cs="Arial"/>
                <w:sz w:val="20"/>
                <w:lang w:val="es-ES"/>
              </w:rPr>
              <w:t>.</w:t>
            </w:r>
            <w:r w:rsidR="007A7816" w:rsidRPr="006D2C5E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974B08" w:rsidRPr="006D2C5E" w:rsidRDefault="00974B08" w:rsidP="00FF271E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Copia de la publicación en el Diario Oficial del </w:t>
            </w:r>
            <w:r w:rsidR="00DC435F">
              <w:rPr>
                <w:rFonts w:ascii="Arial" w:hAnsi="Arial" w:cs="Arial"/>
                <w:sz w:val="20"/>
                <w:lang w:val="es-ES"/>
              </w:rPr>
              <w:t xml:space="preserve">Decreto Supremo del Ministerio de la SEGPRES que aprueba el 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Reglamento de la </w:t>
            </w:r>
            <w:r w:rsidR="007818CC">
              <w:rPr>
                <w:rFonts w:ascii="Arial" w:hAnsi="Arial" w:cs="Arial"/>
                <w:sz w:val="20"/>
                <w:lang w:val="es-ES"/>
              </w:rPr>
              <w:t>Ley No</w:t>
            </w:r>
            <w:r w:rsidR="0019121C">
              <w:rPr>
                <w:rFonts w:ascii="Arial" w:hAnsi="Arial" w:cs="Arial"/>
                <w:sz w:val="20"/>
                <w:lang w:val="es-ES"/>
              </w:rPr>
              <w:t>.</w:t>
            </w:r>
            <w:r w:rsidR="007818CC">
              <w:rPr>
                <w:rFonts w:ascii="Arial" w:hAnsi="Arial" w:cs="Arial"/>
                <w:sz w:val="20"/>
                <w:lang w:val="es-ES"/>
              </w:rPr>
              <w:t xml:space="preserve"> 20.880, </w:t>
            </w:r>
            <w:r w:rsidRPr="006D2C5E">
              <w:rPr>
                <w:rFonts w:ascii="Arial" w:hAnsi="Arial" w:cs="Arial"/>
                <w:sz w:val="20"/>
                <w:lang w:val="es-ES"/>
              </w:rPr>
              <w:t>“Ley sobre Probidad en la Función Pública y Prevención de los Conflictos de Intereses”.</w:t>
            </w:r>
          </w:p>
        </w:tc>
        <w:tc>
          <w:tcPr>
            <w:tcW w:w="2006" w:type="dxa"/>
            <w:shd w:val="clear" w:color="auto" w:fill="auto"/>
          </w:tcPr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vanish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SEGPRES</w:t>
            </w:r>
          </w:p>
        </w:tc>
      </w:tr>
      <w:tr w:rsidR="00974B08" w:rsidRPr="006D2C5E" w:rsidTr="006D2C5E">
        <w:trPr>
          <w:trHeight w:val="350"/>
        </w:trPr>
        <w:tc>
          <w:tcPr>
            <w:tcW w:w="2250" w:type="dxa"/>
            <w:vMerge/>
            <w:shd w:val="clear" w:color="auto" w:fill="auto"/>
            <w:vAlign w:val="center"/>
          </w:tcPr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74B08" w:rsidRPr="006D2C5E" w:rsidRDefault="00974B08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>Ingreso al Congreso Nacional de Indicaciones  del Ejecutivo a la moción parlamentaria que “Modifica la Ley Orgánica Constitucional del Congreso Nacional y otros cuerpos legales en lo relativo a probidad y transparencia”. Entre otros aspectos, estas Indicaciones: (i)</w:t>
            </w:r>
            <w:r w:rsidR="00FF271E">
              <w:rPr>
                <w:rFonts w:ascii="Arial" w:hAnsi="Arial" w:cs="Arial"/>
                <w:sz w:val="20"/>
                <w:lang w:val="es-ES"/>
              </w:rPr>
              <w:t> </w:t>
            </w:r>
            <w:r w:rsidRPr="006D2C5E">
              <w:rPr>
                <w:rFonts w:ascii="Arial" w:hAnsi="Arial" w:cs="Arial"/>
                <w:sz w:val="20"/>
                <w:lang w:val="es-ES"/>
              </w:rPr>
              <w:t>profundizan la separación entre la función parlamentaria y el ejercicio del lobby</w:t>
            </w:r>
            <w:r w:rsidR="00F930CF" w:rsidRPr="006D2C5E">
              <w:rPr>
                <w:rFonts w:ascii="Arial" w:hAnsi="Arial" w:cs="Arial"/>
                <w:sz w:val="20"/>
                <w:lang w:val="es-ES"/>
              </w:rPr>
              <w:t xml:space="preserve"> (cabildeo)</w:t>
            </w:r>
            <w:r w:rsidRPr="006D2C5E">
              <w:rPr>
                <w:rFonts w:ascii="Arial" w:hAnsi="Arial" w:cs="Arial"/>
                <w:sz w:val="20"/>
                <w:lang w:val="es-ES"/>
              </w:rPr>
              <w:t>; (ii) amplían la observancia de las normas básicas de probidad y transparencia a todos quienes presten servicios a alguna de las Cámaras o a sus servicios comunes; (iii)</w:t>
            </w:r>
            <w:r w:rsidR="00FF271E">
              <w:rPr>
                <w:rFonts w:ascii="Arial" w:hAnsi="Arial" w:cs="Arial"/>
                <w:sz w:val="20"/>
                <w:lang w:val="es-ES"/>
              </w:rPr>
              <w:t> </w:t>
            </w:r>
            <w:r w:rsidRPr="006D2C5E">
              <w:rPr>
                <w:rFonts w:ascii="Arial" w:hAnsi="Arial" w:cs="Arial"/>
                <w:sz w:val="20"/>
                <w:lang w:val="es-ES"/>
              </w:rPr>
              <w:t>establecen la publicación</w:t>
            </w:r>
            <w:r w:rsidR="00B44653" w:rsidRPr="006D2C5E">
              <w:rPr>
                <w:rFonts w:ascii="Arial" w:hAnsi="Arial" w:cs="Arial"/>
                <w:sz w:val="20"/>
                <w:lang w:val="es-ES"/>
              </w:rPr>
              <w:t>, en el sitio web de la corporación</w:t>
            </w:r>
            <w:r w:rsidR="004F2179" w:rsidRPr="006D2C5E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B44653" w:rsidRPr="006D2C5E">
              <w:rPr>
                <w:rFonts w:ascii="Arial" w:hAnsi="Arial" w:cs="Arial"/>
                <w:sz w:val="20"/>
                <w:lang w:val="es-ES"/>
              </w:rPr>
              <w:t>respectiva,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 de todas las solicitudes de inhabilitación y de lo resuelto; y (iv)  amplían los criterios de incompatibilidad para integrar la Dirección de Ética y Transparencia Parlamentaria.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974B08" w:rsidRPr="006D2C5E" w:rsidRDefault="00974B08" w:rsidP="00FF271E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>Copia de las Indicaciones del Ejecutivo a la moción parlamentaria que “Modifica la Ley Orgánica Constitucional del Congreso Nacional y otros cuerpos legales en lo relativo a probidad y transparencia”, ingresadas al Congreso Nacional.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SEGPRES</w:t>
            </w:r>
          </w:p>
        </w:tc>
      </w:tr>
      <w:tr w:rsidR="00974B08" w:rsidRPr="006D2C5E" w:rsidTr="006D2C5E">
        <w:trPr>
          <w:trHeight w:val="962"/>
        </w:trPr>
        <w:tc>
          <w:tcPr>
            <w:tcW w:w="2250" w:type="dxa"/>
            <w:vMerge/>
            <w:shd w:val="clear" w:color="auto" w:fill="auto"/>
          </w:tcPr>
          <w:p w:rsidR="00974B08" w:rsidRPr="006D2C5E" w:rsidRDefault="00974B08" w:rsidP="006D2C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74B08" w:rsidRPr="006D2C5E" w:rsidRDefault="00974B08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Reglamentación </w:t>
            </w:r>
            <w:r w:rsidR="00A06827">
              <w:rPr>
                <w:rFonts w:ascii="Arial" w:hAnsi="Arial" w:cs="Arial"/>
                <w:sz w:val="20"/>
                <w:lang w:val="es-ES"/>
              </w:rPr>
              <w:t xml:space="preserve">de </w:t>
            </w:r>
            <w:r w:rsidRPr="006D2C5E">
              <w:rPr>
                <w:rFonts w:ascii="Arial" w:hAnsi="Arial" w:cs="Arial"/>
                <w:sz w:val="20"/>
                <w:lang w:val="es-ES"/>
              </w:rPr>
              <w:t>la “Ley para el Fortalecimiento y Transparencia de la Democracia”: (i) determinando el límite de gasto electoral para candidatos a alcalde y concejal con ocasión de las elecciones municipales 2016; (ii) estableciendo instrucciones para la presentación, publicación y custodia de las declaraciones de patrimonio e intereses de pre-candidatos presidenciales y candidatos en elecciones generales</w:t>
            </w:r>
            <w:r w:rsidRPr="006D2C5E">
              <w:rPr>
                <w:rFonts w:ascii="Arial" w:hAnsi="Arial" w:cs="Arial"/>
                <w:sz w:val="20"/>
                <w:lang w:val="es-CL"/>
              </w:rPr>
              <w:t>; y (iii)</w:t>
            </w:r>
            <w:r w:rsidR="00FF271E">
              <w:rPr>
                <w:rFonts w:ascii="Arial" w:hAnsi="Arial" w:cs="Arial"/>
                <w:sz w:val="20"/>
                <w:lang w:val="es-CL"/>
              </w:rPr>
              <w:t> </w:t>
            </w:r>
            <w:r w:rsidRPr="006D2C5E">
              <w:rPr>
                <w:rFonts w:ascii="Arial" w:hAnsi="Arial" w:cs="Arial"/>
                <w:sz w:val="20"/>
                <w:lang w:val="es-CL"/>
              </w:rPr>
              <w:t>determinando máximos de aportes electorales por aportante para las elecciones municipales 2016</w:t>
            </w:r>
            <w:r w:rsidR="0091390A">
              <w:rPr>
                <w:rFonts w:ascii="Arial" w:hAnsi="Arial" w:cs="Arial"/>
                <w:sz w:val="20"/>
                <w:lang w:val="es-CL"/>
              </w:rPr>
              <w:t>;</w:t>
            </w:r>
          </w:p>
        </w:tc>
        <w:tc>
          <w:tcPr>
            <w:tcW w:w="4500" w:type="dxa"/>
            <w:shd w:val="clear" w:color="auto" w:fill="auto"/>
          </w:tcPr>
          <w:p w:rsidR="00974B08" w:rsidRPr="006D2C5E" w:rsidRDefault="00974B08" w:rsidP="00FF271E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(i) Copia de la publicación en el Diario Oficial de la resolución </w:t>
            </w:r>
            <w:r w:rsidR="007818CC">
              <w:rPr>
                <w:rFonts w:ascii="Arial" w:hAnsi="Arial" w:cs="Arial"/>
                <w:sz w:val="20"/>
                <w:lang w:val="es-ES"/>
              </w:rPr>
              <w:t xml:space="preserve">emitida por 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el Servicio Electoral (SERVEL) que determina límite de gasto electoral para candidatos a alcalde y concejal con ocasión de las elecciones municipales 2016; y </w:t>
            </w:r>
          </w:p>
          <w:p w:rsidR="00974B08" w:rsidRPr="006D2C5E" w:rsidRDefault="00974B08" w:rsidP="00FF271E">
            <w:pPr>
              <w:pStyle w:val="ListParagraph"/>
              <w:spacing w:before="40" w:after="40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974B08" w:rsidRPr="006D2C5E" w:rsidRDefault="00974B08" w:rsidP="00FF271E">
            <w:pPr>
              <w:pStyle w:val="ListParagraph"/>
              <w:spacing w:before="40" w:after="40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>(ii) Copia de las dos resoluciones publicadas en el sitio web del SERVEL que: (a) establece instrucciones para la presentación, publicación y custodia de las declaraciones de patrimonio e intereses de pre-candidatos presidenciales y candidatos en elecciones generales; y (b) determina máximos de aportes electorales por aportante para las elecciones municipales 2016.</w:t>
            </w:r>
          </w:p>
        </w:tc>
        <w:tc>
          <w:tcPr>
            <w:tcW w:w="2006" w:type="dxa"/>
            <w:shd w:val="clear" w:color="auto" w:fill="auto"/>
          </w:tcPr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SEGPRES</w:t>
            </w:r>
          </w:p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SEGPRES</w:t>
            </w:r>
          </w:p>
        </w:tc>
      </w:tr>
      <w:tr w:rsidR="00974B08" w:rsidRPr="006D2C5E" w:rsidTr="006D2C5E">
        <w:trPr>
          <w:trHeight w:val="512"/>
        </w:trPr>
        <w:tc>
          <w:tcPr>
            <w:tcW w:w="2250" w:type="dxa"/>
            <w:vMerge/>
            <w:shd w:val="clear" w:color="auto" w:fill="auto"/>
          </w:tcPr>
          <w:p w:rsidR="00974B08" w:rsidRPr="006D2C5E" w:rsidRDefault="00974B08" w:rsidP="006D2C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74B08" w:rsidRPr="006D2C5E" w:rsidRDefault="00974B08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Promulgación </w:t>
            </w:r>
            <w:r w:rsidR="004D35CD">
              <w:rPr>
                <w:rFonts w:ascii="Arial" w:hAnsi="Arial" w:cs="Arial"/>
                <w:sz w:val="20"/>
                <w:lang w:val="es-ES"/>
              </w:rPr>
              <w:t xml:space="preserve">y publicación 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de la Ley que “Fortalece el Carácter Público y Democrático de los Partidos Políticos y Facilita su Modernización”, </w:t>
            </w:r>
            <w:r w:rsidRPr="006D2C5E">
              <w:rPr>
                <w:rFonts w:ascii="Arial" w:hAnsi="Arial" w:cs="Arial"/>
                <w:sz w:val="20"/>
                <w:lang w:val="es-ES_tradnl"/>
              </w:rPr>
              <w:t xml:space="preserve">que establezca, entre otros, los siguientes aspectos: (i) que los partidos políticos se constituyan como personas jurídicas de derecho público; (ii) que los mecanismos de elecciones internas periódicas de los partidos políticos sean supervisados por el </w:t>
            </w:r>
            <w:r w:rsidR="00BC5771" w:rsidRPr="006D2C5E">
              <w:rPr>
                <w:rFonts w:ascii="Arial" w:hAnsi="Arial" w:cs="Arial"/>
                <w:sz w:val="20"/>
                <w:lang w:val="es-ES_tradnl"/>
              </w:rPr>
              <w:t>Servicio Electoral (</w:t>
            </w:r>
            <w:r w:rsidRPr="006D2C5E">
              <w:rPr>
                <w:rFonts w:ascii="Arial" w:hAnsi="Arial" w:cs="Arial"/>
                <w:sz w:val="20"/>
                <w:lang w:val="es-ES_tradnl"/>
              </w:rPr>
              <w:t>SERVEL</w:t>
            </w:r>
            <w:r w:rsidR="00BC5771" w:rsidRPr="006D2C5E">
              <w:rPr>
                <w:rFonts w:ascii="Arial" w:hAnsi="Arial" w:cs="Arial"/>
                <w:sz w:val="20"/>
                <w:lang w:val="es-ES_tradnl"/>
              </w:rPr>
              <w:t>)</w:t>
            </w:r>
            <w:r w:rsidRPr="006D2C5E">
              <w:rPr>
                <w:rFonts w:ascii="Arial" w:hAnsi="Arial" w:cs="Arial"/>
                <w:sz w:val="20"/>
                <w:lang w:val="es-ES_tradnl"/>
              </w:rPr>
              <w:t xml:space="preserve">; y (iii) que exista obligación de mantener a disposición permanente del público,  el balance anual y la declaración de patrimonio e intereses de los </w:t>
            </w:r>
            <w:r w:rsidR="00B44653" w:rsidRPr="006D2C5E">
              <w:rPr>
                <w:rFonts w:ascii="Arial" w:hAnsi="Arial" w:cs="Arial"/>
                <w:sz w:val="20"/>
                <w:lang w:val="es-ES_tradnl"/>
              </w:rPr>
              <w:t xml:space="preserve">partidos políticos y de los </w:t>
            </w:r>
            <w:r w:rsidRPr="006D2C5E">
              <w:rPr>
                <w:rFonts w:ascii="Arial" w:hAnsi="Arial" w:cs="Arial"/>
                <w:sz w:val="20"/>
                <w:lang w:val="es-ES_tradnl"/>
              </w:rPr>
              <w:t>miembros de</w:t>
            </w:r>
            <w:r w:rsidR="00B44653" w:rsidRPr="006D2C5E">
              <w:rPr>
                <w:rFonts w:ascii="Arial" w:hAnsi="Arial" w:cs="Arial"/>
                <w:sz w:val="20"/>
                <w:lang w:val="es-ES_tradnl"/>
              </w:rPr>
              <w:t>l organismo ejecutivo</w:t>
            </w:r>
            <w:r w:rsidRPr="006D2C5E">
              <w:rPr>
                <w:rFonts w:ascii="Arial" w:hAnsi="Arial" w:cs="Arial"/>
                <w:sz w:val="20"/>
                <w:lang w:val="es-ES_tradnl"/>
              </w:rPr>
              <w:t xml:space="preserve"> de cada partido político.</w:t>
            </w:r>
          </w:p>
        </w:tc>
        <w:tc>
          <w:tcPr>
            <w:tcW w:w="4500" w:type="dxa"/>
            <w:shd w:val="clear" w:color="auto" w:fill="auto"/>
          </w:tcPr>
          <w:p w:rsidR="00974B08" w:rsidRPr="006D2C5E" w:rsidRDefault="00974B08" w:rsidP="00FF271E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>Copia de la publicación en el Diario Oficial de la ley que “Fortalece el Carácter Público y Democrático de los Partidos Políticos y Facilita su Modernización”.</w:t>
            </w:r>
          </w:p>
        </w:tc>
        <w:tc>
          <w:tcPr>
            <w:tcW w:w="2006" w:type="dxa"/>
            <w:shd w:val="clear" w:color="auto" w:fill="auto"/>
          </w:tcPr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SEGPRES</w:t>
            </w:r>
          </w:p>
        </w:tc>
      </w:tr>
      <w:tr w:rsidR="00974B08" w:rsidRPr="006D2C5E" w:rsidTr="006D2C5E">
        <w:trPr>
          <w:trHeight w:val="1061"/>
        </w:trPr>
        <w:tc>
          <w:tcPr>
            <w:tcW w:w="2250" w:type="dxa"/>
            <w:vMerge/>
            <w:shd w:val="clear" w:color="auto" w:fill="auto"/>
          </w:tcPr>
          <w:p w:rsidR="00974B08" w:rsidRPr="006D2C5E" w:rsidRDefault="00974B08" w:rsidP="006D2C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74B08" w:rsidRPr="006D2C5E" w:rsidRDefault="00974B08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Ingreso al Congreso Nacional del Mensaje del Ejecutivo con el que se inicia la tramitación de un proyecto de ley </w:t>
            </w:r>
            <w:r w:rsidR="00373BDC" w:rsidRPr="00373BDC">
              <w:rPr>
                <w:rFonts w:ascii="Arial" w:hAnsi="Arial" w:cs="Arial"/>
                <w:sz w:val="20"/>
                <w:lang w:val="es-ES_tradnl"/>
              </w:rPr>
              <w:t xml:space="preserve">que crea un nuevo marco normativo sobre </w:t>
            </w:r>
            <w:r w:rsidR="00EC2C79">
              <w:rPr>
                <w:rFonts w:ascii="Arial" w:hAnsi="Arial" w:cs="Arial"/>
                <w:sz w:val="20"/>
                <w:lang w:val="es-ES_tradnl"/>
              </w:rPr>
              <w:t>p</w:t>
            </w:r>
            <w:r w:rsidR="00373BDC" w:rsidRPr="00373BDC">
              <w:rPr>
                <w:rFonts w:ascii="Arial" w:hAnsi="Arial" w:cs="Arial"/>
                <w:sz w:val="20"/>
                <w:lang w:val="es-ES_tradnl"/>
              </w:rPr>
              <w:t xml:space="preserve">rotección de datos </w:t>
            </w:r>
            <w:r w:rsidR="00373BDC" w:rsidRPr="00373BDC">
              <w:rPr>
                <w:rFonts w:ascii="Arial" w:hAnsi="Arial" w:cs="Arial"/>
                <w:sz w:val="20"/>
                <w:lang w:val="es-ES_tradnl"/>
              </w:rPr>
              <w:lastRenderedPageBreak/>
              <w:t>personales y</w:t>
            </w:r>
            <w:r w:rsidR="00D77CA3">
              <w:rPr>
                <w:rFonts w:ascii="Arial" w:hAnsi="Arial" w:cs="Arial"/>
                <w:sz w:val="20"/>
                <w:lang w:val="es-ES_tradnl"/>
              </w:rPr>
              <w:t>/o introduce modificaciones a</w:t>
            </w:r>
            <w:r w:rsidR="00373BDC" w:rsidRPr="00373BDC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D77CA3">
              <w:rPr>
                <w:rFonts w:ascii="Arial" w:hAnsi="Arial" w:cs="Arial"/>
                <w:sz w:val="20"/>
                <w:lang w:val="es-ES_tradnl"/>
              </w:rPr>
              <w:t>l</w:t>
            </w:r>
            <w:r w:rsidR="00373BDC" w:rsidRPr="00373BDC">
              <w:rPr>
                <w:rFonts w:ascii="Arial" w:hAnsi="Arial" w:cs="Arial"/>
                <w:sz w:val="20"/>
                <w:lang w:val="es-ES_tradnl"/>
              </w:rPr>
              <w:t>a Ley No</w:t>
            </w:r>
            <w:r w:rsidR="0019121C">
              <w:rPr>
                <w:rFonts w:ascii="Arial" w:hAnsi="Arial" w:cs="Arial"/>
                <w:sz w:val="20"/>
                <w:lang w:val="es-ES_tradnl"/>
              </w:rPr>
              <w:t>.</w:t>
            </w:r>
            <w:r w:rsidR="00373BDC" w:rsidRPr="00373BDC">
              <w:rPr>
                <w:rFonts w:ascii="Arial" w:hAnsi="Arial" w:cs="Arial"/>
                <w:sz w:val="20"/>
                <w:lang w:val="es-ES_tradnl"/>
              </w:rPr>
              <w:t xml:space="preserve"> 19.628 sobre Protección de la Vida Privada</w:t>
            </w:r>
            <w:r w:rsidR="00373BDC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974B08" w:rsidRPr="006D2C5E" w:rsidRDefault="00974B08" w:rsidP="00FF271E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lastRenderedPageBreak/>
              <w:t>Copia del Mensaje del Ejecutivo con el que se inicia la tramitación de un proyecto de ley</w:t>
            </w:r>
            <w:r w:rsidR="002231B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2231B2" w:rsidRPr="002231B2">
              <w:rPr>
                <w:rFonts w:ascii="Arial" w:hAnsi="Arial" w:cs="Arial"/>
                <w:sz w:val="20"/>
                <w:lang w:val="es-ES_tradnl"/>
              </w:rPr>
              <w:t>que crea un nuevo marco normativo sobre Protección de datos personales y</w:t>
            </w:r>
            <w:r w:rsidR="00D77CA3">
              <w:rPr>
                <w:rFonts w:ascii="Arial" w:hAnsi="Arial" w:cs="Arial"/>
                <w:sz w:val="20"/>
                <w:lang w:val="es-ES_tradnl"/>
              </w:rPr>
              <w:t xml:space="preserve">/o </w:t>
            </w:r>
            <w:r w:rsidR="00D77CA3">
              <w:rPr>
                <w:rFonts w:ascii="Arial" w:hAnsi="Arial" w:cs="Arial"/>
                <w:sz w:val="20"/>
                <w:lang w:val="es-ES_tradnl"/>
              </w:rPr>
              <w:lastRenderedPageBreak/>
              <w:t>introduce modificaciones a l</w:t>
            </w:r>
            <w:r w:rsidR="002231B2" w:rsidRPr="002231B2">
              <w:rPr>
                <w:rFonts w:ascii="Arial" w:hAnsi="Arial" w:cs="Arial"/>
                <w:sz w:val="20"/>
                <w:lang w:val="es-ES_tradnl"/>
              </w:rPr>
              <w:t>a Ley No</w:t>
            </w:r>
            <w:r w:rsidR="0019121C">
              <w:rPr>
                <w:rFonts w:ascii="Arial" w:hAnsi="Arial" w:cs="Arial"/>
                <w:sz w:val="20"/>
                <w:lang w:val="es-ES_tradnl"/>
              </w:rPr>
              <w:t>.</w:t>
            </w:r>
            <w:r w:rsidR="002231B2" w:rsidRPr="002231B2">
              <w:rPr>
                <w:rFonts w:ascii="Arial" w:hAnsi="Arial" w:cs="Arial"/>
                <w:sz w:val="20"/>
                <w:lang w:val="es-ES_tradnl"/>
              </w:rPr>
              <w:t xml:space="preserve"> 19.628 sobre Protección de la Vida Privada</w:t>
            </w:r>
            <w:r w:rsidRPr="006D2C5E">
              <w:rPr>
                <w:rFonts w:ascii="Arial" w:hAnsi="Arial" w:cs="Arial"/>
                <w:sz w:val="20"/>
                <w:lang w:val="es-ES"/>
              </w:rPr>
              <w:t>, ingresado al Congreso Nacional.</w:t>
            </w:r>
          </w:p>
        </w:tc>
        <w:tc>
          <w:tcPr>
            <w:tcW w:w="2006" w:type="dxa"/>
            <w:shd w:val="clear" w:color="auto" w:fill="auto"/>
          </w:tcPr>
          <w:p w:rsidR="00974B08" w:rsidRPr="006D2C5E" w:rsidRDefault="00974B08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lastRenderedPageBreak/>
              <w:t>Ministerio de Hacienda</w:t>
            </w:r>
          </w:p>
        </w:tc>
      </w:tr>
      <w:tr w:rsidR="004037E7" w:rsidRPr="006D2C5E" w:rsidTr="006D2C5E">
        <w:trPr>
          <w:trHeight w:val="576"/>
        </w:trPr>
        <w:tc>
          <w:tcPr>
            <w:tcW w:w="13616" w:type="dxa"/>
            <w:gridSpan w:val="4"/>
            <w:shd w:val="clear" w:color="auto" w:fill="D9D9D9"/>
            <w:vAlign w:val="center"/>
          </w:tcPr>
          <w:p w:rsidR="004037E7" w:rsidRPr="006D2C5E" w:rsidRDefault="004037E7" w:rsidP="007836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2C5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Componente III –  </w:t>
            </w:r>
            <w:r w:rsidR="007836A1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Contribuir a la</w:t>
            </w:r>
            <w:r w:rsidR="007836A1" w:rsidRPr="006D2C5E" w:rsidDel="007836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2C5E">
              <w:rPr>
                <w:rFonts w:ascii="Arial" w:hAnsi="Arial" w:cs="Arial"/>
                <w:b/>
                <w:sz w:val="20"/>
                <w:szCs w:val="20"/>
              </w:rPr>
              <w:t>probidad y transparencia en la gestión de los recursos públicos, en el fortalecimiento de la profesionalización de la gestión pública y promover conductas probas entre los diferentes actores de la sociedad</w:t>
            </w:r>
          </w:p>
        </w:tc>
      </w:tr>
      <w:tr w:rsidR="009C2C1A" w:rsidRPr="006D2C5E" w:rsidTr="006D2C5E">
        <w:trPr>
          <w:trHeight w:val="1152"/>
        </w:trPr>
        <w:tc>
          <w:tcPr>
            <w:tcW w:w="2250" w:type="dxa"/>
            <w:vMerge w:val="restart"/>
            <w:shd w:val="clear" w:color="auto" w:fill="auto"/>
          </w:tcPr>
          <w:p w:rsidR="009C2C1A" w:rsidRPr="006D2C5E" w:rsidRDefault="009C2C1A" w:rsidP="00FF271E">
            <w:pPr>
              <w:pStyle w:val="ListParagraph"/>
              <w:numPr>
                <w:ilvl w:val="0"/>
                <w:numId w:val="1"/>
              </w:numPr>
              <w:spacing w:before="40" w:after="40"/>
              <w:ind w:left="162" w:hanging="180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 Asegurar la observancia de probidad y transparencia en la gestión de los recursos públicos, en el fortalecimiento de la profesionalización de la gestión pública, y en los negocios del sector privado, así como promover conductas afines entre la ciudadanía.</w:t>
            </w:r>
          </w:p>
        </w:tc>
        <w:tc>
          <w:tcPr>
            <w:tcW w:w="4860" w:type="dxa"/>
            <w:shd w:val="clear" w:color="auto" w:fill="auto"/>
          </w:tcPr>
          <w:p w:rsidR="009C2C1A" w:rsidRPr="00FF271E" w:rsidRDefault="009C2C1A" w:rsidP="00FF271E">
            <w:pPr>
              <w:pStyle w:val="ListParagraph"/>
              <w:numPr>
                <w:ilvl w:val="0"/>
                <w:numId w:val="2"/>
              </w:numPr>
              <w:spacing w:after="40"/>
              <w:jc w:val="both"/>
              <w:rPr>
                <w:rFonts w:ascii="Arial" w:hAnsi="Arial" w:cs="Arial"/>
                <w:vanish/>
                <w:color w:val="FFFFFF"/>
                <w:sz w:val="2"/>
                <w:lang w:val="es-ES"/>
              </w:rPr>
            </w:pPr>
          </w:p>
          <w:p w:rsidR="009C2C1A" w:rsidRPr="006D2C5E" w:rsidRDefault="00AD56A9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Promulgación </w:t>
            </w:r>
            <w:r w:rsidR="00A06827">
              <w:rPr>
                <w:rFonts w:ascii="Arial" w:hAnsi="Arial" w:cs="Arial"/>
                <w:sz w:val="20"/>
                <w:lang w:val="es-ES"/>
              </w:rPr>
              <w:t xml:space="preserve">y publicación </w:t>
            </w:r>
            <w:r w:rsidRPr="006D2C5E">
              <w:rPr>
                <w:rFonts w:ascii="Arial" w:hAnsi="Arial" w:cs="Arial"/>
                <w:sz w:val="20"/>
                <w:lang w:val="es-ES"/>
              </w:rPr>
              <w:t>de la Ley que “Perfecciona al Sistema de Alta Dirección Pública (SADP) y Fortalece la Dirección Nacional del Servicio Civil (DNSC)”.</w:t>
            </w:r>
          </w:p>
        </w:tc>
        <w:tc>
          <w:tcPr>
            <w:tcW w:w="4500" w:type="dxa"/>
            <w:shd w:val="clear" w:color="auto" w:fill="auto"/>
          </w:tcPr>
          <w:p w:rsidR="009C2C1A" w:rsidRPr="006D2C5E" w:rsidRDefault="00464141" w:rsidP="00FF271E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Copia de la 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 xml:space="preserve">publicación en el Diario Oficial de la </w:t>
            </w:r>
            <w:r w:rsidR="00AF5ABA" w:rsidRPr="006D2C5E">
              <w:rPr>
                <w:rFonts w:ascii="Arial" w:hAnsi="Arial" w:cs="Arial"/>
                <w:sz w:val="20"/>
                <w:lang w:val="es-ES"/>
              </w:rPr>
              <w:t>L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 xml:space="preserve">ey que “Perfecciona al Sistema de Alta Dirección Pública (SADP) y </w:t>
            </w:r>
            <w:r w:rsidR="00AF5ABA" w:rsidRPr="006D2C5E">
              <w:rPr>
                <w:rFonts w:ascii="Arial" w:hAnsi="Arial" w:cs="Arial"/>
                <w:sz w:val="20"/>
                <w:lang w:val="es-ES"/>
              </w:rPr>
              <w:t>F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>ortalece la Dirección Nacional del Servicio Civil (DNSC)”.</w:t>
            </w:r>
          </w:p>
        </w:tc>
        <w:tc>
          <w:tcPr>
            <w:tcW w:w="2006" w:type="dxa"/>
            <w:shd w:val="clear" w:color="auto" w:fill="auto"/>
          </w:tcPr>
          <w:p w:rsidR="009C2C1A" w:rsidRPr="006D2C5E" w:rsidRDefault="009C2C1A" w:rsidP="00FF271E">
            <w:pPr>
              <w:spacing w:before="40" w:after="40" w:line="240" w:lineRule="auto"/>
              <w:rPr>
                <w:rFonts w:ascii="Arial" w:hAnsi="Arial" w:cs="Arial"/>
                <w:vanish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Ministerio de Hacienda</w:t>
            </w:r>
          </w:p>
        </w:tc>
      </w:tr>
      <w:tr w:rsidR="009C2C1A" w:rsidRPr="006D2C5E" w:rsidTr="006D2C5E">
        <w:trPr>
          <w:trHeight w:val="350"/>
        </w:trPr>
        <w:tc>
          <w:tcPr>
            <w:tcW w:w="2250" w:type="dxa"/>
            <w:vMerge/>
            <w:shd w:val="clear" w:color="auto" w:fill="auto"/>
          </w:tcPr>
          <w:p w:rsidR="009C2C1A" w:rsidRPr="006D2C5E" w:rsidRDefault="009C2C1A" w:rsidP="00FF27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3317C5" w:rsidRPr="006D2C5E" w:rsidRDefault="003317C5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(i) </w:t>
            </w:r>
            <w:r w:rsidR="00AD56A9" w:rsidRPr="006D2C5E">
              <w:rPr>
                <w:rFonts w:ascii="Arial" w:hAnsi="Arial" w:cs="Arial"/>
                <w:sz w:val="20"/>
                <w:lang w:val="es-ES"/>
              </w:rPr>
              <w:t xml:space="preserve">Promulgación </w:t>
            </w:r>
            <w:r w:rsidR="00952A35">
              <w:rPr>
                <w:rFonts w:ascii="Arial" w:hAnsi="Arial" w:cs="Arial"/>
                <w:sz w:val="20"/>
                <w:lang w:val="es-ES"/>
              </w:rPr>
              <w:t xml:space="preserve">y publicación </w:t>
            </w:r>
            <w:r w:rsidR="00AD56A9" w:rsidRPr="006D2C5E">
              <w:rPr>
                <w:rFonts w:ascii="Arial" w:hAnsi="Arial" w:cs="Arial"/>
                <w:sz w:val="20"/>
                <w:lang w:val="es-ES"/>
              </w:rPr>
              <w:t>de la Ley que “Perfecciona al Sistema de Alta Dirección Pública (SADP) y Fortalece la Dirección Nacional del Servicio Civil (DNSC)”</w:t>
            </w:r>
            <w:r w:rsidRPr="006D2C5E">
              <w:rPr>
                <w:rFonts w:ascii="Arial" w:hAnsi="Arial" w:cs="Arial"/>
                <w:sz w:val="20"/>
                <w:lang w:val="es-ES"/>
              </w:rPr>
              <w:t>; y</w:t>
            </w:r>
          </w:p>
          <w:p w:rsidR="00FA7EB0" w:rsidRPr="006D2C5E" w:rsidRDefault="00FA7EB0" w:rsidP="00FF271E">
            <w:pPr>
              <w:pStyle w:val="ListParagraph"/>
              <w:spacing w:before="40" w:after="40"/>
              <w:ind w:left="396"/>
              <w:jc w:val="both"/>
              <w:rPr>
                <w:rFonts w:ascii="Arial" w:hAnsi="Arial" w:cs="Arial"/>
                <w:sz w:val="20"/>
                <w:highlight w:val="yellow"/>
                <w:lang w:val="es-ES"/>
              </w:rPr>
            </w:pPr>
          </w:p>
          <w:p w:rsidR="009C2C1A" w:rsidRPr="006D2C5E" w:rsidRDefault="00FA7EB0" w:rsidP="00FF271E">
            <w:pPr>
              <w:spacing w:before="40" w:after="40" w:line="240" w:lineRule="auto"/>
              <w:ind w:left="408"/>
              <w:jc w:val="both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 xml:space="preserve">(ii) </w:t>
            </w:r>
            <w:r w:rsidR="00ED69C4" w:rsidRPr="006D2C5E">
              <w:rPr>
                <w:rFonts w:ascii="Arial" w:hAnsi="Arial" w:cs="Arial"/>
                <w:sz w:val="20"/>
              </w:rPr>
              <w:t xml:space="preserve">Requerimiento por parte de la DNSC dirigida a los </w:t>
            </w:r>
            <w:r w:rsidR="00067D62">
              <w:rPr>
                <w:rFonts w:ascii="Arial" w:hAnsi="Arial" w:cs="Arial"/>
                <w:sz w:val="20"/>
              </w:rPr>
              <w:t>S</w:t>
            </w:r>
            <w:r w:rsidR="00ED69C4" w:rsidRPr="006D2C5E">
              <w:rPr>
                <w:rFonts w:ascii="Arial" w:hAnsi="Arial" w:cs="Arial"/>
                <w:sz w:val="20"/>
              </w:rPr>
              <w:t xml:space="preserve">ervicios </w:t>
            </w:r>
            <w:r w:rsidR="00067D62">
              <w:rPr>
                <w:rFonts w:ascii="Arial" w:hAnsi="Arial" w:cs="Arial"/>
                <w:sz w:val="20"/>
              </w:rPr>
              <w:t>P</w:t>
            </w:r>
            <w:r w:rsidR="00ED69C4" w:rsidRPr="006D2C5E">
              <w:rPr>
                <w:rFonts w:ascii="Arial" w:hAnsi="Arial" w:cs="Arial"/>
                <w:sz w:val="20"/>
              </w:rPr>
              <w:t xml:space="preserve">úblicos </w:t>
            </w:r>
            <w:r w:rsidR="00067D62" w:rsidRPr="00067D62">
              <w:rPr>
                <w:rFonts w:ascii="Arial" w:hAnsi="Arial" w:cs="Arial"/>
                <w:sz w:val="20"/>
                <w:szCs w:val="20"/>
              </w:rPr>
              <w:t>de la Administración Civil del Estado</w:t>
            </w:r>
            <w:r w:rsidR="00067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D62">
              <w:rPr>
                <w:rFonts w:ascii="Arial" w:hAnsi="Arial" w:cs="Arial"/>
                <w:sz w:val="20"/>
              </w:rPr>
              <w:t>solicitando</w:t>
            </w:r>
            <w:r w:rsidR="00ED69C4" w:rsidRPr="006D2C5E">
              <w:rPr>
                <w:rFonts w:ascii="Arial" w:hAnsi="Arial" w:cs="Arial"/>
                <w:sz w:val="20"/>
              </w:rPr>
              <w:t>: (</w:t>
            </w:r>
            <w:r w:rsidR="00FF271E">
              <w:rPr>
                <w:rFonts w:ascii="Arial" w:hAnsi="Arial" w:cs="Arial"/>
                <w:sz w:val="20"/>
              </w:rPr>
              <w:t>a</w:t>
            </w:r>
            <w:r w:rsidR="00ED69C4" w:rsidRPr="006D2C5E">
              <w:rPr>
                <w:rFonts w:ascii="Arial" w:hAnsi="Arial" w:cs="Arial"/>
                <w:sz w:val="20"/>
              </w:rPr>
              <w:t>)</w:t>
            </w:r>
            <w:r w:rsidR="00FF271E">
              <w:rPr>
                <w:rFonts w:ascii="Arial" w:hAnsi="Arial" w:cs="Arial"/>
                <w:sz w:val="20"/>
              </w:rPr>
              <w:t> </w:t>
            </w:r>
            <w:r w:rsidR="00ED69C4" w:rsidRPr="006D2C5E">
              <w:rPr>
                <w:rFonts w:ascii="Arial" w:hAnsi="Arial" w:cs="Arial"/>
                <w:sz w:val="20"/>
              </w:rPr>
              <w:t>información actualizada al 31 de diciembre de 2015 sobre los cargos de planta; (</w:t>
            </w:r>
            <w:r w:rsidR="00FF271E">
              <w:rPr>
                <w:rFonts w:ascii="Arial" w:hAnsi="Arial" w:cs="Arial"/>
                <w:sz w:val="20"/>
              </w:rPr>
              <w:t>b</w:t>
            </w:r>
            <w:r w:rsidR="00ED69C4" w:rsidRPr="006D2C5E">
              <w:rPr>
                <w:rFonts w:ascii="Arial" w:hAnsi="Arial" w:cs="Arial"/>
                <w:sz w:val="20"/>
              </w:rPr>
              <w:t>)</w:t>
            </w:r>
            <w:r w:rsidR="00FF271E">
              <w:rPr>
                <w:rFonts w:ascii="Arial" w:hAnsi="Arial" w:cs="Arial"/>
                <w:sz w:val="20"/>
              </w:rPr>
              <w:t> </w:t>
            </w:r>
            <w:r w:rsidR="00ED69C4" w:rsidRPr="006D2C5E">
              <w:rPr>
                <w:rFonts w:ascii="Arial" w:hAnsi="Arial" w:cs="Arial"/>
                <w:sz w:val="20"/>
              </w:rPr>
              <w:t>información sobre el escalafón de méritos y ascensos; y (</w:t>
            </w:r>
            <w:r w:rsidR="00FF271E">
              <w:rPr>
                <w:rFonts w:ascii="Arial" w:hAnsi="Arial" w:cs="Arial"/>
                <w:sz w:val="20"/>
              </w:rPr>
              <w:t>c</w:t>
            </w:r>
            <w:r w:rsidR="00ED69C4" w:rsidRPr="006D2C5E">
              <w:rPr>
                <w:rFonts w:ascii="Arial" w:hAnsi="Arial" w:cs="Arial"/>
                <w:sz w:val="20"/>
              </w:rPr>
              <w:t xml:space="preserve">) un plan de trabajo para la realización de los concursos de los cargos de planta que se encuentran vacantes, estableciendo plazos y criterios de trasparencia e igualdad. </w:t>
            </w:r>
          </w:p>
        </w:tc>
        <w:tc>
          <w:tcPr>
            <w:tcW w:w="4500" w:type="dxa"/>
            <w:shd w:val="clear" w:color="auto" w:fill="auto"/>
          </w:tcPr>
          <w:p w:rsidR="0080364C" w:rsidRPr="006D2C5E" w:rsidRDefault="00C36DA1" w:rsidP="00FF271E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(i) </w:t>
            </w:r>
            <w:r w:rsidR="00464141" w:rsidRPr="006D2C5E">
              <w:rPr>
                <w:rFonts w:ascii="Arial" w:hAnsi="Arial" w:cs="Arial"/>
                <w:sz w:val="20"/>
                <w:lang w:val="es-ES"/>
              </w:rPr>
              <w:t xml:space="preserve">Copia de la 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 xml:space="preserve">publicación en el Diario Oficial de la </w:t>
            </w:r>
            <w:r w:rsidR="00AF5ABA" w:rsidRPr="006D2C5E">
              <w:rPr>
                <w:rFonts w:ascii="Arial" w:hAnsi="Arial" w:cs="Arial"/>
                <w:sz w:val="20"/>
                <w:lang w:val="es-ES"/>
              </w:rPr>
              <w:t>L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 xml:space="preserve">ey que “Perfecciona al Sistema de Alta Dirección Pública (SADP) y </w:t>
            </w:r>
            <w:r w:rsidR="00AF5ABA" w:rsidRPr="006D2C5E">
              <w:rPr>
                <w:rFonts w:ascii="Arial" w:hAnsi="Arial" w:cs="Arial"/>
                <w:sz w:val="20"/>
                <w:lang w:val="es-ES"/>
              </w:rPr>
              <w:t>F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>ortalece la Dirección Nacional del Servicio Civil (DNSC)”</w:t>
            </w:r>
            <w:r w:rsidR="0080364C" w:rsidRPr="006D2C5E">
              <w:rPr>
                <w:rFonts w:ascii="Arial" w:hAnsi="Arial" w:cs="Arial"/>
                <w:sz w:val="20"/>
                <w:lang w:val="es-ES"/>
              </w:rPr>
              <w:t>;</w:t>
            </w:r>
            <w:r w:rsidR="009C1E25" w:rsidRPr="006D2C5E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80364C" w:rsidRPr="006D2C5E">
              <w:rPr>
                <w:rFonts w:ascii="Arial" w:hAnsi="Arial" w:cs="Arial"/>
                <w:sz w:val="20"/>
                <w:lang w:val="es-ES"/>
              </w:rPr>
              <w:t>y</w:t>
            </w:r>
          </w:p>
          <w:p w:rsidR="0080364C" w:rsidRPr="006D2C5E" w:rsidRDefault="0080364C" w:rsidP="00FF271E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9C2C1A" w:rsidRPr="006D2C5E" w:rsidRDefault="0080364C" w:rsidP="00FF271E">
            <w:pPr>
              <w:pStyle w:val="ListParagraph"/>
              <w:spacing w:before="40" w:after="40"/>
              <w:ind w:left="3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>(ii) Copia de</w:t>
            </w:r>
            <w:r w:rsidR="00530CF8" w:rsidRPr="006D2C5E">
              <w:rPr>
                <w:rFonts w:ascii="Arial" w:hAnsi="Arial" w:cs="Arial"/>
                <w:sz w:val="20"/>
                <w:lang w:val="es-ES"/>
              </w:rPr>
              <w:t>l Oficio de la DNSC</w:t>
            </w:r>
            <w:r w:rsidR="009C1E25" w:rsidRPr="006D2C5E">
              <w:rPr>
                <w:rFonts w:ascii="Arial" w:hAnsi="Arial" w:cs="Arial"/>
                <w:sz w:val="20"/>
                <w:lang w:val="es-ES"/>
              </w:rPr>
              <w:t>,</w:t>
            </w:r>
            <w:r w:rsidR="00530CF8" w:rsidRPr="006D2C5E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9C1E25" w:rsidRPr="006D2C5E">
              <w:rPr>
                <w:rFonts w:ascii="Arial" w:hAnsi="Arial" w:cs="Arial"/>
                <w:sz w:val="20"/>
                <w:lang w:val="es-ES"/>
              </w:rPr>
              <w:t xml:space="preserve">dirigida a los </w:t>
            </w:r>
            <w:r w:rsidR="00EE3327">
              <w:rPr>
                <w:rFonts w:ascii="Arial" w:hAnsi="Arial" w:cs="Arial"/>
                <w:sz w:val="20"/>
                <w:lang w:val="es-ES"/>
              </w:rPr>
              <w:t>S</w:t>
            </w:r>
            <w:r w:rsidR="009C1E25" w:rsidRPr="006D2C5E">
              <w:rPr>
                <w:rFonts w:ascii="Arial" w:hAnsi="Arial" w:cs="Arial"/>
                <w:sz w:val="20"/>
                <w:lang w:val="es-ES"/>
              </w:rPr>
              <w:t xml:space="preserve">ervicios </w:t>
            </w:r>
            <w:r w:rsidR="00EE3327">
              <w:rPr>
                <w:rFonts w:ascii="Arial" w:hAnsi="Arial" w:cs="Arial"/>
                <w:sz w:val="20"/>
                <w:lang w:val="es-ES"/>
              </w:rPr>
              <w:t>P</w:t>
            </w:r>
            <w:r w:rsidR="009C1E25" w:rsidRPr="006D2C5E">
              <w:rPr>
                <w:rFonts w:ascii="Arial" w:hAnsi="Arial" w:cs="Arial"/>
                <w:sz w:val="20"/>
                <w:lang w:val="es-ES"/>
              </w:rPr>
              <w:t xml:space="preserve">úblicos, </w:t>
            </w:r>
            <w:r w:rsidR="00EE3327" w:rsidRPr="00EE3327">
              <w:rPr>
                <w:rFonts w:ascii="Arial" w:hAnsi="Arial" w:cs="Arial"/>
                <w:sz w:val="20"/>
                <w:lang w:val="es-ES_tradnl"/>
              </w:rPr>
              <w:t>de la Administración Civil del Estado solicitando</w:t>
            </w:r>
            <w:r w:rsidR="009C1E25" w:rsidRPr="006D2C5E">
              <w:rPr>
                <w:rFonts w:ascii="Arial" w:hAnsi="Arial" w:cs="Arial"/>
                <w:sz w:val="20"/>
                <w:lang w:val="es-ES"/>
              </w:rPr>
              <w:t>: (</w:t>
            </w:r>
            <w:r w:rsidR="00FF271E">
              <w:rPr>
                <w:rFonts w:ascii="Arial" w:hAnsi="Arial" w:cs="Arial"/>
                <w:sz w:val="20"/>
                <w:lang w:val="es-ES"/>
              </w:rPr>
              <w:t>a</w:t>
            </w:r>
            <w:r w:rsidR="009C1E25" w:rsidRPr="006D2C5E">
              <w:rPr>
                <w:rFonts w:ascii="Arial" w:hAnsi="Arial" w:cs="Arial"/>
                <w:sz w:val="20"/>
                <w:lang w:val="es-ES"/>
              </w:rPr>
              <w:t xml:space="preserve">) información actualizada al 31 de diciembre de 2015 sobre los cargos </w:t>
            </w:r>
            <w:r w:rsidR="00793C64" w:rsidRPr="006D2C5E">
              <w:rPr>
                <w:rFonts w:ascii="Arial" w:hAnsi="Arial" w:cs="Arial"/>
                <w:sz w:val="20"/>
                <w:lang w:val="es-ES"/>
              </w:rPr>
              <w:t xml:space="preserve">vacantes </w:t>
            </w:r>
            <w:r w:rsidR="009C1E25" w:rsidRPr="006D2C5E">
              <w:rPr>
                <w:rFonts w:ascii="Arial" w:hAnsi="Arial" w:cs="Arial"/>
                <w:sz w:val="20"/>
                <w:lang w:val="es-ES"/>
              </w:rPr>
              <w:t>de planta; (</w:t>
            </w:r>
            <w:r w:rsidR="00FF271E">
              <w:rPr>
                <w:rFonts w:ascii="Arial" w:hAnsi="Arial" w:cs="Arial"/>
                <w:sz w:val="20"/>
                <w:lang w:val="es-ES"/>
              </w:rPr>
              <w:t>b</w:t>
            </w:r>
            <w:r w:rsidR="009C1E25" w:rsidRPr="006D2C5E">
              <w:rPr>
                <w:rFonts w:ascii="Arial" w:hAnsi="Arial" w:cs="Arial"/>
                <w:sz w:val="20"/>
                <w:lang w:val="es-ES"/>
              </w:rPr>
              <w:t>)</w:t>
            </w:r>
            <w:r w:rsidR="00FF271E">
              <w:rPr>
                <w:rFonts w:ascii="Arial" w:hAnsi="Arial" w:cs="Arial"/>
                <w:sz w:val="20"/>
                <w:lang w:val="es-ES"/>
              </w:rPr>
              <w:t> </w:t>
            </w:r>
            <w:r w:rsidR="009C1E25" w:rsidRPr="006D2C5E">
              <w:rPr>
                <w:rFonts w:ascii="Arial" w:hAnsi="Arial" w:cs="Arial"/>
                <w:sz w:val="20"/>
                <w:lang w:val="es-ES"/>
              </w:rPr>
              <w:t>información sobre el escalafón de méritos y ascensos; y (</w:t>
            </w:r>
            <w:r w:rsidR="00FF271E">
              <w:rPr>
                <w:rFonts w:ascii="Arial" w:hAnsi="Arial" w:cs="Arial"/>
                <w:sz w:val="20"/>
                <w:lang w:val="es-ES"/>
              </w:rPr>
              <w:t>c</w:t>
            </w:r>
            <w:r w:rsidR="009C1E25" w:rsidRPr="006D2C5E">
              <w:rPr>
                <w:rFonts w:ascii="Arial" w:hAnsi="Arial" w:cs="Arial"/>
                <w:sz w:val="20"/>
                <w:lang w:val="es-ES"/>
              </w:rPr>
              <w:t>) un plan de trabajo para la realización de los concursos de los cargos de planta que se encuentran vacantes, estableciendo plazos y criter</w:t>
            </w:r>
            <w:r w:rsidR="008606F0" w:rsidRPr="006D2C5E">
              <w:rPr>
                <w:rFonts w:ascii="Arial" w:hAnsi="Arial" w:cs="Arial"/>
                <w:sz w:val="20"/>
                <w:lang w:val="es-ES"/>
              </w:rPr>
              <w:t>ios de tra</w:t>
            </w:r>
            <w:r w:rsidR="00793C64" w:rsidRPr="006D2C5E">
              <w:rPr>
                <w:rFonts w:ascii="Arial" w:hAnsi="Arial" w:cs="Arial"/>
                <w:sz w:val="20"/>
                <w:lang w:val="es-ES"/>
              </w:rPr>
              <w:t>n</w:t>
            </w:r>
            <w:r w:rsidR="008606F0" w:rsidRPr="006D2C5E">
              <w:rPr>
                <w:rFonts w:ascii="Arial" w:hAnsi="Arial" w:cs="Arial"/>
                <w:sz w:val="20"/>
                <w:lang w:val="es-ES"/>
              </w:rPr>
              <w:t>sparencia e igualdad.</w:t>
            </w:r>
          </w:p>
        </w:tc>
        <w:tc>
          <w:tcPr>
            <w:tcW w:w="2006" w:type="dxa"/>
            <w:shd w:val="clear" w:color="auto" w:fill="auto"/>
          </w:tcPr>
          <w:p w:rsidR="009C2C1A" w:rsidRPr="006D2C5E" w:rsidRDefault="009C2C1A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Ministerio de Hacienda</w:t>
            </w:r>
          </w:p>
        </w:tc>
      </w:tr>
      <w:tr w:rsidR="009C2C1A" w:rsidRPr="006D2C5E" w:rsidTr="006D2C5E">
        <w:trPr>
          <w:trHeight w:val="350"/>
        </w:trPr>
        <w:tc>
          <w:tcPr>
            <w:tcW w:w="2250" w:type="dxa"/>
            <w:vMerge/>
            <w:shd w:val="clear" w:color="auto" w:fill="auto"/>
          </w:tcPr>
          <w:p w:rsidR="009C2C1A" w:rsidRPr="006D2C5E" w:rsidRDefault="009C2C1A" w:rsidP="006D2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C2C1A" w:rsidRPr="006D2C5E" w:rsidRDefault="00ED69C4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Entrada </w:t>
            </w:r>
            <w:r w:rsidR="00385381" w:rsidRPr="006D2C5E">
              <w:rPr>
                <w:rFonts w:ascii="Arial" w:hAnsi="Arial" w:cs="Arial"/>
                <w:sz w:val="20"/>
                <w:lang w:val="es-ES"/>
              </w:rPr>
              <w:t xml:space="preserve">en </w:t>
            </w:r>
            <w:r w:rsidR="00B321C5" w:rsidRPr="006D2C5E">
              <w:rPr>
                <w:rFonts w:ascii="Arial" w:hAnsi="Arial" w:cs="Arial"/>
                <w:sz w:val="20"/>
                <w:lang w:val="es-ES"/>
              </w:rPr>
              <w:t xml:space="preserve">funcionamiento </w:t>
            </w:r>
            <w:r w:rsidR="00385381" w:rsidRPr="006D2C5E">
              <w:rPr>
                <w:rFonts w:ascii="Arial" w:hAnsi="Arial" w:cs="Arial"/>
                <w:sz w:val="20"/>
                <w:lang w:val="es-ES"/>
              </w:rPr>
              <w:t xml:space="preserve">del </w:t>
            </w:r>
            <w:r w:rsidR="00385381" w:rsidRPr="006D2C5E">
              <w:rPr>
                <w:rFonts w:ascii="Arial" w:hAnsi="Arial" w:cs="Arial"/>
                <w:sz w:val="20"/>
                <w:lang w:val="es-ES_tradnl"/>
              </w:rPr>
              <w:t xml:space="preserve">nuevo sistema de gestión de la Alta Dirección Pública (ADP) y su portal correspondiente, de conformidad con las normas de transparencia que establece el proyecto de Ley </w:t>
            </w:r>
            <w:r w:rsidR="00385381" w:rsidRPr="006D2C5E">
              <w:rPr>
                <w:rFonts w:ascii="Arial" w:hAnsi="Arial" w:cs="Arial"/>
                <w:sz w:val="20"/>
                <w:lang w:val="es-ES"/>
              </w:rPr>
              <w:t xml:space="preserve">que “Perfecciona al Sistema </w:t>
            </w:r>
            <w:r w:rsidR="00385381" w:rsidRPr="006D2C5E">
              <w:rPr>
                <w:rFonts w:ascii="Arial" w:hAnsi="Arial" w:cs="Arial"/>
                <w:sz w:val="20"/>
                <w:lang w:val="es-ES"/>
              </w:rPr>
              <w:lastRenderedPageBreak/>
              <w:t>de Alta Dirección Pública (SADP) y Fortalece la Dirección Nacional del Servicio Civil (DNSC)”, c</w:t>
            </w:r>
            <w:r w:rsidR="00385381" w:rsidRPr="006D2C5E">
              <w:rPr>
                <w:rFonts w:ascii="Arial" w:hAnsi="Arial" w:cs="Arial"/>
                <w:spacing w:val="-3"/>
                <w:sz w:val="20"/>
                <w:lang w:val="es-ES"/>
              </w:rPr>
              <w:t>on el fin de incrementar la difusión y la transparencia de las convocatorias públicas a los procesos de selección del SADP.</w:t>
            </w:r>
          </w:p>
        </w:tc>
        <w:tc>
          <w:tcPr>
            <w:tcW w:w="4500" w:type="dxa"/>
            <w:shd w:val="clear" w:color="auto" w:fill="auto"/>
          </w:tcPr>
          <w:p w:rsidR="009C2C1A" w:rsidRPr="006D2C5E" w:rsidRDefault="00EB7326" w:rsidP="00FF271E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lastRenderedPageBreak/>
              <w:t>I</w:t>
            </w:r>
            <w:r w:rsidR="00401D0C" w:rsidRPr="006D2C5E">
              <w:rPr>
                <w:rFonts w:ascii="Arial" w:hAnsi="Arial" w:cs="Arial"/>
                <w:sz w:val="20"/>
                <w:lang w:val="es-ES"/>
              </w:rPr>
              <w:t xml:space="preserve">nforme </w:t>
            </w:r>
            <w:r w:rsidR="00614E59" w:rsidRPr="006D2C5E">
              <w:rPr>
                <w:rFonts w:ascii="Arial" w:hAnsi="Arial" w:cs="Arial"/>
                <w:sz w:val="20"/>
                <w:lang w:val="es-ES"/>
              </w:rPr>
              <w:t>emitido por</w:t>
            </w:r>
            <w:r w:rsidR="00401D0C" w:rsidRPr="006D2C5E">
              <w:rPr>
                <w:rFonts w:ascii="Arial" w:hAnsi="Arial" w:cs="Arial"/>
                <w:sz w:val="20"/>
                <w:lang w:val="es-ES"/>
              </w:rPr>
              <w:t xml:space="preserve"> la DNSC </w:t>
            </w:r>
            <w:r w:rsidR="00224C85">
              <w:rPr>
                <w:rFonts w:ascii="Arial" w:hAnsi="Arial" w:cs="Arial"/>
                <w:sz w:val="20"/>
                <w:lang w:val="es-ES"/>
              </w:rPr>
              <w:t xml:space="preserve">dando cuenta </w:t>
            </w:r>
            <w:r w:rsidR="00401D0C" w:rsidRPr="006D2C5E">
              <w:rPr>
                <w:rFonts w:ascii="Arial" w:hAnsi="Arial" w:cs="Arial"/>
                <w:sz w:val="20"/>
                <w:lang w:val="es-ES"/>
              </w:rPr>
              <w:t xml:space="preserve">sobre la </w:t>
            </w:r>
            <w:r w:rsidR="008E077D" w:rsidRPr="006D2C5E">
              <w:rPr>
                <w:rFonts w:ascii="Arial" w:hAnsi="Arial" w:cs="Arial"/>
                <w:sz w:val="20"/>
                <w:lang w:val="es-ES"/>
              </w:rPr>
              <w:t xml:space="preserve">entrada en </w:t>
            </w:r>
            <w:r w:rsidR="00D613B3" w:rsidRPr="006D2C5E">
              <w:rPr>
                <w:rFonts w:ascii="Arial" w:hAnsi="Arial" w:cs="Arial"/>
                <w:sz w:val="20"/>
                <w:lang w:val="es-ES"/>
              </w:rPr>
              <w:t xml:space="preserve">funcionamiento </w:t>
            </w:r>
            <w:r w:rsidR="008E077D" w:rsidRPr="006D2C5E">
              <w:rPr>
                <w:rFonts w:ascii="Arial" w:hAnsi="Arial" w:cs="Arial"/>
                <w:sz w:val="20"/>
                <w:lang w:val="es-ES"/>
              </w:rPr>
              <w:t xml:space="preserve">del </w:t>
            </w:r>
            <w:r w:rsidR="008E077D" w:rsidRPr="006D2C5E">
              <w:rPr>
                <w:rFonts w:ascii="Arial" w:hAnsi="Arial" w:cs="Arial"/>
                <w:sz w:val="20"/>
                <w:lang w:val="es-ES_tradnl"/>
              </w:rPr>
              <w:t xml:space="preserve">nuevo sistema de gestión de la Alta Dirección Pública (ADP) y su portal correspondiente, de conformidad con las </w:t>
            </w:r>
            <w:r w:rsidR="008E077D" w:rsidRPr="006D2C5E">
              <w:rPr>
                <w:rFonts w:ascii="Arial" w:hAnsi="Arial" w:cs="Arial"/>
                <w:sz w:val="20"/>
                <w:lang w:val="es-ES_tradnl"/>
              </w:rPr>
              <w:lastRenderedPageBreak/>
              <w:t xml:space="preserve">normas de transparencia que establece el proyecto de Ley </w:t>
            </w:r>
            <w:r w:rsidR="008E077D" w:rsidRPr="006D2C5E">
              <w:rPr>
                <w:rFonts w:ascii="Arial" w:hAnsi="Arial" w:cs="Arial"/>
                <w:sz w:val="20"/>
                <w:lang w:val="es-ES"/>
              </w:rPr>
              <w:t>que “Perfecciona al Sistema de Alta Dirección Pública (SADP) y Fortalece la Dirección Nacional del Servicio Civil (DNSC)”</w:t>
            </w:r>
            <w:r w:rsidR="00385381" w:rsidRPr="006D2C5E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2006" w:type="dxa"/>
            <w:shd w:val="clear" w:color="auto" w:fill="auto"/>
          </w:tcPr>
          <w:p w:rsidR="009C2C1A" w:rsidRPr="006D2C5E" w:rsidRDefault="009C2C1A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lastRenderedPageBreak/>
              <w:t>Ministerio de Hacienda</w:t>
            </w:r>
          </w:p>
        </w:tc>
      </w:tr>
      <w:tr w:rsidR="009C2C1A" w:rsidRPr="006D2C5E" w:rsidTr="006D2C5E">
        <w:tc>
          <w:tcPr>
            <w:tcW w:w="2250" w:type="dxa"/>
            <w:vMerge/>
            <w:shd w:val="clear" w:color="auto" w:fill="auto"/>
          </w:tcPr>
          <w:p w:rsidR="009C2C1A" w:rsidRPr="006D2C5E" w:rsidRDefault="009C2C1A" w:rsidP="006D2C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C2C1A" w:rsidRPr="006D2C5E" w:rsidRDefault="00A0027D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Elaboración y a</w:t>
            </w:r>
            <w:r w:rsidR="00224C85" w:rsidRPr="00224C85">
              <w:rPr>
                <w:rFonts w:ascii="Arial" w:hAnsi="Arial" w:cs="Arial"/>
                <w:sz w:val="20"/>
                <w:lang w:val="es-ES_tradnl"/>
              </w:rPr>
              <w:t xml:space="preserve">probación de los códigos de ética de la SEGPRES, la Secretaría y Administración General del Ministerio de Hacienda y </w:t>
            </w:r>
            <w:r w:rsidR="00AC51E2">
              <w:rPr>
                <w:rFonts w:ascii="Arial" w:hAnsi="Arial" w:cs="Arial"/>
                <w:sz w:val="20"/>
                <w:lang w:val="es-ES_tradnl"/>
              </w:rPr>
              <w:t xml:space="preserve">de </w:t>
            </w:r>
            <w:r w:rsidR="00224C85" w:rsidRPr="00224C85">
              <w:rPr>
                <w:rFonts w:ascii="Arial" w:hAnsi="Arial" w:cs="Arial"/>
                <w:sz w:val="20"/>
                <w:lang w:val="es-ES_tradnl"/>
              </w:rPr>
              <w:t xml:space="preserve">los Servicios Públicos sometidos a la dependencia </w:t>
            </w:r>
            <w:r w:rsidR="00224C85" w:rsidRPr="00032569">
              <w:rPr>
                <w:rFonts w:ascii="Arial" w:hAnsi="Arial" w:cs="Arial"/>
                <w:sz w:val="20"/>
                <w:lang w:val="es-ES_tradnl"/>
              </w:rPr>
              <w:t>y</w:t>
            </w:r>
            <w:r w:rsidR="00AC51E2" w:rsidRPr="00032569">
              <w:rPr>
                <w:rFonts w:ascii="Arial" w:hAnsi="Arial" w:cs="Arial"/>
                <w:sz w:val="20"/>
                <w:lang w:val="es-ES_tradnl"/>
              </w:rPr>
              <w:t>/o</w:t>
            </w:r>
            <w:r w:rsidR="00224C85" w:rsidRPr="00224C85">
              <w:rPr>
                <w:rFonts w:ascii="Arial" w:hAnsi="Arial" w:cs="Arial"/>
                <w:sz w:val="20"/>
                <w:lang w:val="es-ES_tradnl"/>
              </w:rPr>
              <w:t xml:space="preserve"> supervigilancia del Ministerio de Hacienda</w:t>
            </w:r>
            <w:r w:rsidR="00224C85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9C2C1A" w:rsidRPr="006D2C5E" w:rsidRDefault="00B61C03" w:rsidP="00FF271E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opia de </w:t>
            </w:r>
            <w:r>
              <w:rPr>
                <w:rFonts w:ascii="Arial" w:hAnsi="Arial" w:cs="Arial"/>
                <w:sz w:val="20"/>
                <w:lang w:val="es-ES"/>
              </w:rPr>
              <w:t xml:space="preserve">una 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resolución emitida por la SEGPRES </w:t>
            </w:r>
            <w:r>
              <w:rPr>
                <w:rFonts w:ascii="Arial" w:hAnsi="Arial" w:cs="Arial"/>
                <w:sz w:val="20"/>
                <w:lang w:val="es-ES"/>
              </w:rPr>
              <w:t xml:space="preserve">y copia de resoluciones emitidas por </w:t>
            </w:r>
            <w:r w:rsidRPr="00224C85">
              <w:rPr>
                <w:rFonts w:ascii="Arial" w:hAnsi="Arial" w:cs="Arial"/>
                <w:sz w:val="20"/>
                <w:lang w:val="es-ES_tradnl"/>
              </w:rPr>
              <w:t xml:space="preserve">la Secretaría y Administración General del Ministerio de Hacienda y </w:t>
            </w:r>
            <w:r w:rsidR="00AC51E2">
              <w:rPr>
                <w:rFonts w:ascii="Arial" w:hAnsi="Arial" w:cs="Arial"/>
                <w:sz w:val="20"/>
                <w:lang w:val="es-ES_tradnl"/>
              </w:rPr>
              <w:t xml:space="preserve">de </w:t>
            </w:r>
            <w:r w:rsidRPr="00224C85">
              <w:rPr>
                <w:rFonts w:ascii="Arial" w:hAnsi="Arial" w:cs="Arial"/>
                <w:sz w:val="20"/>
                <w:lang w:val="es-ES_tradnl"/>
              </w:rPr>
              <w:t xml:space="preserve">los Servicios Públicos sometidos a la dependencia </w:t>
            </w:r>
            <w:r w:rsidRPr="00032569">
              <w:rPr>
                <w:rFonts w:ascii="Arial" w:hAnsi="Arial" w:cs="Arial"/>
                <w:sz w:val="20"/>
                <w:lang w:val="es-ES_tradnl"/>
              </w:rPr>
              <w:t>y</w:t>
            </w:r>
            <w:r w:rsidR="00AC51E2" w:rsidRPr="00032569">
              <w:rPr>
                <w:rFonts w:ascii="Arial" w:hAnsi="Arial" w:cs="Arial"/>
                <w:sz w:val="20"/>
                <w:lang w:val="es-ES_tradnl"/>
              </w:rPr>
              <w:t>/o</w:t>
            </w:r>
            <w:r w:rsidRPr="00224C85">
              <w:rPr>
                <w:rFonts w:ascii="Arial" w:hAnsi="Arial" w:cs="Arial"/>
                <w:sz w:val="20"/>
                <w:lang w:val="es-ES_tradnl"/>
              </w:rPr>
              <w:t xml:space="preserve"> supervigilancia del Ministerio de Hacienda</w:t>
            </w:r>
            <w:r w:rsidR="00EC20D2">
              <w:rPr>
                <w:rFonts w:ascii="Arial" w:hAnsi="Arial" w:cs="Arial"/>
                <w:sz w:val="20"/>
                <w:lang w:val="es-ES_tradnl"/>
              </w:rPr>
              <w:t xml:space="preserve">, </w:t>
            </w:r>
            <w:r w:rsidR="00EB7326" w:rsidRPr="006D2C5E">
              <w:rPr>
                <w:rFonts w:ascii="Arial" w:hAnsi="Arial" w:cs="Arial"/>
                <w:sz w:val="20"/>
                <w:lang w:val="es-ES"/>
              </w:rPr>
              <w:t xml:space="preserve">por medio de las cuales se </w:t>
            </w:r>
            <w:r w:rsidR="00E6249F">
              <w:rPr>
                <w:rFonts w:ascii="Arial" w:hAnsi="Arial" w:cs="Arial"/>
                <w:sz w:val="20"/>
                <w:lang w:val="es-ES"/>
              </w:rPr>
              <w:t xml:space="preserve">aprueban </w:t>
            </w:r>
            <w:r>
              <w:rPr>
                <w:rFonts w:ascii="Arial" w:hAnsi="Arial" w:cs="Arial"/>
                <w:sz w:val="20"/>
                <w:lang w:val="es-ES"/>
              </w:rPr>
              <w:t xml:space="preserve">su respectivos 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>códigos de ética.</w:t>
            </w:r>
          </w:p>
        </w:tc>
        <w:tc>
          <w:tcPr>
            <w:tcW w:w="2006" w:type="dxa"/>
            <w:shd w:val="clear" w:color="auto" w:fill="auto"/>
          </w:tcPr>
          <w:p w:rsidR="009C2C1A" w:rsidRPr="006D2C5E" w:rsidRDefault="009C2C1A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Ministerio de Hacienda y SEGPRES</w:t>
            </w:r>
          </w:p>
        </w:tc>
      </w:tr>
      <w:tr w:rsidR="009C2C1A" w:rsidRPr="006D2C5E" w:rsidTr="006D2C5E">
        <w:tc>
          <w:tcPr>
            <w:tcW w:w="2250" w:type="dxa"/>
            <w:vMerge/>
            <w:shd w:val="clear" w:color="auto" w:fill="auto"/>
          </w:tcPr>
          <w:p w:rsidR="009C2C1A" w:rsidRPr="006D2C5E" w:rsidRDefault="009C2C1A" w:rsidP="006D2C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385381" w:rsidRPr="006D2C5E" w:rsidRDefault="00C40D1F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(i) </w:t>
            </w:r>
            <w:r w:rsidR="004F2179" w:rsidRPr="006D2C5E">
              <w:rPr>
                <w:rFonts w:ascii="Arial" w:hAnsi="Arial" w:cs="Arial"/>
                <w:sz w:val="20"/>
                <w:lang w:val="es-CO"/>
              </w:rPr>
              <w:t xml:space="preserve">Implementación </w:t>
            </w:r>
            <w:r w:rsidR="004F2179" w:rsidRPr="006D2C5E">
              <w:rPr>
                <w:rFonts w:ascii="Arial" w:hAnsi="Arial" w:cs="Arial"/>
                <w:sz w:val="20"/>
                <w:lang w:val="es-ES"/>
              </w:rPr>
              <w:t>de las nuevas disposiciones de probidad y transparencia en las compras públicas, en materia de Licitaciones Públicas, mediante</w:t>
            </w:r>
            <w:r w:rsidR="004F2179" w:rsidRPr="006D2C5E">
              <w:rPr>
                <w:rFonts w:ascii="Arial" w:hAnsi="Arial" w:cs="Arial"/>
                <w:sz w:val="20"/>
                <w:lang w:val="es-CO"/>
              </w:rPr>
              <w:t xml:space="preserve"> la </w:t>
            </w:r>
            <w:r w:rsidR="004F2179" w:rsidRPr="006D2C5E">
              <w:rPr>
                <w:rFonts w:ascii="Arial" w:hAnsi="Arial" w:cs="Arial"/>
                <w:sz w:val="20"/>
                <w:lang w:val="es-ES"/>
              </w:rPr>
              <w:t>e</w:t>
            </w:r>
            <w:r w:rsidR="00ED69C4" w:rsidRPr="006D2C5E">
              <w:rPr>
                <w:rFonts w:ascii="Arial" w:hAnsi="Arial" w:cs="Arial"/>
                <w:sz w:val="20"/>
                <w:lang w:val="es-ES"/>
              </w:rPr>
              <w:t xml:space="preserve">laboración de </w:t>
            </w:r>
            <w:r w:rsidR="00385381" w:rsidRPr="006D2C5E">
              <w:rPr>
                <w:rFonts w:ascii="Arial" w:hAnsi="Arial" w:cs="Arial"/>
                <w:sz w:val="20"/>
                <w:lang w:val="es-ES"/>
              </w:rPr>
              <w:t>Informes Finales de las Comisiones Evaluadoras de acuerdo con los nuevos criterios de probidad y transparencia establecidos en el artículo 40 bis del Reglamento de la Ley No. 19.886 de Bases sobre Contratos Administrativos de Suministros y Prestación de Servicios; y</w:t>
            </w:r>
          </w:p>
          <w:p w:rsidR="00385381" w:rsidRPr="006D2C5E" w:rsidRDefault="00385381" w:rsidP="00FF271E">
            <w:pPr>
              <w:pStyle w:val="ListParagraph"/>
              <w:spacing w:before="40" w:after="40"/>
              <w:ind w:left="3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9C2C1A" w:rsidRPr="00FF271E" w:rsidRDefault="00385381" w:rsidP="00FF271E">
            <w:pPr>
              <w:pStyle w:val="ListParagraph"/>
              <w:spacing w:before="40" w:after="40"/>
              <w:ind w:left="3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(ii) </w:t>
            </w:r>
            <w:r w:rsidR="00ED69C4" w:rsidRPr="006D2C5E">
              <w:rPr>
                <w:rFonts w:ascii="Arial" w:hAnsi="Arial" w:cs="Arial"/>
                <w:sz w:val="20"/>
                <w:lang w:val="es-ES"/>
              </w:rPr>
              <w:t>C</w:t>
            </w:r>
            <w:r w:rsidRPr="006D2C5E">
              <w:rPr>
                <w:rFonts w:ascii="Arial" w:hAnsi="Arial" w:cs="Arial"/>
                <w:sz w:val="20"/>
                <w:lang w:val="es-ES"/>
              </w:rPr>
              <w:t>umplimiento de las condiciones necesarias para la habilitación</w:t>
            </w:r>
            <w:r w:rsidR="00027D15">
              <w:rPr>
                <w:rFonts w:ascii="Arial" w:hAnsi="Arial" w:cs="Arial"/>
                <w:sz w:val="20"/>
                <w:lang w:val="es-ES"/>
              </w:rPr>
              <w:t>,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 en </w:t>
            </w:r>
            <w:r w:rsidR="00F83C63">
              <w:rPr>
                <w:rFonts w:ascii="Arial" w:hAnsi="Arial" w:cs="Arial"/>
                <w:sz w:val="20"/>
                <w:lang w:val="es-ES"/>
              </w:rPr>
              <w:t xml:space="preserve">al menos </w:t>
            </w:r>
            <w:r w:rsidR="00B502C6" w:rsidRPr="006D2C5E">
              <w:rPr>
                <w:rFonts w:ascii="Arial" w:hAnsi="Arial" w:cs="Arial"/>
                <w:sz w:val="20"/>
                <w:lang w:val="es-ES"/>
              </w:rPr>
              <w:t xml:space="preserve">5 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organismos públicos </w:t>
            </w:r>
            <w:r w:rsidR="00027D15">
              <w:rPr>
                <w:rFonts w:ascii="Arial" w:hAnsi="Arial" w:cs="Arial"/>
                <w:sz w:val="20"/>
                <w:lang w:val="es-ES"/>
              </w:rPr>
              <w:t xml:space="preserve">para </w:t>
            </w:r>
            <w:r w:rsidRPr="006D2C5E">
              <w:rPr>
                <w:rFonts w:ascii="Arial" w:hAnsi="Arial" w:cs="Arial"/>
                <w:sz w:val="20"/>
                <w:lang w:val="es-ES"/>
              </w:rPr>
              <w:t>publicar las bases de licitación</w:t>
            </w:r>
            <w:r w:rsidR="0058371A">
              <w:rPr>
                <w:rFonts w:ascii="Arial" w:hAnsi="Arial" w:cs="Arial"/>
                <w:sz w:val="20"/>
                <w:lang w:val="es-ES"/>
              </w:rPr>
              <w:t xml:space="preserve"> pública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, con firma </w:t>
            </w:r>
            <w:r w:rsidRPr="00032569">
              <w:rPr>
                <w:rFonts w:ascii="Arial" w:hAnsi="Arial" w:cs="Arial"/>
                <w:sz w:val="20"/>
                <w:lang w:val="es-ES"/>
              </w:rPr>
              <w:t>electrónica</w:t>
            </w:r>
            <w:r w:rsidR="00027D15" w:rsidRPr="00032569">
              <w:rPr>
                <w:rFonts w:ascii="Arial" w:hAnsi="Arial" w:cs="Arial"/>
                <w:sz w:val="20"/>
                <w:lang w:val="es-ES"/>
              </w:rPr>
              <w:t xml:space="preserve"> avanzada</w:t>
            </w:r>
            <w:r w:rsidR="00C00E71">
              <w:rPr>
                <w:rStyle w:val="FootnoteReference"/>
                <w:rFonts w:ascii="Arial" w:hAnsi="Arial" w:cs="Arial"/>
                <w:sz w:val="20"/>
                <w:lang w:val="es-ES"/>
              </w:rPr>
              <w:footnoteReference w:id="1"/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, en el portal </w:t>
            </w:r>
            <w:hyperlink r:id="rId9" w:history="1">
              <w:r w:rsidRPr="006D2C5E">
                <w:rPr>
                  <w:rStyle w:val="Hyperlink"/>
                  <w:rFonts w:ascii="Arial" w:hAnsi="Arial" w:cs="Arial"/>
                  <w:sz w:val="20"/>
                  <w:lang w:val="es-ES"/>
                </w:rPr>
                <w:t>www.mercadopublico.cl</w:t>
              </w:r>
            </w:hyperlink>
            <w:r w:rsidR="00ED69C4" w:rsidRPr="006D2C5E">
              <w:rPr>
                <w:rFonts w:ascii="Arial" w:hAnsi="Arial" w:cs="Arial"/>
                <w:sz w:val="20"/>
                <w:lang w:val="es-ES"/>
              </w:rPr>
              <w:t xml:space="preserve">; lo </w:t>
            </w:r>
            <w:r w:rsidRPr="006D2C5E">
              <w:rPr>
                <w:rFonts w:ascii="Arial" w:hAnsi="Arial" w:cs="Arial"/>
                <w:sz w:val="20"/>
                <w:lang w:val="es-ES"/>
              </w:rPr>
              <w:t>que permitirá avanzar con el uso obligatorio de formularios electrónicos estandarizados de bases de licitación</w:t>
            </w:r>
            <w:r w:rsidRPr="006D2C5E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8606F0" w:rsidRPr="006D2C5E" w:rsidRDefault="00B268E6" w:rsidP="00FF271E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_tradnl"/>
              </w:rPr>
              <w:lastRenderedPageBreak/>
              <w:t xml:space="preserve">(i) </w:t>
            </w:r>
            <w:r w:rsidR="00D613B3" w:rsidRPr="006D2C5E">
              <w:rPr>
                <w:rFonts w:ascii="Arial" w:hAnsi="Arial" w:cs="Arial"/>
                <w:sz w:val="20"/>
                <w:lang w:val="es-ES_tradnl"/>
              </w:rPr>
              <w:t xml:space="preserve">Informe emitido por ChileCompra sobre el </w:t>
            </w:r>
            <w:r w:rsidR="00051B01">
              <w:rPr>
                <w:rFonts w:ascii="Arial" w:hAnsi="Arial" w:cs="Arial"/>
                <w:sz w:val="20"/>
                <w:lang w:val="es-ES_tradnl"/>
              </w:rPr>
              <w:t xml:space="preserve">grado de cumplimiento, </w:t>
            </w:r>
            <w:r w:rsidR="0004483F">
              <w:rPr>
                <w:rFonts w:ascii="Arial" w:hAnsi="Arial" w:cs="Arial"/>
                <w:sz w:val="20"/>
                <w:lang w:val="es-ES_tradnl"/>
              </w:rPr>
              <w:t>por parte de Servicios Pú</w:t>
            </w:r>
            <w:r w:rsidR="00674473">
              <w:rPr>
                <w:rFonts w:ascii="Arial" w:hAnsi="Arial" w:cs="Arial"/>
                <w:sz w:val="20"/>
                <w:lang w:val="es-ES_tradnl"/>
              </w:rPr>
              <w:t>blicos de la Administració</w:t>
            </w:r>
            <w:r w:rsidR="00051B01">
              <w:rPr>
                <w:rFonts w:ascii="Arial" w:hAnsi="Arial" w:cs="Arial"/>
                <w:sz w:val="20"/>
                <w:lang w:val="es-ES_tradnl"/>
              </w:rPr>
              <w:t xml:space="preserve">n Civil del Estado, </w:t>
            </w:r>
            <w:r w:rsidR="009E2580">
              <w:rPr>
                <w:rFonts w:ascii="Arial" w:hAnsi="Arial" w:cs="Arial"/>
                <w:sz w:val="20"/>
                <w:lang w:val="es-ES_tradnl"/>
              </w:rPr>
              <w:t xml:space="preserve">de la elaboración </w:t>
            </w:r>
            <w:r w:rsidR="008606F0" w:rsidRPr="006D2C5E">
              <w:rPr>
                <w:rFonts w:ascii="Arial" w:hAnsi="Arial" w:cs="Arial"/>
                <w:sz w:val="20"/>
                <w:lang w:val="es-ES"/>
              </w:rPr>
              <w:t>de los Informes Finales</w:t>
            </w:r>
            <w:r w:rsidR="00F83C63">
              <w:rPr>
                <w:rFonts w:ascii="Arial" w:hAnsi="Arial" w:cs="Arial"/>
                <w:sz w:val="20"/>
                <w:lang w:val="es-ES"/>
              </w:rPr>
              <w:t xml:space="preserve"> de las Comisiones Evaluadoras </w:t>
            </w:r>
            <w:r w:rsidR="008606F0" w:rsidRPr="006D2C5E">
              <w:rPr>
                <w:rFonts w:ascii="Arial" w:hAnsi="Arial" w:cs="Arial"/>
                <w:sz w:val="20"/>
                <w:lang w:val="es-ES"/>
              </w:rPr>
              <w:t>de acuerdo con los nuevos criterios de probidad y transparencia establecidos en el artículo 40 bis del Reglamento de la Ley No. 19.886 de Bases sobre Contratos Administrativos de Suministros y Prestación de Servicios; y</w:t>
            </w:r>
          </w:p>
          <w:p w:rsidR="008606F0" w:rsidRPr="006D2C5E" w:rsidRDefault="008606F0" w:rsidP="00FF271E">
            <w:pPr>
              <w:pStyle w:val="ListParagraph"/>
              <w:spacing w:before="40" w:after="40"/>
              <w:ind w:left="3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595B6C" w:rsidRPr="006D2C5E" w:rsidRDefault="008606F0" w:rsidP="00FF271E">
            <w:pPr>
              <w:spacing w:before="40" w:after="40" w:line="240" w:lineRule="auto"/>
              <w:ind w:left="36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D2C5E">
              <w:rPr>
                <w:rFonts w:ascii="Arial" w:hAnsi="Arial" w:cs="Arial"/>
                <w:sz w:val="20"/>
              </w:rPr>
              <w:t xml:space="preserve">(ii) </w:t>
            </w:r>
            <w:r w:rsidR="00D613B3" w:rsidRPr="006D2C5E">
              <w:rPr>
                <w:rFonts w:ascii="Arial" w:hAnsi="Arial" w:cs="Arial"/>
                <w:sz w:val="20"/>
                <w:lang w:val="es-ES_tradnl"/>
              </w:rPr>
              <w:t>Informe emitido por ChileCompra sobre</w:t>
            </w:r>
            <w:r w:rsidR="00D613B3" w:rsidRPr="006D2C5E">
              <w:rPr>
                <w:rFonts w:ascii="Arial" w:hAnsi="Arial" w:cs="Arial"/>
                <w:sz w:val="20"/>
              </w:rPr>
              <w:t xml:space="preserve"> el c</w:t>
            </w:r>
            <w:r w:rsidRPr="006D2C5E">
              <w:rPr>
                <w:rFonts w:ascii="Arial" w:hAnsi="Arial" w:cs="Arial"/>
                <w:sz w:val="20"/>
              </w:rPr>
              <w:t>umplimiento de las condiciones necesarias para la habilitación</w:t>
            </w:r>
            <w:r w:rsidR="0080414A">
              <w:rPr>
                <w:rFonts w:ascii="Arial" w:hAnsi="Arial" w:cs="Arial"/>
                <w:sz w:val="20"/>
              </w:rPr>
              <w:t>,</w:t>
            </w:r>
            <w:r w:rsidRPr="006D2C5E">
              <w:rPr>
                <w:rFonts w:ascii="Arial" w:hAnsi="Arial" w:cs="Arial"/>
                <w:sz w:val="20"/>
              </w:rPr>
              <w:t xml:space="preserve"> en </w:t>
            </w:r>
            <w:r w:rsidR="00F83C63">
              <w:rPr>
                <w:rFonts w:ascii="Arial" w:hAnsi="Arial" w:cs="Arial"/>
                <w:sz w:val="20"/>
              </w:rPr>
              <w:t xml:space="preserve">al menos </w:t>
            </w:r>
            <w:r w:rsidRPr="006D2C5E">
              <w:rPr>
                <w:rFonts w:ascii="Arial" w:hAnsi="Arial" w:cs="Arial"/>
                <w:sz w:val="20"/>
              </w:rPr>
              <w:lastRenderedPageBreak/>
              <w:t xml:space="preserve">5 organismos públicos </w:t>
            </w:r>
            <w:r w:rsidR="0080414A">
              <w:rPr>
                <w:rFonts w:ascii="Arial" w:hAnsi="Arial" w:cs="Arial"/>
                <w:sz w:val="20"/>
              </w:rPr>
              <w:t xml:space="preserve">para </w:t>
            </w:r>
            <w:r w:rsidRPr="006D2C5E">
              <w:rPr>
                <w:rFonts w:ascii="Arial" w:hAnsi="Arial" w:cs="Arial"/>
                <w:sz w:val="20"/>
              </w:rPr>
              <w:t>publicar las bases de licitación</w:t>
            </w:r>
            <w:r w:rsidR="00FF271E">
              <w:rPr>
                <w:rFonts w:ascii="Arial" w:hAnsi="Arial" w:cs="Arial"/>
                <w:sz w:val="20"/>
              </w:rPr>
              <w:t xml:space="preserve"> pública</w:t>
            </w:r>
            <w:r w:rsidRPr="006D2C5E">
              <w:rPr>
                <w:rFonts w:ascii="Arial" w:hAnsi="Arial" w:cs="Arial"/>
                <w:sz w:val="20"/>
              </w:rPr>
              <w:t>, con firma electrónica</w:t>
            </w:r>
            <w:r w:rsidR="008363F2">
              <w:rPr>
                <w:rFonts w:ascii="Arial" w:hAnsi="Arial" w:cs="Arial"/>
                <w:sz w:val="20"/>
              </w:rPr>
              <w:t xml:space="preserve"> avanzada</w:t>
            </w:r>
            <w:r w:rsidRPr="006D2C5E">
              <w:rPr>
                <w:rFonts w:ascii="Arial" w:hAnsi="Arial" w:cs="Arial"/>
                <w:sz w:val="20"/>
              </w:rPr>
              <w:t xml:space="preserve">, en el portal </w:t>
            </w:r>
            <w:hyperlink r:id="rId10" w:history="1">
              <w:r w:rsidRPr="006D2C5E">
                <w:rPr>
                  <w:rStyle w:val="Hyperlink"/>
                  <w:rFonts w:ascii="Arial" w:hAnsi="Arial" w:cs="Arial"/>
                  <w:sz w:val="20"/>
                </w:rPr>
                <w:t>www.mercadopublico.cl</w:t>
              </w:r>
            </w:hyperlink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C2C1A" w:rsidRPr="006D2C5E" w:rsidRDefault="009C2C1A" w:rsidP="00FF271E">
            <w:pPr>
              <w:spacing w:before="40" w:after="4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6D2C5E">
              <w:rPr>
                <w:rFonts w:ascii="Arial" w:hAnsi="Arial" w:cs="Arial"/>
                <w:sz w:val="20"/>
              </w:rPr>
              <w:lastRenderedPageBreak/>
              <w:t>Ministerio de Hacienda</w:t>
            </w:r>
          </w:p>
        </w:tc>
      </w:tr>
      <w:tr w:rsidR="002E2480" w:rsidRPr="006D2C5E" w:rsidTr="006D2C5E">
        <w:trPr>
          <w:trHeight w:val="269"/>
        </w:trPr>
        <w:tc>
          <w:tcPr>
            <w:tcW w:w="2250" w:type="dxa"/>
            <w:vMerge/>
            <w:shd w:val="clear" w:color="auto" w:fill="auto"/>
          </w:tcPr>
          <w:p w:rsidR="002E2480" w:rsidRPr="006D2C5E" w:rsidRDefault="002E2480" w:rsidP="006D2C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2E2480" w:rsidRPr="006D2C5E" w:rsidRDefault="00F93FB5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>Suscripción</w:t>
            </w:r>
            <w:r w:rsidR="004778E8" w:rsidRPr="006D2C5E">
              <w:rPr>
                <w:rFonts w:ascii="Arial" w:hAnsi="Arial" w:cs="Arial"/>
                <w:sz w:val="20"/>
                <w:lang w:val="es-ES"/>
              </w:rPr>
              <w:t xml:space="preserve"> y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4778E8" w:rsidRPr="006D2C5E">
              <w:rPr>
                <w:rFonts w:ascii="Arial" w:hAnsi="Arial" w:cs="Arial"/>
                <w:sz w:val="20"/>
                <w:lang w:val="es-ES"/>
              </w:rPr>
              <w:t>entrada en vigencia de un Convenio de Colaboración entre la Dirección General de Obras Públicas del MOP y la Dirección de Compras y Contratación Pública</w:t>
            </w:r>
            <w:r w:rsidR="00B502C6" w:rsidRPr="006D2C5E">
              <w:rPr>
                <w:rFonts w:ascii="Arial" w:hAnsi="Arial" w:cs="Arial"/>
                <w:sz w:val="20"/>
                <w:lang w:val="es-ES"/>
              </w:rPr>
              <w:t xml:space="preserve"> (ChileCompra)</w:t>
            </w:r>
            <w:r w:rsidR="004778E8" w:rsidRPr="006D2C5E">
              <w:rPr>
                <w:rFonts w:ascii="Arial" w:hAnsi="Arial" w:cs="Arial"/>
                <w:sz w:val="20"/>
                <w:lang w:val="es-ES"/>
              </w:rPr>
              <w:t xml:space="preserve">, en el cual se establece la implementación de una plataforma que </w:t>
            </w:r>
            <w:r w:rsidR="00C00E71" w:rsidRPr="0058371A">
              <w:rPr>
                <w:rFonts w:ascii="Arial" w:hAnsi="Arial" w:cs="Arial"/>
                <w:sz w:val="20"/>
                <w:lang w:val="es-ES"/>
              </w:rPr>
              <w:t xml:space="preserve">permite </w:t>
            </w:r>
            <w:r w:rsidR="004778E8" w:rsidRPr="0058371A">
              <w:rPr>
                <w:rFonts w:ascii="Arial" w:hAnsi="Arial" w:cs="Arial"/>
                <w:sz w:val="20"/>
                <w:lang w:val="es-ES"/>
              </w:rPr>
              <w:t xml:space="preserve">el registro </w:t>
            </w:r>
            <w:r w:rsidR="0058371A">
              <w:rPr>
                <w:rFonts w:ascii="Arial" w:hAnsi="Arial" w:cs="Arial"/>
                <w:sz w:val="20"/>
                <w:lang w:val="es-ES"/>
              </w:rPr>
              <w:t xml:space="preserve">en línea </w:t>
            </w:r>
            <w:r w:rsidR="004778E8" w:rsidRPr="0058371A">
              <w:rPr>
                <w:rFonts w:ascii="Arial" w:hAnsi="Arial" w:cs="Arial"/>
                <w:sz w:val="20"/>
                <w:lang w:val="es-ES"/>
              </w:rPr>
              <w:t xml:space="preserve">de contratistas y consultores </w:t>
            </w:r>
            <w:r w:rsidR="003A3D8A" w:rsidRPr="0058371A">
              <w:rPr>
                <w:rFonts w:ascii="Arial" w:hAnsi="Arial" w:cs="Arial"/>
                <w:sz w:val="20"/>
                <w:lang w:val="es-ES"/>
              </w:rPr>
              <w:t>del MOP,</w:t>
            </w:r>
            <w:r w:rsidR="003A3D8A" w:rsidRPr="006D2C5E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4778E8" w:rsidRPr="006D2C5E">
              <w:rPr>
                <w:rFonts w:ascii="Arial" w:hAnsi="Arial" w:cs="Arial"/>
                <w:sz w:val="20"/>
                <w:lang w:val="es-ES"/>
              </w:rPr>
              <w:t>en línea con la estrategia de</w:t>
            </w:r>
            <w:r w:rsidR="003A3D8A" w:rsidRPr="006D2C5E">
              <w:rPr>
                <w:rFonts w:ascii="Arial" w:hAnsi="Arial" w:cs="Arial"/>
                <w:sz w:val="20"/>
                <w:lang w:val="es-ES"/>
              </w:rPr>
              <w:t xml:space="preserve"> éste</w:t>
            </w:r>
            <w:r w:rsidR="004778E8" w:rsidRPr="006D2C5E">
              <w:rPr>
                <w:rFonts w:ascii="Arial" w:hAnsi="Arial" w:cs="Arial"/>
                <w:sz w:val="20"/>
                <w:lang w:val="es-ES"/>
              </w:rPr>
              <w:t xml:space="preserve"> de transparentar sus relaciones con sus contratistas y proveedores.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2E2480" w:rsidRPr="006D2C5E" w:rsidRDefault="00595B6C" w:rsidP="00FF271E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_tradnl"/>
              </w:rPr>
              <w:t xml:space="preserve">Copia del Convenio de </w:t>
            </w:r>
            <w:r w:rsidR="002272EC" w:rsidRPr="006D2C5E">
              <w:rPr>
                <w:rFonts w:ascii="Arial" w:hAnsi="Arial" w:cs="Arial"/>
                <w:sz w:val="20"/>
                <w:lang w:val="es-ES_tradnl"/>
              </w:rPr>
              <w:t>C</w:t>
            </w:r>
            <w:r w:rsidRPr="006D2C5E">
              <w:rPr>
                <w:rFonts w:ascii="Arial" w:hAnsi="Arial" w:cs="Arial"/>
                <w:sz w:val="20"/>
                <w:lang w:val="es-ES_tradnl"/>
              </w:rPr>
              <w:t xml:space="preserve">olaboración </w:t>
            </w:r>
            <w:r w:rsidRPr="006D2C5E">
              <w:rPr>
                <w:rFonts w:ascii="Arial" w:hAnsi="Arial" w:cs="Arial"/>
                <w:sz w:val="20"/>
                <w:lang w:val="es-ES"/>
              </w:rPr>
              <w:t>entre la Dirección General de Obras Públicas del MOP y la Dirección de Compras y Contratación Pública suscrito</w:t>
            </w:r>
            <w:r w:rsidR="00101380" w:rsidRPr="006D2C5E">
              <w:rPr>
                <w:rFonts w:ascii="Arial" w:hAnsi="Arial" w:cs="Arial"/>
                <w:sz w:val="20"/>
                <w:lang w:val="es-ES"/>
              </w:rPr>
              <w:t xml:space="preserve">; </w:t>
            </w:r>
            <w:r w:rsidR="00C36DA1" w:rsidRPr="006D2C5E">
              <w:rPr>
                <w:rFonts w:ascii="Arial" w:hAnsi="Arial" w:cs="Arial"/>
                <w:sz w:val="20"/>
                <w:lang w:val="es-ES_tradnl"/>
              </w:rPr>
              <w:t xml:space="preserve">y </w:t>
            </w:r>
            <w:r w:rsidR="00101380" w:rsidRPr="006D2C5E">
              <w:rPr>
                <w:rFonts w:ascii="Arial" w:hAnsi="Arial" w:cs="Arial"/>
                <w:sz w:val="20"/>
                <w:lang w:val="es-ES_tradnl"/>
              </w:rPr>
              <w:t>copia de los actos administrativos mediante los cuales se aprueba dicho Convenio.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2E2480" w:rsidRPr="006D2C5E" w:rsidRDefault="00DA0BD0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Ministerio de Obras Públicas</w:t>
            </w:r>
          </w:p>
          <w:p w:rsidR="00101380" w:rsidRPr="006D2C5E" w:rsidRDefault="00101380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  <w:p w:rsidR="00101380" w:rsidRPr="006D2C5E" w:rsidRDefault="00101380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Dirección de Compras y Contratación Pública</w:t>
            </w:r>
          </w:p>
        </w:tc>
      </w:tr>
      <w:tr w:rsidR="009C2C1A" w:rsidRPr="006D2C5E" w:rsidTr="006D2C5E">
        <w:trPr>
          <w:trHeight w:val="269"/>
        </w:trPr>
        <w:tc>
          <w:tcPr>
            <w:tcW w:w="2250" w:type="dxa"/>
            <w:vMerge/>
            <w:shd w:val="clear" w:color="auto" w:fill="auto"/>
          </w:tcPr>
          <w:p w:rsidR="009C2C1A" w:rsidRPr="006D2C5E" w:rsidRDefault="009C2C1A" w:rsidP="006D2C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595B6C" w:rsidRPr="006D2C5E" w:rsidRDefault="009A1D70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(i) </w:t>
            </w:r>
            <w:r w:rsidR="00A3748E" w:rsidRPr="006D2C5E">
              <w:rPr>
                <w:rFonts w:ascii="Arial" w:hAnsi="Arial" w:cs="Arial"/>
                <w:sz w:val="20"/>
                <w:lang w:val="es-ES"/>
              </w:rPr>
              <w:t xml:space="preserve">Promulgación </w:t>
            </w:r>
            <w:r w:rsidR="00F27162">
              <w:rPr>
                <w:rFonts w:ascii="Arial" w:hAnsi="Arial" w:cs="Arial"/>
                <w:sz w:val="20"/>
                <w:lang w:val="es-ES"/>
              </w:rPr>
              <w:t xml:space="preserve">y publicación </w:t>
            </w:r>
            <w:r w:rsidR="00A3748E" w:rsidRPr="006D2C5E">
              <w:rPr>
                <w:rFonts w:ascii="Arial" w:hAnsi="Arial" w:cs="Arial"/>
                <w:sz w:val="20"/>
                <w:lang w:val="es-ES"/>
              </w:rPr>
              <w:t>de la Ley que “Crea la Comisión de Valores y Seguros”</w:t>
            </w:r>
            <w:r w:rsidR="00730D23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9C2C1A" w:rsidRPr="006D2C5E" w:rsidRDefault="009C2C1A" w:rsidP="00FF271E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9C2C1A" w:rsidRPr="00730D23" w:rsidRDefault="006B43A8" w:rsidP="00FF271E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Copia de 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 xml:space="preserve">la publicación </w:t>
            </w:r>
            <w:r w:rsidR="009C2C1A" w:rsidRPr="00730D23">
              <w:rPr>
                <w:rFonts w:ascii="Arial" w:hAnsi="Arial" w:cs="Arial"/>
                <w:sz w:val="20"/>
                <w:lang w:val="es-ES"/>
              </w:rPr>
              <w:t>en el Diario Oficial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 xml:space="preserve"> de la “Ley que crea la Comisión de Valores y Seguros”</w:t>
            </w:r>
            <w:r w:rsidR="00730D23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C2C1A" w:rsidRPr="006D2C5E" w:rsidRDefault="009C2C1A" w:rsidP="00FF271E">
            <w:pPr>
              <w:spacing w:before="40" w:after="40" w:line="240" w:lineRule="auto"/>
              <w:rPr>
                <w:rFonts w:ascii="Arial" w:hAnsi="Arial" w:cs="Arial"/>
                <w:vanish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Ministerio de Hacienda</w:t>
            </w:r>
          </w:p>
        </w:tc>
      </w:tr>
      <w:tr w:rsidR="009C2C1A" w:rsidRPr="006D2C5E" w:rsidTr="006D2C5E">
        <w:tc>
          <w:tcPr>
            <w:tcW w:w="2250" w:type="dxa"/>
            <w:vMerge/>
            <w:shd w:val="clear" w:color="auto" w:fill="auto"/>
          </w:tcPr>
          <w:p w:rsidR="009C2C1A" w:rsidRPr="006D2C5E" w:rsidRDefault="009C2C1A" w:rsidP="006D2C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3748E" w:rsidRPr="006D2C5E" w:rsidRDefault="00A3748E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_tradnl"/>
              </w:rPr>
              <w:t>Implementación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 de la </w:t>
            </w:r>
            <w:r w:rsidR="00C00E71" w:rsidRPr="00F54910">
              <w:rPr>
                <w:rFonts w:ascii="Arial" w:hAnsi="Arial" w:cs="Arial"/>
                <w:sz w:val="20"/>
                <w:lang w:val="es-ES"/>
              </w:rPr>
              <w:t>Ley No. 20.911</w:t>
            </w:r>
            <w:r w:rsidR="004C250B">
              <w:rPr>
                <w:rFonts w:ascii="Arial" w:hAnsi="Arial" w:cs="Arial"/>
                <w:sz w:val="20"/>
                <w:lang w:val="es-ES"/>
              </w:rPr>
              <w:t>,</w:t>
            </w:r>
            <w:r w:rsidR="00C00E71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“Ley que Crea el Plan de Formación Ciudadana para los </w:t>
            </w:r>
            <w:r w:rsidR="00C00E71">
              <w:rPr>
                <w:rFonts w:ascii="Arial" w:hAnsi="Arial" w:cs="Arial"/>
                <w:sz w:val="20"/>
                <w:lang w:val="es-ES"/>
              </w:rPr>
              <w:t>E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stablecimientos </w:t>
            </w:r>
            <w:r w:rsidR="00C00E71">
              <w:rPr>
                <w:rFonts w:ascii="Arial" w:hAnsi="Arial" w:cs="Arial"/>
                <w:sz w:val="20"/>
                <w:lang w:val="es-ES"/>
              </w:rPr>
              <w:t>E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ducacionales reconocidos por el Estado” </w:t>
            </w:r>
            <w:r w:rsidR="00B5263F" w:rsidRPr="006D2C5E">
              <w:rPr>
                <w:rFonts w:ascii="Arial" w:hAnsi="Arial" w:cs="Arial"/>
                <w:sz w:val="20"/>
                <w:lang w:val="es-ES"/>
              </w:rPr>
              <w:t>publicada en el Diari</w:t>
            </w:r>
            <w:r w:rsidR="00ED69C4" w:rsidRPr="006D2C5E">
              <w:rPr>
                <w:rFonts w:ascii="Arial" w:hAnsi="Arial" w:cs="Arial"/>
                <w:sz w:val="20"/>
                <w:lang w:val="es-ES"/>
              </w:rPr>
              <w:t>o Oficial el 2 de abril de 2016</w:t>
            </w:r>
            <w:r w:rsidR="00F54910">
              <w:rPr>
                <w:rFonts w:ascii="Arial" w:hAnsi="Arial" w:cs="Arial"/>
                <w:sz w:val="20"/>
                <w:lang w:val="es-ES"/>
              </w:rPr>
              <w:t xml:space="preserve"> a través de</w:t>
            </w:r>
            <w:r w:rsidRPr="006D2C5E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E75171" w:rsidRPr="006D2C5E" w:rsidRDefault="00E75171" w:rsidP="00FF271E">
            <w:pPr>
              <w:spacing w:before="40" w:after="40" w:line="240" w:lineRule="auto"/>
              <w:ind w:left="396"/>
              <w:jc w:val="both"/>
              <w:rPr>
                <w:rFonts w:ascii="Arial" w:hAnsi="Arial" w:cs="Arial"/>
                <w:sz w:val="20"/>
              </w:rPr>
            </w:pPr>
          </w:p>
          <w:p w:rsidR="00A3748E" w:rsidRPr="006D2C5E" w:rsidRDefault="00A3748E" w:rsidP="00FF271E">
            <w:pPr>
              <w:spacing w:before="40" w:after="40" w:line="240" w:lineRule="auto"/>
              <w:ind w:left="396"/>
              <w:jc w:val="both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(i)</w:t>
            </w:r>
            <w:r w:rsidR="00ED69C4" w:rsidRPr="006D2C5E">
              <w:rPr>
                <w:rFonts w:ascii="Arial" w:hAnsi="Arial" w:cs="Arial"/>
                <w:sz w:val="20"/>
              </w:rPr>
              <w:t xml:space="preserve"> </w:t>
            </w:r>
            <w:r w:rsidR="00F54910">
              <w:rPr>
                <w:rFonts w:ascii="Arial" w:hAnsi="Arial" w:cs="Arial"/>
                <w:sz w:val="20"/>
              </w:rPr>
              <w:t xml:space="preserve">emisión de </w:t>
            </w:r>
            <w:r w:rsidR="00ED69C4" w:rsidRPr="006D2C5E">
              <w:rPr>
                <w:rFonts w:ascii="Arial" w:hAnsi="Arial" w:cs="Arial"/>
                <w:sz w:val="20"/>
              </w:rPr>
              <w:t xml:space="preserve">orientaciones por parte del Ministerio de Educación (MINEDUC) a las Secretarias Regionales Ministeriales (SEREMIS) en materia curricular y en materia de formulación e implementación de los planes </w:t>
            </w:r>
            <w:r w:rsidR="00ED69C4" w:rsidRPr="006D2C5E">
              <w:rPr>
                <w:rFonts w:ascii="Arial" w:hAnsi="Arial" w:cs="Arial"/>
                <w:sz w:val="20"/>
              </w:rPr>
              <w:lastRenderedPageBreak/>
              <w:t>de formación ciudadana</w:t>
            </w:r>
            <w:r w:rsidRPr="006D2C5E">
              <w:rPr>
                <w:rFonts w:ascii="Arial" w:hAnsi="Arial" w:cs="Arial"/>
                <w:sz w:val="20"/>
              </w:rPr>
              <w:t>; y</w:t>
            </w:r>
          </w:p>
          <w:p w:rsidR="00A3748E" w:rsidRPr="006D2C5E" w:rsidRDefault="00A3748E" w:rsidP="00FF271E">
            <w:pPr>
              <w:pStyle w:val="ListParagraph"/>
              <w:spacing w:before="40" w:after="40"/>
              <w:ind w:left="3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9C2C1A" w:rsidRPr="006D2C5E" w:rsidRDefault="00A3748E" w:rsidP="00FF271E">
            <w:pPr>
              <w:spacing w:before="40" w:after="40" w:line="240" w:lineRule="auto"/>
              <w:ind w:left="396"/>
              <w:jc w:val="both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 xml:space="preserve">(ii) </w:t>
            </w:r>
            <w:r w:rsidR="00F54910">
              <w:rPr>
                <w:rFonts w:ascii="Arial" w:hAnsi="Arial" w:cs="Arial"/>
                <w:sz w:val="20"/>
              </w:rPr>
              <w:t xml:space="preserve">suscripción de </w:t>
            </w:r>
            <w:r w:rsidR="00D826B4">
              <w:rPr>
                <w:rFonts w:ascii="Arial" w:hAnsi="Arial" w:cs="Arial"/>
                <w:sz w:val="20"/>
              </w:rPr>
              <w:t xml:space="preserve">al menos </w:t>
            </w:r>
            <w:r w:rsidR="000A6B03">
              <w:rPr>
                <w:rFonts w:ascii="Arial" w:hAnsi="Arial" w:cs="Arial"/>
                <w:sz w:val="20"/>
              </w:rPr>
              <w:t xml:space="preserve">11 </w:t>
            </w:r>
            <w:r w:rsidRPr="006D2C5E">
              <w:rPr>
                <w:rFonts w:ascii="Arial" w:hAnsi="Arial" w:cs="Arial"/>
                <w:sz w:val="20"/>
              </w:rPr>
              <w:t xml:space="preserve">convenios de colaboración entre el </w:t>
            </w:r>
            <w:r w:rsidR="00B502C6" w:rsidRPr="006D2C5E">
              <w:rPr>
                <w:rFonts w:ascii="Arial" w:hAnsi="Arial" w:cs="Arial"/>
                <w:sz w:val="20"/>
              </w:rPr>
              <w:t>MINEDUC</w:t>
            </w:r>
            <w:r w:rsidRPr="006D2C5E">
              <w:rPr>
                <w:rFonts w:ascii="Arial" w:hAnsi="Arial" w:cs="Arial"/>
                <w:sz w:val="20"/>
              </w:rPr>
              <w:t xml:space="preserve"> e instituciones de educación superior para la implementación de un programa de capacitación para docentes en formación ciudadana.</w:t>
            </w:r>
          </w:p>
        </w:tc>
        <w:tc>
          <w:tcPr>
            <w:tcW w:w="4500" w:type="dxa"/>
            <w:shd w:val="clear" w:color="auto" w:fill="auto"/>
          </w:tcPr>
          <w:p w:rsidR="009C2C1A" w:rsidRPr="006D2C5E" w:rsidRDefault="00EA56B9" w:rsidP="00FF271E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lastRenderedPageBreak/>
              <w:t>(</w:t>
            </w:r>
            <w:r w:rsidR="00407C05" w:rsidRPr="006D2C5E">
              <w:rPr>
                <w:rFonts w:ascii="Arial" w:hAnsi="Arial" w:cs="Arial"/>
                <w:sz w:val="20"/>
                <w:lang w:val="es-ES"/>
              </w:rPr>
              <w:t>i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>Copia del oficio del Ministerio de Educación (MINEDUC) remitiendo a las Secretarias Regionales Ministeriales (SEREMIS) las orientaciones para la implementación de la ley que “Crea el Plan de Formación Ciudadana para los establecimientos educacionales reconocidos por el Estado</w:t>
            </w:r>
            <w:r w:rsidR="003F0CAD" w:rsidRPr="006D2C5E">
              <w:rPr>
                <w:rFonts w:ascii="Arial" w:hAnsi="Arial" w:cs="Arial"/>
                <w:sz w:val="20"/>
                <w:lang w:val="es-ES"/>
              </w:rPr>
              <w:t>7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 xml:space="preserve">, </w:t>
            </w:r>
            <w:r w:rsidR="009A1D70" w:rsidRPr="006D2C5E">
              <w:rPr>
                <w:rFonts w:ascii="Arial" w:hAnsi="Arial" w:cs="Arial"/>
                <w:sz w:val="20"/>
                <w:lang w:val="es-ES"/>
              </w:rPr>
              <w:t xml:space="preserve">publicada en el Diario Oficial el 2 de abril de 2016, 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>que incluya la lista de distribución</w:t>
            </w:r>
            <w:r w:rsidR="00303521" w:rsidRPr="006D2C5E">
              <w:rPr>
                <w:rFonts w:ascii="Arial" w:hAnsi="Arial" w:cs="Arial"/>
                <w:sz w:val="20"/>
                <w:lang w:val="es-ES"/>
              </w:rPr>
              <w:t>; y</w:t>
            </w:r>
          </w:p>
          <w:p w:rsidR="009C2C1A" w:rsidRPr="006D2C5E" w:rsidRDefault="009C2C1A" w:rsidP="00FF271E">
            <w:pPr>
              <w:pStyle w:val="ListParagraph"/>
              <w:spacing w:before="40" w:after="40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9C2C1A" w:rsidRPr="006D2C5E" w:rsidRDefault="00EA56B9" w:rsidP="00FF271E">
            <w:pPr>
              <w:pStyle w:val="ListParagraph"/>
              <w:spacing w:before="40" w:after="40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>(</w:t>
            </w:r>
            <w:r w:rsidR="00407C05" w:rsidRPr="006D2C5E">
              <w:rPr>
                <w:rFonts w:ascii="Arial" w:hAnsi="Arial" w:cs="Arial"/>
                <w:sz w:val="20"/>
                <w:lang w:val="es-ES"/>
              </w:rPr>
              <w:t>ii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 xml:space="preserve">Copia de </w:t>
            </w:r>
            <w:r w:rsidR="00EE2052">
              <w:rPr>
                <w:rFonts w:ascii="Arial" w:hAnsi="Arial" w:cs="Arial"/>
                <w:sz w:val="20"/>
                <w:lang w:val="es-ES"/>
              </w:rPr>
              <w:t xml:space="preserve">al menos 11 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 xml:space="preserve">convenios 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lastRenderedPageBreak/>
              <w:t>de colaboración suscritos entre el Ministerio de Educación e instituciones de educación superior para la implementación de un programa de capacitación para docentes en formación ciudadana</w:t>
            </w:r>
            <w:r w:rsidR="00684EF0" w:rsidRPr="006D2C5E">
              <w:rPr>
                <w:rFonts w:ascii="Arial" w:hAnsi="Arial" w:cs="Arial"/>
                <w:sz w:val="20"/>
                <w:lang w:val="es-ES"/>
              </w:rPr>
              <w:t xml:space="preserve">; </w:t>
            </w:r>
            <w:r w:rsidR="00684EF0" w:rsidRPr="006D2C5E">
              <w:rPr>
                <w:rFonts w:ascii="Arial" w:hAnsi="Arial" w:cs="Arial"/>
                <w:sz w:val="20"/>
                <w:lang w:val="es-ES_tradnl"/>
              </w:rPr>
              <w:t>y copia de los actos administrativos mediante los cuales se aprueba dicho Convenio</w:t>
            </w:r>
            <w:r w:rsidR="009C2C1A" w:rsidRPr="006D2C5E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2006" w:type="dxa"/>
            <w:shd w:val="clear" w:color="auto" w:fill="auto"/>
          </w:tcPr>
          <w:p w:rsidR="009C2C1A" w:rsidRPr="006D2C5E" w:rsidRDefault="009C2C1A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lastRenderedPageBreak/>
              <w:t>MINEDUC y SEGPRES</w:t>
            </w:r>
          </w:p>
        </w:tc>
      </w:tr>
      <w:tr w:rsidR="009C2C1A" w:rsidRPr="006D2C5E" w:rsidTr="006D2C5E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C2C1A" w:rsidRPr="006D2C5E" w:rsidRDefault="009C2C1A" w:rsidP="006D2C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C2C1A" w:rsidRPr="006D2C5E" w:rsidRDefault="00A3748E" w:rsidP="00FF271E">
            <w:pPr>
              <w:pStyle w:val="ListParagraph"/>
              <w:numPr>
                <w:ilvl w:val="1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 xml:space="preserve">Ingreso al Congreso Nacional del Mensaje del Ejecutivo con el que se inicia la tramitación de un proyecto de ley </w:t>
            </w:r>
            <w:r w:rsidR="00282A0E">
              <w:rPr>
                <w:rFonts w:ascii="Arial" w:hAnsi="Arial" w:cs="Arial"/>
                <w:sz w:val="20"/>
                <w:lang w:val="es-ES"/>
              </w:rPr>
              <w:t xml:space="preserve">que establece la </w:t>
            </w:r>
            <w:r w:rsidRPr="006D2C5E">
              <w:rPr>
                <w:rFonts w:ascii="Arial" w:hAnsi="Arial" w:cs="Arial"/>
                <w:sz w:val="20"/>
                <w:lang w:val="es-ES"/>
              </w:rPr>
              <w:t>Auditoría Interna de Gobierno</w:t>
            </w:r>
            <w:r w:rsidR="00E96B42">
              <w:rPr>
                <w:rFonts w:ascii="Arial" w:hAnsi="Arial" w:cs="Arial"/>
                <w:sz w:val="20"/>
                <w:lang w:val="es-ES"/>
              </w:rPr>
              <w:t>.</w:t>
            </w:r>
            <w:r w:rsidRPr="006D2C5E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9C2C1A" w:rsidRPr="006D2C5E" w:rsidRDefault="009C2C1A" w:rsidP="00450E0D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2C5E">
              <w:rPr>
                <w:rFonts w:ascii="Arial" w:hAnsi="Arial" w:cs="Arial"/>
                <w:sz w:val="20"/>
                <w:lang w:val="es-ES"/>
              </w:rPr>
              <w:t>Copia del Mensaje del Ejecutivo con el que se inicia la tramitación de un Proyecto de ley de Fortalecimiento del Consejo de Auditoría Interna de Gobierno, ingresado al Congreso Nacional.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C2C1A" w:rsidRPr="006D2C5E" w:rsidRDefault="009C2C1A" w:rsidP="00FF271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6D2C5E">
              <w:rPr>
                <w:rFonts w:ascii="Arial" w:hAnsi="Arial" w:cs="Arial"/>
                <w:sz w:val="20"/>
              </w:rPr>
              <w:t>SEGPRES</w:t>
            </w:r>
          </w:p>
        </w:tc>
      </w:tr>
    </w:tbl>
    <w:p w:rsidR="0084375C" w:rsidRPr="00B15305" w:rsidRDefault="0084375C" w:rsidP="00B15305">
      <w:pPr>
        <w:rPr>
          <w:sz w:val="2"/>
        </w:rPr>
      </w:pPr>
    </w:p>
    <w:sectPr w:rsidR="0084375C" w:rsidRPr="00B15305" w:rsidSect="00727F22">
      <w:headerReference w:type="even" r:id="rId11"/>
      <w:headerReference w:type="default" r:id="rId12"/>
      <w:pgSz w:w="15840" w:h="12240" w:orient="landscape" w:code="1"/>
      <w:pgMar w:top="144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1E" w:rsidRDefault="0041481E">
      <w:pPr>
        <w:spacing w:after="0" w:line="240" w:lineRule="auto"/>
      </w:pPr>
      <w:r>
        <w:separator/>
      </w:r>
    </w:p>
  </w:endnote>
  <w:endnote w:type="continuationSeparator" w:id="0">
    <w:p w:rsidR="0041481E" w:rsidRDefault="0041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1E" w:rsidRDefault="0041481E">
      <w:pPr>
        <w:spacing w:after="0" w:line="240" w:lineRule="auto"/>
      </w:pPr>
      <w:r>
        <w:separator/>
      </w:r>
    </w:p>
  </w:footnote>
  <w:footnote w:type="continuationSeparator" w:id="0">
    <w:p w:rsidR="0041481E" w:rsidRDefault="0041481E">
      <w:pPr>
        <w:spacing w:after="0" w:line="240" w:lineRule="auto"/>
      </w:pPr>
      <w:r>
        <w:continuationSeparator/>
      </w:r>
    </w:p>
  </w:footnote>
  <w:footnote w:id="1">
    <w:p w:rsidR="00C00E71" w:rsidRPr="00032569" w:rsidRDefault="00C00E71" w:rsidP="00032569">
      <w:pPr>
        <w:pStyle w:val="FootnoteText"/>
        <w:ind w:left="540" w:hanging="540"/>
        <w:rPr>
          <w:rFonts w:ascii="Arial" w:hAnsi="Arial" w:cs="Arial"/>
          <w:sz w:val="18"/>
          <w:szCs w:val="18"/>
          <w:lang w:val="es-ES_tradnl"/>
        </w:rPr>
      </w:pPr>
      <w:r w:rsidRPr="00032569">
        <w:rPr>
          <w:rStyle w:val="FootnoteReference"/>
          <w:rFonts w:ascii="Arial" w:hAnsi="Arial" w:cs="Arial"/>
          <w:sz w:val="18"/>
          <w:szCs w:val="18"/>
        </w:rPr>
        <w:footnoteRef/>
      </w:r>
      <w:r w:rsidRPr="00032569">
        <w:rPr>
          <w:rFonts w:ascii="Arial" w:hAnsi="Arial" w:cs="Arial"/>
          <w:sz w:val="18"/>
          <w:szCs w:val="18"/>
        </w:rPr>
        <w:t xml:space="preserve"> </w:t>
      </w:r>
      <w:r w:rsidRPr="00032569">
        <w:rPr>
          <w:rFonts w:ascii="Arial" w:hAnsi="Arial" w:cs="Arial"/>
          <w:sz w:val="18"/>
          <w:szCs w:val="18"/>
          <w:lang w:val="es-ES_tradnl"/>
        </w:rPr>
        <w:tab/>
        <w:t>De conformidad con la Ley 19.799 “</w:t>
      </w:r>
      <w:hyperlink r:id="rId1" w:history="1">
        <w:r w:rsidRPr="00032569">
          <w:rPr>
            <w:rStyle w:val="Hyperlink"/>
            <w:rFonts w:ascii="Arial" w:hAnsi="Arial" w:cs="Arial"/>
            <w:sz w:val="18"/>
            <w:szCs w:val="18"/>
            <w:lang w:val="es-ES_tradnl"/>
          </w:rPr>
          <w:t>Ley sobre documentos electrónicos, firma electrónica y servicios de certificación de dicha firma</w:t>
        </w:r>
      </w:hyperlink>
      <w:r w:rsidRPr="00032569">
        <w:rPr>
          <w:rFonts w:ascii="Arial" w:hAnsi="Arial" w:cs="Arial"/>
          <w:sz w:val="18"/>
          <w:szCs w:val="18"/>
          <w:lang w:val="es-ES_tradnl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22" w:rsidRPr="007836A1" w:rsidRDefault="00D81928" w:rsidP="00727F22">
    <w:pPr>
      <w:pStyle w:val="Header"/>
      <w:rPr>
        <w:rFonts w:ascii="Arial" w:hAnsi="Arial" w:cs="Arial"/>
        <w:sz w:val="18"/>
        <w:szCs w:val="18"/>
        <w:lang w:val="es-ES_tradnl"/>
      </w:rPr>
    </w:pPr>
    <w:r>
      <w:rPr>
        <w:rFonts w:ascii="Arial" w:hAnsi="Arial" w:cs="Arial"/>
        <w:sz w:val="18"/>
        <w:szCs w:val="18"/>
      </w:rPr>
      <w:t>Matriz de Medios de Verificación</w:t>
    </w:r>
    <w:r w:rsidR="00727F22">
      <w:rPr>
        <w:rFonts w:ascii="Arial" w:hAnsi="Arial" w:cs="Arial"/>
        <w:sz w:val="18"/>
        <w:szCs w:val="18"/>
      </w:rPr>
      <w:t xml:space="preserve"> - </w:t>
    </w:r>
    <w:r w:rsidR="00727F22" w:rsidRPr="007836A1">
      <w:rPr>
        <w:rFonts w:ascii="Arial" w:hAnsi="Arial" w:cs="Arial"/>
        <w:sz w:val="18"/>
        <w:szCs w:val="18"/>
        <w:lang w:val="es-ES_tradnl"/>
      </w:rPr>
      <w:t>CH-L1111</w:t>
    </w:r>
  </w:p>
  <w:p w:rsidR="00727F22" w:rsidRPr="00EA64B4" w:rsidRDefault="00727F22" w:rsidP="00727F22">
    <w:pPr>
      <w:pStyle w:val="Header"/>
      <w:rPr>
        <w:rFonts w:ascii="Arial" w:hAnsi="Arial" w:cs="Arial"/>
        <w:sz w:val="18"/>
        <w:szCs w:val="18"/>
        <w:lang w:val="pt-BR"/>
      </w:rPr>
    </w:pPr>
    <w:r w:rsidRPr="00EA64B4">
      <w:rPr>
        <w:rFonts w:ascii="Arial" w:hAnsi="Arial" w:cs="Arial"/>
        <w:sz w:val="18"/>
        <w:szCs w:val="18"/>
        <w:lang w:val="pt-BR"/>
      </w:rPr>
      <w:t xml:space="preserve">Página </w:t>
    </w:r>
    <w:r w:rsidRPr="00781160">
      <w:rPr>
        <w:rFonts w:ascii="Arial" w:hAnsi="Arial" w:cs="Arial"/>
        <w:bCs/>
        <w:sz w:val="18"/>
        <w:szCs w:val="18"/>
      </w:rPr>
      <w:fldChar w:fldCharType="begin"/>
    </w:r>
    <w:r w:rsidRPr="00EA64B4">
      <w:rPr>
        <w:rFonts w:ascii="Arial" w:hAnsi="Arial" w:cs="Arial"/>
        <w:bCs/>
        <w:sz w:val="18"/>
        <w:szCs w:val="18"/>
        <w:lang w:val="pt-BR"/>
      </w:rPr>
      <w:instrText xml:space="preserve"> PAGE </w:instrText>
    </w:r>
    <w:r w:rsidRPr="00781160">
      <w:rPr>
        <w:rFonts w:ascii="Arial" w:hAnsi="Arial" w:cs="Arial"/>
        <w:bCs/>
        <w:sz w:val="18"/>
        <w:szCs w:val="18"/>
      </w:rPr>
      <w:fldChar w:fldCharType="separate"/>
    </w:r>
    <w:r w:rsidR="00450E0D">
      <w:rPr>
        <w:rFonts w:ascii="Arial" w:hAnsi="Arial" w:cs="Arial"/>
        <w:bCs/>
        <w:noProof/>
        <w:sz w:val="18"/>
        <w:szCs w:val="18"/>
        <w:lang w:val="pt-BR"/>
      </w:rPr>
      <w:t>6</w:t>
    </w:r>
    <w:r w:rsidRPr="00781160">
      <w:rPr>
        <w:rFonts w:ascii="Arial" w:hAnsi="Arial" w:cs="Arial"/>
        <w:bCs/>
        <w:sz w:val="18"/>
        <w:szCs w:val="18"/>
      </w:rPr>
      <w:fldChar w:fldCharType="end"/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>
      <w:rPr>
        <w:rFonts w:ascii="Arial" w:hAnsi="Arial" w:cs="Arial"/>
        <w:sz w:val="18"/>
        <w:szCs w:val="18"/>
        <w:lang w:val="pt-BR"/>
      </w:rPr>
      <w:t>de</w:t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 w:rsidRPr="00781160">
      <w:rPr>
        <w:rFonts w:ascii="Arial" w:hAnsi="Arial" w:cs="Arial"/>
        <w:bCs/>
        <w:sz w:val="18"/>
        <w:szCs w:val="18"/>
      </w:rPr>
      <w:fldChar w:fldCharType="begin"/>
    </w:r>
    <w:r w:rsidRPr="00EA64B4">
      <w:rPr>
        <w:rFonts w:ascii="Arial" w:hAnsi="Arial" w:cs="Arial"/>
        <w:bCs/>
        <w:sz w:val="18"/>
        <w:szCs w:val="18"/>
        <w:lang w:val="pt-BR"/>
      </w:rPr>
      <w:instrText xml:space="preserve"> NUMPAGES  </w:instrText>
    </w:r>
    <w:r w:rsidRPr="00781160">
      <w:rPr>
        <w:rFonts w:ascii="Arial" w:hAnsi="Arial" w:cs="Arial"/>
        <w:bCs/>
        <w:sz w:val="18"/>
        <w:szCs w:val="18"/>
      </w:rPr>
      <w:fldChar w:fldCharType="separate"/>
    </w:r>
    <w:r w:rsidR="00450E0D">
      <w:rPr>
        <w:rFonts w:ascii="Arial" w:hAnsi="Arial" w:cs="Arial"/>
        <w:bCs/>
        <w:noProof/>
        <w:sz w:val="18"/>
        <w:szCs w:val="18"/>
        <w:lang w:val="pt-BR"/>
      </w:rPr>
      <w:t>6</w:t>
    </w:r>
    <w:r w:rsidRPr="00781160">
      <w:rPr>
        <w:rFonts w:ascii="Arial" w:hAnsi="Arial" w:cs="Arial"/>
        <w:bCs/>
        <w:sz w:val="18"/>
        <w:szCs w:val="18"/>
      </w:rPr>
      <w:fldChar w:fldCharType="end"/>
    </w:r>
  </w:p>
  <w:p w:rsidR="00C577B5" w:rsidRDefault="00C57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8C" w:rsidRPr="00D81928" w:rsidRDefault="00D81928" w:rsidP="00D0148C">
    <w:pPr>
      <w:pStyle w:val="Header"/>
      <w:jc w:val="right"/>
      <w:rPr>
        <w:rFonts w:ascii="Arial" w:hAnsi="Arial" w:cs="Arial"/>
        <w:sz w:val="18"/>
        <w:szCs w:val="18"/>
        <w:lang w:val="es-ES_tradnl"/>
      </w:rPr>
    </w:pPr>
    <w:r>
      <w:rPr>
        <w:rFonts w:ascii="Arial" w:hAnsi="Arial" w:cs="Arial"/>
        <w:sz w:val="18"/>
        <w:szCs w:val="18"/>
      </w:rPr>
      <w:t>Matriz de Medios de Verificación</w:t>
    </w:r>
    <w:r w:rsidR="00C577B5">
      <w:rPr>
        <w:rFonts w:ascii="Arial" w:hAnsi="Arial" w:cs="Arial"/>
        <w:sz w:val="18"/>
        <w:szCs w:val="18"/>
      </w:rPr>
      <w:t xml:space="preserve"> - </w:t>
    </w:r>
    <w:r w:rsidR="00293EBE" w:rsidRPr="00D81928">
      <w:rPr>
        <w:rFonts w:ascii="Arial" w:hAnsi="Arial" w:cs="Arial"/>
        <w:sz w:val="18"/>
        <w:szCs w:val="18"/>
        <w:lang w:val="es-ES_tradnl"/>
      </w:rPr>
      <w:t>CH-L111</w:t>
    </w:r>
    <w:r w:rsidR="00112581" w:rsidRPr="00D81928">
      <w:rPr>
        <w:rFonts w:ascii="Arial" w:hAnsi="Arial" w:cs="Arial"/>
        <w:sz w:val="18"/>
        <w:szCs w:val="18"/>
        <w:lang w:val="es-ES_tradnl"/>
      </w:rPr>
      <w:t>1</w:t>
    </w:r>
  </w:p>
  <w:p w:rsidR="00D0148C" w:rsidRPr="00EA64B4" w:rsidRDefault="00293EBE" w:rsidP="00D0148C">
    <w:pPr>
      <w:pStyle w:val="Header"/>
      <w:jc w:val="right"/>
      <w:rPr>
        <w:rFonts w:ascii="Arial" w:hAnsi="Arial" w:cs="Arial"/>
        <w:sz w:val="18"/>
        <w:szCs w:val="18"/>
        <w:lang w:val="pt-BR"/>
      </w:rPr>
    </w:pPr>
    <w:r w:rsidRPr="00D81928">
      <w:rPr>
        <w:rFonts w:ascii="Arial" w:hAnsi="Arial" w:cs="Arial"/>
        <w:sz w:val="18"/>
        <w:szCs w:val="18"/>
        <w:lang w:val="es-ES_tradnl"/>
      </w:rPr>
      <w:t xml:space="preserve">Página </w:t>
    </w:r>
    <w:r w:rsidRPr="00781160">
      <w:rPr>
        <w:rFonts w:ascii="Arial" w:hAnsi="Arial" w:cs="Arial"/>
        <w:bCs/>
        <w:sz w:val="18"/>
        <w:szCs w:val="18"/>
      </w:rPr>
      <w:fldChar w:fldCharType="begin"/>
    </w:r>
    <w:r w:rsidRPr="00EA64B4">
      <w:rPr>
        <w:rFonts w:ascii="Arial" w:hAnsi="Arial" w:cs="Arial"/>
        <w:bCs/>
        <w:sz w:val="18"/>
        <w:szCs w:val="18"/>
        <w:lang w:val="pt-BR"/>
      </w:rPr>
      <w:instrText xml:space="preserve"> PAGE </w:instrText>
    </w:r>
    <w:r w:rsidRPr="00781160">
      <w:rPr>
        <w:rFonts w:ascii="Arial" w:hAnsi="Arial" w:cs="Arial"/>
        <w:bCs/>
        <w:sz w:val="18"/>
        <w:szCs w:val="18"/>
      </w:rPr>
      <w:fldChar w:fldCharType="separate"/>
    </w:r>
    <w:r w:rsidR="00450E0D">
      <w:rPr>
        <w:rFonts w:ascii="Arial" w:hAnsi="Arial" w:cs="Arial"/>
        <w:bCs/>
        <w:noProof/>
        <w:sz w:val="18"/>
        <w:szCs w:val="18"/>
        <w:lang w:val="pt-BR"/>
      </w:rPr>
      <w:t>1</w:t>
    </w:r>
    <w:r w:rsidRPr="00781160">
      <w:rPr>
        <w:rFonts w:ascii="Arial" w:hAnsi="Arial" w:cs="Arial"/>
        <w:bCs/>
        <w:sz w:val="18"/>
        <w:szCs w:val="18"/>
      </w:rPr>
      <w:fldChar w:fldCharType="end"/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>
      <w:rPr>
        <w:rFonts w:ascii="Arial" w:hAnsi="Arial" w:cs="Arial"/>
        <w:sz w:val="18"/>
        <w:szCs w:val="18"/>
        <w:lang w:val="pt-BR"/>
      </w:rPr>
      <w:t>de</w:t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 w:rsidRPr="00781160">
      <w:rPr>
        <w:rFonts w:ascii="Arial" w:hAnsi="Arial" w:cs="Arial"/>
        <w:bCs/>
        <w:sz w:val="18"/>
        <w:szCs w:val="18"/>
      </w:rPr>
      <w:fldChar w:fldCharType="begin"/>
    </w:r>
    <w:r w:rsidRPr="00EA64B4">
      <w:rPr>
        <w:rFonts w:ascii="Arial" w:hAnsi="Arial" w:cs="Arial"/>
        <w:bCs/>
        <w:sz w:val="18"/>
        <w:szCs w:val="18"/>
        <w:lang w:val="pt-BR"/>
      </w:rPr>
      <w:instrText xml:space="preserve"> NUMPAGES  </w:instrText>
    </w:r>
    <w:r w:rsidRPr="00781160">
      <w:rPr>
        <w:rFonts w:ascii="Arial" w:hAnsi="Arial" w:cs="Arial"/>
        <w:bCs/>
        <w:sz w:val="18"/>
        <w:szCs w:val="18"/>
      </w:rPr>
      <w:fldChar w:fldCharType="separate"/>
    </w:r>
    <w:r w:rsidR="00450E0D">
      <w:rPr>
        <w:rFonts w:ascii="Arial" w:hAnsi="Arial" w:cs="Arial"/>
        <w:bCs/>
        <w:noProof/>
        <w:sz w:val="18"/>
        <w:szCs w:val="18"/>
        <w:lang w:val="pt-BR"/>
      </w:rPr>
      <w:t>6</w:t>
    </w:r>
    <w:r w:rsidRPr="00781160">
      <w:rPr>
        <w:rFonts w:ascii="Arial" w:hAnsi="Arial" w:cs="Arial"/>
        <w:bCs/>
        <w:sz w:val="18"/>
        <w:szCs w:val="18"/>
      </w:rPr>
      <w:fldChar w:fldCharType="end"/>
    </w:r>
  </w:p>
  <w:p w:rsidR="00D0148C" w:rsidRPr="00B443A5" w:rsidRDefault="00D0148C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0C8"/>
    <w:multiLevelType w:val="multilevel"/>
    <w:tmpl w:val="6BAE88D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932278"/>
    <w:multiLevelType w:val="hybridMultilevel"/>
    <w:tmpl w:val="955ECE88"/>
    <w:lvl w:ilvl="0" w:tplc="79EA97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F21F7"/>
    <w:multiLevelType w:val="hybridMultilevel"/>
    <w:tmpl w:val="6736DC3C"/>
    <w:lvl w:ilvl="0" w:tplc="C3FE92A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90375D"/>
    <w:multiLevelType w:val="hybridMultilevel"/>
    <w:tmpl w:val="7738105A"/>
    <w:lvl w:ilvl="0" w:tplc="2EEECBA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615CE9"/>
    <w:multiLevelType w:val="hybridMultilevel"/>
    <w:tmpl w:val="6A743C14"/>
    <w:lvl w:ilvl="0" w:tplc="595238B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613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DA709B"/>
    <w:multiLevelType w:val="multilevel"/>
    <w:tmpl w:val="8CCE65E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794D0E"/>
    <w:multiLevelType w:val="hybridMultilevel"/>
    <w:tmpl w:val="B01CCD30"/>
    <w:lvl w:ilvl="0" w:tplc="C3FE92A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417E9"/>
    <w:multiLevelType w:val="multilevel"/>
    <w:tmpl w:val="8CCE65E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4B73DD"/>
    <w:multiLevelType w:val="hybridMultilevel"/>
    <w:tmpl w:val="55A054E0"/>
    <w:lvl w:ilvl="0" w:tplc="2EEECB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25F1D"/>
    <w:multiLevelType w:val="multilevel"/>
    <w:tmpl w:val="8CCE65E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DF38DE"/>
    <w:multiLevelType w:val="hybridMultilevel"/>
    <w:tmpl w:val="CD1E9006"/>
    <w:lvl w:ilvl="0" w:tplc="E57A013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28"/>
    <w:rsid w:val="00006F17"/>
    <w:rsid w:val="000272E5"/>
    <w:rsid w:val="00027D15"/>
    <w:rsid w:val="00031344"/>
    <w:rsid w:val="00032569"/>
    <w:rsid w:val="00033DCB"/>
    <w:rsid w:val="00041C76"/>
    <w:rsid w:val="0004483F"/>
    <w:rsid w:val="00045F2C"/>
    <w:rsid w:val="0005114C"/>
    <w:rsid w:val="00051B01"/>
    <w:rsid w:val="00054185"/>
    <w:rsid w:val="0006573C"/>
    <w:rsid w:val="00067D62"/>
    <w:rsid w:val="000703B6"/>
    <w:rsid w:val="00071CE1"/>
    <w:rsid w:val="0007292B"/>
    <w:rsid w:val="00072B30"/>
    <w:rsid w:val="00081A33"/>
    <w:rsid w:val="00083629"/>
    <w:rsid w:val="00087B8D"/>
    <w:rsid w:val="00094306"/>
    <w:rsid w:val="000A0BF5"/>
    <w:rsid w:val="000A1480"/>
    <w:rsid w:val="000A38D9"/>
    <w:rsid w:val="000A6B03"/>
    <w:rsid w:val="000B5748"/>
    <w:rsid w:val="000C0898"/>
    <w:rsid w:val="000C29ED"/>
    <w:rsid w:val="000C714C"/>
    <w:rsid w:val="000D4DFB"/>
    <w:rsid w:val="00100426"/>
    <w:rsid w:val="00101380"/>
    <w:rsid w:val="00111D7C"/>
    <w:rsid w:val="00112581"/>
    <w:rsid w:val="001217BB"/>
    <w:rsid w:val="00123645"/>
    <w:rsid w:val="00123DE5"/>
    <w:rsid w:val="001440E1"/>
    <w:rsid w:val="001441F8"/>
    <w:rsid w:val="0014749F"/>
    <w:rsid w:val="00160ED1"/>
    <w:rsid w:val="00171900"/>
    <w:rsid w:val="001737D3"/>
    <w:rsid w:val="00174251"/>
    <w:rsid w:val="00177F14"/>
    <w:rsid w:val="0018038E"/>
    <w:rsid w:val="00182062"/>
    <w:rsid w:val="001907B9"/>
    <w:rsid w:val="00190A30"/>
    <w:rsid w:val="0019113E"/>
    <w:rsid w:val="0019121C"/>
    <w:rsid w:val="001A4C6A"/>
    <w:rsid w:val="001A58E0"/>
    <w:rsid w:val="001A70CC"/>
    <w:rsid w:val="001A71B3"/>
    <w:rsid w:val="001B0FC0"/>
    <w:rsid w:val="001B23FE"/>
    <w:rsid w:val="001B738A"/>
    <w:rsid w:val="001C0067"/>
    <w:rsid w:val="001C1CD1"/>
    <w:rsid w:val="001C2901"/>
    <w:rsid w:val="001C37CD"/>
    <w:rsid w:val="001C6133"/>
    <w:rsid w:val="001F25AE"/>
    <w:rsid w:val="001F2AB3"/>
    <w:rsid w:val="00205227"/>
    <w:rsid w:val="002070A9"/>
    <w:rsid w:val="00207CC6"/>
    <w:rsid w:val="00210E7A"/>
    <w:rsid w:val="0021519F"/>
    <w:rsid w:val="002231B2"/>
    <w:rsid w:val="00224C85"/>
    <w:rsid w:val="002272EC"/>
    <w:rsid w:val="00233AEC"/>
    <w:rsid w:val="00236694"/>
    <w:rsid w:val="00244BFC"/>
    <w:rsid w:val="00252AE8"/>
    <w:rsid w:val="002632BD"/>
    <w:rsid w:val="00267032"/>
    <w:rsid w:val="00270839"/>
    <w:rsid w:val="00280645"/>
    <w:rsid w:val="00282A0E"/>
    <w:rsid w:val="0029397C"/>
    <w:rsid w:val="00293EBE"/>
    <w:rsid w:val="00296C44"/>
    <w:rsid w:val="002B1A33"/>
    <w:rsid w:val="002B4622"/>
    <w:rsid w:val="002C1834"/>
    <w:rsid w:val="002C1920"/>
    <w:rsid w:val="002D1BE9"/>
    <w:rsid w:val="002D2997"/>
    <w:rsid w:val="002E1860"/>
    <w:rsid w:val="002E2480"/>
    <w:rsid w:val="002E579B"/>
    <w:rsid w:val="002E7DC2"/>
    <w:rsid w:val="002F6CA7"/>
    <w:rsid w:val="00301A49"/>
    <w:rsid w:val="00302EAD"/>
    <w:rsid w:val="00303521"/>
    <w:rsid w:val="00310882"/>
    <w:rsid w:val="00323D10"/>
    <w:rsid w:val="003317C5"/>
    <w:rsid w:val="00334E51"/>
    <w:rsid w:val="003410D1"/>
    <w:rsid w:val="003464B3"/>
    <w:rsid w:val="00352759"/>
    <w:rsid w:val="0035645C"/>
    <w:rsid w:val="00362F76"/>
    <w:rsid w:val="0036494D"/>
    <w:rsid w:val="00366883"/>
    <w:rsid w:val="00371082"/>
    <w:rsid w:val="00372160"/>
    <w:rsid w:val="00373BDC"/>
    <w:rsid w:val="00376429"/>
    <w:rsid w:val="00385381"/>
    <w:rsid w:val="003A0579"/>
    <w:rsid w:val="003A0C9D"/>
    <w:rsid w:val="003A2DC8"/>
    <w:rsid w:val="003A3D8A"/>
    <w:rsid w:val="003A4F68"/>
    <w:rsid w:val="003B2F94"/>
    <w:rsid w:val="003B6654"/>
    <w:rsid w:val="003C05B5"/>
    <w:rsid w:val="003C0BA6"/>
    <w:rsid w:val="003E56C1"/>
    <w:rsid w:val="003E77C4"/>
    <w:rsid w:val="003F06CB"/>
    <w:rsid w:val="003F0CAD"/>
    <w:rsid w:val="003F7049"/>
    <w:rsid w:val="00401D0C"/>
    <w:rsid w:val="004037E7"/>
    <w:rsid w:val="004049E4"/>
    <w:rsid w:val="00407C05"/>
    <w:rsid w:val="00407FD7"/>
    <w:rsid w:val="0041481E"/>
    <w:rsid w:val="00414EBC"/>
    <w:rsid w:val="0041719C"/>
    <w:rsid w:val="00422479"/>
    <w:rsid w:val="00423367"/>
    <w:rsid w:val="00426564"/>
    <w:rsid w:val="00431E4E"/>
    <w:rsid w:val="00433529"/>
    <w:rsid w:val="00433F52"/>
    <w:rsid w:val="00443BA5"/>
    <w:rsid w:val="00450E0D"/>
    <w:rsid w:val="00453B1C"/>
    <w:rsid w:val="00464141"/>
    <w:rsid w:val="004702EF"/>
    <w:rsid w:val="0047401E"/>
    <w:rsid w:val="004778E8"/>
    <w:rsid w:val="00480C06"/>
    <w:rsid w:val="00486BC5"/>
    <w:rsid w:val="004943AF"/>
    <w:rsid w:val="004A6D1F"/>
    <w:rsid w:val="004B73B4"/>
    <w:rsid w:val="004C23EA"/>
    <w:rsid w:val="004C250B"/>
    <w:rsid w:val="004C5543"/>
    <w:rsid w:val="004D0B90"/>
    <w:rsid w:val="004D1A6C"/>
    <w:rsid w:val="004D1C90"/>
    <w:rsid w:val="004D35CD"/>
    <w:rsid w:val="004D4A5D"/>
    <w:rsid w:val="004D51D2"/>
    <w:rsid w:val="004E0FA1"/>
    <w:rsid w:val="004F2179"/>
    <w:rsid w:val="004F2E73"/>
    <w:rsid w:val="004F65C9"/>
    <w:rsid w:val="00504D88"/>
    <w:rsid w:val="00507A38"/>
    <w:rsid w:val="0052282A"/>
    <w:rsid w:val="00530CF8"/>
    <w:rsid w:val="0054753E"/>
    <w:rsid w:val="0055452B"/>
    <w:rsid w:val="00556369"/>
    <w:rsid w:val="00560675"/>
    <w:rsid w:val="00563F49"/>
    <w:rsid w:val="0056781D"/>
    <w:rsid w:val="00576A02"/>
    <w:rsid w:val="005831C5"/>
    <w:rsid w:val="0058371A"/>
    <w:rsid w:val="0058390A"/>
    <w:rsid w:val="005851FD"/>
    <w:rsid w:val="005951E8"/>
    <w:rsid w:val="00595B6C"/>
    <w:rsid w:val="005A0282"/>
    <w:rsid w:val="005A37FE"/>
    <w:rsid w:val="005B1F9E"/>
    <w:rsid w:val="005B2798"/>
    <w:rsid w:val="005B3C28"/>
    <w:rsid w:val="005B656E"/>
    <w:rsid w:val="005C68E2"/>
    <w:rsid w:val="005D5823"/>
    <w:rsid w:val="005D6BFE"/>
    <w:rsid w:val="005E5DA0"/>
    <w:rsid w:val="006048D2"/>
    <w:rsid w:val="00605441"/>
    <w:rsid w:val="00614E59"/>
    <w:rsid w:val="006158E2"/>
    <w:rsid w:val="0062145F"/>
    <w:rsid w:val="0062411A"/>
    <w:rsid w:val="006252AB"/>
    <w:rsid w:val="00626466"/>
    <w:rsid w:val="00627E84"/>
    <w:rsid w:val="00631FEB"/>
    <w:rsid w:val="00633DF2"/>
    <w:rsid w:val="00637167"/>
    <w:rsid w:val="0064491E"/>
    <w:rsid w:val="00645DAE"/>
    <w:rsid w:val="006471C6"/>
    <w:rsid w:val="00653010"/>
    <w:rsid w:val="00655F63"/>
    <w:rsid w:val="00661E40"/>
    <w:rsid w:val="0066291D"/>
    <w:rsid w:val="00671664"/>
    <w:rsid w:val="00674473"/>
    <w:rsid w:val="006759BF"/>
    <w:rsid w:val="00684EF0"/>
    <w:rsid w:val="00692179"/>
    <w:rsid w:val="006A39AC"/>
    <w:rsid w:val="006A6DEE"/>
    <w:rsid w:val="006B43A8"/>
    <w:rsid w:val="006B7B7A"/>
    <w:rsid w:val="006C2BB8"/>
    <w:rsid w:val="006C5AA0"/>
    <w:rsid w:val="006D2C5E"/>
    <w:rsid w:val="006D62C6"/>
    <w:rsid w:val="006D72E5"/>
    <w:rsid w:val="006F75C6"/>
    <w:rsid w:val="00701ABF"/>
    <w:rsid w:val="007026A9"/>
    <w:rsid w:val="00702DA7"/>
    <w:rsid w:val="00705209"/>
    <w:rsid w:val="0070598F"/>
    <w:rsid w:val="00705CCF"/>
    <w:rsid w:val="00715E9A"/>
    <w:rsid w:val="007172EC"/>
    <w:rsid w:val="00727F22"/>
    <w:rsid w:val="00730D23"/>
    <w:rsid w:val="00750F2B"/>
    <w:rsid w:val="00755AD0"/>
    <w:rsid w:val="00760635"/>
    <w:rsid w:val="00766927"/>
    <w:rsid w:val="00767E5A"/>
    <w:rsid w:val="007761A2"/>
    <w:rsid w:val="007818CC"/>
    <w:rsid w:val="007836A1"/>
    <w:rsid w:val="00786BDB"/>
    <w:rsid w:val="0079159D"/>
    <w:rsid w:val="007928C6"/>
    <w:rsid w:val="00792B5C"/>
    <w:rsid w:val="00793C64"/>
    <w:rsid w:val="007964C8"/>
    <w:rsid w:val="007A43F5"/>
    <w:rsid w:val="007A4839"/>
    <w:rsid w:val="007A4C76"/>
    <w:rsid w:val="007A7816"/>
    <w:rsid w:val="007A7BAF"/>
    <w:rsid w:val="007B0860"/>
    <w:rsid w:val="007B3560"/>
    <w:rsid w:val="007C06A6"/>
    <w:rsid w:val="007D4D69"/>
    <w:rsid w:val="007E048A"/>
    <w:rsid w:val="007E68CF"/>
    <w:rsid w:val="007F2557"/>
    <w:rsid w:val="007F29D0"/>
    <w:rsid w:val="007F794E"/>
    <w:rsid w:val="0080364C"/>
    <w:rsid w:val="0080414A"/>
    <w:rsid w:val="008124D4"/>
    <w:rsid w:val="008225B2"/>
    <w:rsid w:val="008273A2"/>
    <w:rsid w:val="00833372"/>
    <w:rsid w:val="00834F85"/>
    <w:rsid w:val="008363F2"/>
    <w:rsid w:val="008428FF"/>
    <w:rsid w:val="0084375C"/>
    <w:rsid w:val="008451C3"/>
    <w:rsid w:val="0085090E"/>
    <w:rsid w:val="00852F0A"/>
    <w:rsid w:val="0085442E"/>
    <w:rsid w:val="0086001E"/>
    <w:rsid w:val="008606F0"/>
    <w:rsid w:val="00866152"/>
    <w:rsid w:val="00874A39"/>
    <w:rsid w:val="00884498"/>
    <w:rsid w:val="00887F72"/>
    <w:rsid w:val="00890A4A"/>
    <w:rsid w:val="0089331C"/>
    <w:rsid w:val="008951FE"/>
    <w:rsid w:val="008A21C4"/>
    <w:rsid w:val="008A61B1"/>
    <w:rsid w:val="008B0D08"/>
    <w:rsid w:val="008C34F8"/>
    <w:rsid w:val="008C6AA8"/>
    <w:rsid w:val="008D7109"/>
    <w:rsid w:val="008D7369"/>
    <w:rsid w:val="008E077D"/>
    <w:rsid w:val="008E7497"/>
    <w:rsid w:val="008F4AAC"/>
    <w:rsid w:val="00906666"/>
    <w:rsid w:val="0091228C"/>
    <w:rsid w:val="0091292D"/>
    <w:rsid w:val="00913081"/>
    <w:rsid w:val="0091390A"/>
    <w:rsid w:val="00913B61"/>
    <w:rsid w:val="009149CD"/>
    <w:rsid w:val="00923770"/>
    <w:rsid w:val="00924DB4"/>
    <w:rsid w:val="00924E0E"/>
    <w:rsid w:val="009304EA"/>
    <w:rsid w:val="00934CD0"/>
    <w:rsid w:val="00936207"/>
    <w:rsid w:val="0093660B"/>
    <w:rsid w:val="00945047"/>
    <w:rsid w:val="00952A35"/>
    <w:rsid w:val="0096267D"/>
    <w:rsid w:val="009679F6"/>
    <w:rsid w:val="00973A21"/>
    <w:rsid w:val="00974B08"/>
    <w:rsid w:val="0097749A"/>
    <w:rsid w:val="009825FE"/>
    <w:rsid w:val="009864B8"/>
    <w:rsid w:val="009905A3"/>
    <w:rsid w:val="00991197"/>
    <w:rsid w:val="00992E3E"/>
    <w:rsid w:val="009A1D70"/>
    <w:rsid w:val="009A2111"/>
    <w:rsid w:val="009A7123"/>
    <w:rsid w:val="009B0FAF"/>
    <w:rsid w:val="009C1E25"/>
    <w:rsid w:val="009C2C1A"/>
    <w:rsid w:val="009D26D4"/>
    <w:rsid w:val="009D3EFF"/>
    <w:rsid w:val="009D41B7"/>
    <w:rsid w:val="009D7220"/>
    <w:rsid w:val="009D7C75"/>
    <w:rsid w:val="009E2580"/>
    <w:rsid w:val="009E59E7"/>
    <w:rsid w:val="009F1A2E"/>
    <w:rsid w:val="009F2859"/>
    <w:rsid w:val="009F5D4E"/>
    <w:rsid w:val="00A0027D"/>
    <w:rsid w:val="00A0144C"/>
    <w:rsid w:val="00A014B1"/>
    <w:rsid w:val="00A03F4D"/>
    <w:rsid w:val="00A06827"/>
    <w:rsid w:val="00A12738"/>
    <w:rsid w:val="00A27D27"/>
    <w:rsid w:val="00A27D8E"/>
    <w:rsid w:val="00A34554"/>
    <w:rsid w:val="00A35B22"/>
    <w:rsid w:val="00A3708C"/>
    <w:rsid w:val="00A3748E"/>
    <w:rsid w:val="00A43791"/>
    <w:rsid w:val="00A545C0"/>
    <w:rsid w:val="00A6464E"/>
    <w:rsid w:val="00A663BF"/>
    <w:rsid w:val="00A80BEA"/>
    <w:rsid w:val="00A9654B"/>
    <w:rsid w:val="00AA298E"/>
    <w:rsid w:val="00AA786A"/>
    <w:rsid w:val="00AB37DD"/>
    <w:rsid w:val="00AB3B09"/>
    <w:rsid w:val="00AB5888"/>
    <w:rsid w:val="00AC443C"/>
    <w:rsid w:val="00AC51E2"/>
    <w:rsid w:val="00AC7030"/>
    <w:rsid w:val="00AD24AD"/>
    <w:rsid w:val="00AD56A9"/>
    <w:rsid w:val="00AE290A"/>
    <w:rsid w:val="00AE4151"/>
    <w:rsid w:val="00AF161C"/>
    <w:rsid w:val="00AF1D5A"/>
    <w:rsid w:val="00AF5ABA"/>
    <w:rsid w:val="00AF7882"/>
    <w:rsid w:val="00AF7E0F"/>
    <w:rsid w:val="00B15305"/>
    <w:rsid w:val="00B268E6"/>
    <w:rsid w:val="00B27AC5"/>
    <w:rsid w:val="00B321C5"/>
    <w:rsid w:val="00B35466"/>
    <w:rsid w:val="00B44653"/>
    <w:rsid w:val="00B502C6"/>
    <w:rsid w:val="00B50536"/>
    <w:rsid w:val="00B5263F"/>
    <w:rsid w:val="00B548E7"/>
    <w:rsid w:val="00B61C03"/>
    <w:rsid w:val="00B65AD6"/>
    <w:rsid w:val="00B7709E"/>
    <w:rsid w:val="00B8124D"/>
    <w:rsid w:val="00B81FFB"/>
    <w:rsid w:val="00BA6336"/>
    <w:rsid w:val="00BB73DB"/>
    <w:rsid w:val="00BC1F9A"/>
    <w:rsid w:val="00BC4404"/>
    <w:rsid w:val="00BC5771"/>
    <w:rsid w:val="00BC7391"/>
    <w:rsid w:val="00BD18AB"/>
    <w:rsid w:val="00BE7868"/>
    <w:rsid w:val="00BF03FB"/>
    <w:rsid w:val="00BF3CCA"/>
    <w:rsid w:val="00BF5388"/>
    <w:rsid w:val="00C00702"/>
    <w:rsid w:val="00C00E71"/>
    <w:rsid w:val="00C032F2"/>
    <w:rsid w:val="00C07081"/>
    <w:rsid w:val="00C117DF"/>
    <w:rsid w:val="00C17176"/>
    <w:rsid w:val="00C320EA"/>
    <w:rsid w:val="00C32160"/>
    <w:rsid w:val="00C33BDA"/>
    <w:rsid w:val="00C36DA1"/>
    <w:rsid w:val="00C40D1F"/>
    <w:rsid w:val="00C51BD0"/>
    <w:rsid w:val="00C51EFD"/>
    <w:rsid w:val="00C577B5"/>
    <w:rsid w:val="00C626ED"/>
    <w:rsid w:val="00C710F1"/>
    <w:rsid w:val="00C763CF"/>
    <w:rsid w:val="00C8133A"/>
    <w:rsid w:val="00C92AC8"/>
    <w:rsid w:val="00CB3418"/>
    <w:rsid w:val="00CC6F49"/>
    <w:rsid w:val="00CD3A4D"/>
    <w:rsid w:val="00CD6F68"/>
    <w:rsid w:val="00CE29D7"/>
    <w:rsid w:val="00CE508E"/>
    <w:rsid w:val="00CE590C"/>
    <w:rsid w:val="00CF4293"/>
    <w:rsid w:val="00CF4783"/>
    <w:rsid w:val="00CF6571"/>
    <w:rsid w:val="00D0148C"/>
    <w:rsid w:val="00D02D4D"/>
    <w:rsid w:val="00D10F42"/>
    <w:rsid w:val="00D112AB"/>
    <w:rsid w:val="00D1216E"/>
    <w:rsid w:val="00D24F85"/>
    <w:rsid w:val="00D35DAD"/>
    <w:rsid w:val="00D41BB0"/>
    <w:rsid w:val="00D43E2F"/>
    <w:rsid w:val="00D55C07"/>
    <w:rsid w:val="00D56AA0"/>
    <w:rsid w:val="00D613B3"/>
    <w:rsid w:val="00D65D6C"/>
    <w:rsid w:val="00D704DF"/>
    <w:rsid w:val="00D70900"/>
    <w:rsid w:val="00D71E10"/>
    <w:rsid w:val="00D74562"/>
    <w:rsid w:val="00D77CA3"/>
    <w:rsid w:val="00D81928"/>
    <w:rsid w:val="00D826B4"/>
    <w:rsid w:val="00DA0899"/>
    <w:rsid w:val="00DA0BD0"/>
    <w:rsid w:val="00DA73AB"/>
    <w:rsid w:val="00DB0490"/>
    <w:rsid w:val="00DC435F"/>
    <w:rsid w:val="00DD1B9F"/>
    <w:rsid w:val="00DF014F"/>
    <w:rsid w:val="00DF095F"/>
    <w:rsid w:val="00DF5C40"/>
    <w:rsid w:val="00E015E0"/>
    <w:rsid w:val="00E018A1"/>
    <w:rsid w:val="00E0423A"/>
    <w:rsid w:val="00E106B5"/>
    <w:rsid w:val="00E1389B"/>
    <w:rsid w:val="00E15C95"/>
    <w:rsid w:val="00E212FD"/>
    <w:rsid w:val="00E22D6E"/>
    <w:rsid w:val="00E26F68"/>
    <w:rsid w:val="00E37CF0"/>
    <w:rsid w:val="00E47BAF"/>
    <w:rsid w:val="00E51EDB"/>
    <w:rsid w:val="00E52C62"/>
    <w:rsid w:val="00E6249F"/>
    <w:rsid w:val="00E63011"/>
    <w:rsid w:val="00E6303F"/>
    <w:rsid w:val="00E63D58"/>
    <w:rsid w:val="00E71DEF"/>
    <w:rsid w:val="00E75171"/>
    <w:rsid w:val="00E75496"/>
    <w:rsid w:val="00E76CD7"/>
    <w:rsid w:val="00E83986"/>
    <w:rsid w:val="00E9034B"/>
    <w:rsid w:val="00E924BB"/>
    <w:rsid w:val="00E96B42"/>
    <w:rsid w:val="00EA022D"/>
    <w:rsid w:val="00EA56B9"/>
    <w:rsid w:val="00EA7976"/>
    <w:rsid w:val="00EB08CE"/>
    <w:rsid w:val="00EB2D1A"/>
    <w:rsid w:val="00EB634D"/>
    <w:rsid w:val="00EB7326"/>
    <w:rsid w:val="00EC20D2"/>
    <w:rsid w:val="00EC2C79"/>
    <w:rsid w:val="00EC7BDC"/>
    <w:rsid w:val="00ED69C4"/>
    <w:rsid w:val="00EE04D1"/>
    <w:rsid w:val="00EE2052"/>
    <w:rsid w:val="00EE3327"/>
    <w:rsid w:val="00EE6984"/>
    <w:rsid w:val="00EE71BC"/>
    <w:rsid w:val="00F00D6B"/>
    <w:rsid w:val="00F04E5F"/>
    <w:rsid w:val="00F14336"/>
    <w:rsid w:val="00F15D3E"/>
    <w:rsid w:val="00F2015E"/>
    <w:rsid w:val="00F27162"/>
    <w:rsid w:val="00F36FBA"/>
    <w:rsid w:val="00F42636"/>
    <w:rsid w:val="00F4267A"/>
    <w:rsid w:val="00F547BA"/>
    <w:rsid w:val="00F54910"/>
    <w:rsid w:val="00F604EF"/>
    <w:rsid w:val="00F6626E"/>
    <w:rsid w:val="00F83C63"/>
    <w:rsid w:val="00F930CF"/>
    <w:rsid w:val="00F93FB5"/>
    <w:rsid w:val="00F94841"/>
    <w:rsid w:val="00FA1663"/>
    <w:rsid w:val="00FA5BF3"/>
    <w:rsid w:val="00FA7EB0"/>
    <w:rsid w:val="00FB0A68"/>
    <w:rsid w:val="00FB34E0"/>
    <w:rsid w:val="00FC05FA"/>
    <w:rsid w:val="00FC2257"/>
    <w:rsid w:val="00FC2F3D"/>
    <w:rsid w:val="00FD526A"/>
    <w:rsid w:val="00FD53B2"/>
    <w:rsid w:val="00FE1078"/>
    <w:rsid w:val="00FE175E"/>
    <w:rsid w:val="00FE476A"/>
    <w:rsid w:val="00FF271E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28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C28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B3C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3C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B3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B3C28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C62"/>
    <w:rPr>
      <w:rFonts w:ascii="Tahoma" w:hAnsi="Tahoma" w:cs="Tahoma"/>
      <w:sz w:val="16"/>
      <w:szCs w:val="16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6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2636"/>
    <w:rPr>
      <w:sz w:val="20"/>
      <w:szCs w:val="20"/>
      <w:lang w:val="es-ES"/>
    </w:rPr>
  </w:style>
  <w:style w:type="character" w:styleId="FootnoteReference">
    <w:name w:val="footnote reference"/>
    <w:uiPriority w:val="99"/>
    <w:semiHidden/>
    <w:unhideWhenUsed/>
    <w:rsid w:val="00F4263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12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2581"/>
    <w:rPr>
      <w:lang w:val="es-ES"/>
    </w:rPr>
  </w:style>
  <w:style w:type="character" w:styleId="CommentReference">
    <w:name w:val="annotation reference"/>
    <w:uiPriority w:val="99"/>
    <w:semiHidden/>
    <w:unhideWhenUsed/>
    <w:rsid w:val="00BD1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D18AB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8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8AB"/>
    <w:rPr>
      <w:b/>
      <w:bCs/>
      <w:sz w:val="20"/>
      <w:szCs w:val="2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C1F9A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rsid w:val="00BC1F9A"/>
    <w:rPr>
      <w:rFonts w:ascii="Calibri" w:hAnsi="Calibri" w:cs="Times New Roman"/>
      <w:lang w:val="es-ES"/>
    </w:rPr>
  </w:style>
  <w:style w:type="paragraph" w:styleId="Revision">
    <w:name w:val="Revision"/>
    <w:hidden/>
    <w:uiPriority w:val="99"/>
    <w:semiHidden/>
    <w:rsid w:val="000C29ED"/>
    <w:rPr>
      <w:sz w:val="22"/>
      <w:szCs w:val="22"/>
      <w:lang w:val="es-ES"/>
    </w:rPr>
  </w:style>
  <w:style w:type="paragraph" w:customStyle="1" w:styleId="Default">
    <w:name w:val="Default"/>
    <w:rsid w:val="00595B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28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C28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B3C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3C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B3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B3C28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C62"/>
    <w:rPr>
      <w:rFonts w:ascii="Tahoma" w:hAnsi="Tahoma" w:cs="Tahoma"/>
      <w:sz w:val="16"/>
      <w:szCs w:val="16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6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2636"/>
    <w:rPr>
      <w:sz w:val="20"/>
      <w:szCs w:val="20"/>
      <w:lang w:val="es-ES"/>
    </w:rPr>
  </w:style>
  <w:style w:type="character" w:styleId="FootnoteReference">
    <w:name w:val="footnote reference"/>
    <w:uiPriority w:val="99"/>
    <w:semiHidden/>
    <w:unhideWhenUsed/>
    <w:rsid w:val="00F4263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12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2581"/>
    <w:rPr>
      <w:lang w:val="es-ES"/>
    </w:rPr>
  </w:style>
  <w:style w:type="character" w:styleId="CommentReference">
    <w:name w:val="annotation reference"/>
    <w:uiPriority w:val="99"/>
    <w:semiHidden/>
    <w:unhideWhenUsed/>
    <w:rsid w:val="00BD1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D18AB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8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8AB"/>
    <w:rPr>
      <w:b/>
      <w:bCs/>
      <w:sz w:val="20"/>
      <w:szCs w:val="2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C1F9A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rsid w:val="00BC1F9A"/>
    <w:rPr>
      <w:rFonts w:ascii="Calibri" w:hAnsi="Calibri" w:cs="Times New Roman"/>
      <w:lang w:val="es-ES"/>
    </w:rPr>
  </w:style>
  <w:style w:type="paragraph" w:styleId="Revision">
    <w:name w:val="Revision"/>
    <w:hidden/>
    <w:uiPriority w:val="99"/>
    <w:semiHidden/>
    <w:rsid w:val="000C29ED"/>
    <w:rPr>
      <w:sz w:val="22"/>
      <w:szCs w:val="22"/>
      <w:lang w:val="es-ES"/>
    </w:rPr>
  </w:style>
  <w:style w:type="paragraph" w:customStyle="1" w:styleId="Default">
    <w:name w:val="Default"/>
    <w:rsid w:val="00595B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cadopublico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cadopublico.c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ychile.cl/Navegar?idNorma=196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699E-B857-4B21-B561-7FF958F0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12518</CharactersWithSpaces>
  <SharedDoc>false</SharedDoc>
  <HLinks>
    <vt:vector size="18" baseType="variant"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http://www.mercadopublico.cl/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http://www.mercadopublico.cl/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http://www.leychile.cl/Navegar?idNorma=196640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CARLOSCO@iadb.org;MARIAJOSEJ@iadb.org</dc:creator>
  <cp:keywords/>
  <cp:lastModifiedBy>Melissa Gonzalez</cp:lastModifiedBy>
  <cp:revision>3</cp:revision>
  <cp:lastPrinted>2016-08-24T19:53:00Z</cp:lastPrinted>
  <dcterms:created xsi:type="dcterms:W3CDTF">2016-08-30T20:45:00Z</dcterms:created>
  <dcterms:modified xsi:type="dcterms:W3CDTF">2016-08-30T20:45:00Z</dcterms:modified>
</cp:coreProperties>
</file>