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B18AC" w14:textId="6BF6D176" w:rsidR="001226C6" w:rsidRPr="003A4ECE" w:rsidRDefault="00C11347" w:rsidP="003A4ECE">
      <w:pPr>
        <w:jc w:val="center"/>
        <w:rPr>
          <w:rFonts w:ascii="Arial" w:hAnsi="Arial" w:cs="Arial"/>
          <w:b/>
          <w:smallCaps/>
          <w:sz w:val="24"/>
          <w:szCs w:val="24"/>
          <w:lang w:val="es-ES_tradnl"/>
        </w:rPr>
      </w:pPr>
      <w:r w:rsidRPr="006B5409">
        <w:rPr>
          <w:rFonts w:ascii="Arial" w:hAnsi="Arial" w:cs="Arial"/>
          <w:b/>
          <w:smallCaps/>
          <w:sz w:val="24"/>
          <w:szCs w:val="24"/>
        </w:rPr>
        <w:t xml:space="preserve">Matriz </w:t>
      </w:r>
      <w:r w:rsidRPr="006B5409">
        <w:rPr>
          <w:rFonts w:ascii="Arial" w:hAnsi="Arial" w:cs="Arial"/>
          <w:b/>
          <w:smallCaps/>
          <w:sz w:val="24"/>
          <w:szCs w:val="24"/>
          <w:lang w:val="es-ES_tradnl"/>
        </w:rPr>
        <w:t>de Medios de Verificación</w:t>
      </w:r>
    </w:p>
    <w:tbl>
      <w:tblPr>
        <w:tblStyle w:val="TableGrid"/>
        <w:tblW w:w="13279" w:type="dxa"/>
        <w:jc w:val="center"/>
        <w:tblInd w:w="-162" w:type="dxa"/>
        <w:tblLook w:val="04A0" w:firstRow="1" w:lastRow="0" w:firstColumn="1" w:lastColumn="0" w:noHBand="0" w:noVBand="1"/>
      </w:tblPr>
      <w:tblGrid>
        <w:gridCol w:w="2271"/>
        <w:gridCol w:w="4708"/>
        <w:gridCol w:w="3752"/>
        <w:gridCol w:w="2548"/>
      </w:tblGrid>
      <w:tr w:rsidR="00C11347" w:rsidRPr="006B5409" w14:paraId="0E3BA9B2" w14:textId="77777777" w:rsidTr="007921DE">
        <w:trPr>
          <w:trHeight w:val="576"/>
          <w:tblHeader/>
          <w:jc w:val="center"/>
        </w:trPr>
        <w:tc>
          <w:tcPr>
            <w:tcW w:w="2271" w:type="dxa"/>
            <w:shd w:val="clear" w:color="auto" w:fill="95B3D7" w:themeFill="accent1" w:themeFillTint="99"/>
            <w:vAlign w:val="center"/>
          </w:tcPr>
          <w:p w14:paraId="690C0C89" w14:textId="77777777" w:rsidR="00C11347" w:rsidRPr="006B5409" w:rsidRDefault="00C11347" w:rsidP="007921DE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B5409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  <w:tc>
          <w:tcPr>
            <w:tcW w:w="4708" w:type="dxa"/>
            <w:shd w:val="clear" w:color="auto" w:fill="95B3D7" w:themeFill="accent1" w:themeFillTint="99"/>
            <w:vAlign w:val="center"/>
          </w:tcPr>
          <w:p w14:paraId="0E49E4CD" w14:textId="77777777" w:rsidR="00C11347" w:rsidRPr="006B5409" w:rsidRDefault="00C11347" w:rsidP="007921DE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B5409">
              <w:rPr>
                <w:rFonts w:ascii="Arial" w:hAnsi="Arial" w:cs="Arial"/>
                <w:b/>
                <w:sz w:val="20"/>
                <w:szCs w:val="20"/>
              </w:rPr>
              <w:t>Compromisos de Política</w:t>
            </w:r>
          </w:p>
        </w:tc>
        <w:tc>
          <w:tcPr>
            <w:tcW w:w="3752" w:type="dxa"/>
            <w:shd w:val="clear" w:color="auto" w:fill="95B3D7" w:themeFill="accent1" w:themeFillTint="99"/>
            <w:vAlign w:val="center"/>
          </w:tcPr>
          <w:p w14:paraId="43DB37B5" w14:textId="77777777" w:rsidR="00C11347" w:rsidRPr="006B5409" w:rsidRDefault="00C11347" w:rsidP="00792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409">
              <w:rPr>
                <w:rFonts w:ascii="Arial" w:hAnsi="Arial" w:cs="Arial"/>
                <w:b/>
                <w:sz w:val="20"/>
                <w:szCs w:val="20"/>
              </w:rPr>
              <w:t>Medios de Verificación</w:t>
            </w:r>
          </w:p>
        </w:tc>
        <w:tc>
          <w:tcPr>
            <w:tcW w:w="2548" w:type="dxa"/>
            <w:shd w:val="clear" w:color="auto" w:fill="95B3D7" w:themeFill="accent1" w:themeFillTint="99"/>
            <w:vAlign w:val="center"/>
          </w:tcPr>
          <w:p w14:paraId="4BF4ED2D" w14:textId="77777777" w:rsidR="00C11347" w:rsidRPr="006B5409" w:rsidRDefault="00C11347" w:rsidP="00792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409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C11347" w:rsidRPr="006B5409" w14:paraId="376C1BCD" w14:textId="77777777" w:rsidTr="003A4ECE">
        <w:trPr>
          <w:jc w:val="center"/>
        </w:trPr>
        <w:tc>
          <w:tcPr>
            <w:tcW w:w="2271" w:type="dxa"/>
            <w:vAlign w:val="center"/>
          </w:tcPr>
          <w:p w14:paraId="21E9DD0B" w14:textId="77777777" w:rsidR="00C11347" w:rsidRPr="006B5409" w:rsidRDefault="00C11347" w:rsidP="003A4ECE">
            <w:pPr>
              <w:pStyle w:val="ListParagraph"/>
              <w:numPr>
                <w:ilvl w:val="0"/>
                <w:numId w:val="1"/>
              </w:numPr>
              <w:ind w:left="211" w:hanging="270"/>
              <w:rPr>
                <w:rFonts w:ascii="Arial" w:hAnsi="Arial" w:cs="Arial"/>
                <w:sz w:val="20"/>
                <w:lang w:val="es-ES_tradnl"/>
              </w:rPr>
            </w:pPr>
            <w:r w:rsidRPr="006B5409">
              <w:rPr>
                <w:rFonts w:ascii="Arial" w:hAnsi="Arial" w:cs="Arial"/>
                <w:sz w:val="20"/>
                <w:lang w:val="es-ES_tradnl"/>
              </w:rPr>
              <w:t>Mantener entorno macro-económico conducente a la sostenibilidad fiscal.</w:t>
            </w:r>
          </w:p>
        </w:tc>
        <w:tc>
          <w:tcPr>
            <w:tcW w:w="4708" w:type="dxa"/>
          </w:tcPr>
          <w:p w14:paraId="23D1BE7F" w14:textId="69728126" w:rsidR="00C11347" w:rsidRPr="006B5409" w:rsidRDefault="00C11347" w:rsidP="003A4ECE">
            <w:pPr>
              <w:pStyle w:val="ListParagraph"/>
              <w:numPr>
                <w:ilvl w:val="1"/>
                <w:numId w:val="1"/>
              </w:numPr>
              <w:ind w:left="40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B5409">
              <w:rPr>
                <w:rFonts w:ascii="Arial" w:hAnsi="Arial" w:cs="Arial"/>
                <w:sz w:val="20"/>
                <w:lang w:val="es-ES"/>
              </w:rPr>
              <w:t xml:space="preserve">El contexto macroeconómico del </w:t>
            </w:r>
            <w:r w:rsidR="001226C6">
              <w:rPr>
                <w:rFonts w:ascii="Arial" w:hAnsi="Arial" w:cs="Arial"/>
                <w:sz w:val="20"/>
                <w:lang w:val="es-ES"/>
              </w:rPr>
              <w:t>P</w:t>
            </w:r>
            <w:r w:rsidRPr="006B5409">
              <w:rPr>
                <w:rFonts w:ascii="Arial" w:hAnsi="Arial" w:cs="Arial"/>
                <w:sz w:val="20"/>
                <w:lang w:val="es-ES"/>
              </w:rPr>
              <w:t>restatario es congruente con los objetivos del programa.</w:t>
            </w:r>
          </w:p>
        </w:tc>
        <w:tc>
          <w:tcPr>
            <w:tcW w:w="3752" w:type="dxa"/>
          </w:tcPr>
          <w:p w14:paraId="4085DD43" w14:textId="6D2EE18C" w:rsidR="00C11347" w:rsidRPr="006B5409" w:rsidRDefault="00C11347" w:rsidP="003A4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t xml:space="preserve">Evaluación </w:t>
            </w:r>
            <w:r w:rsidR="00C31B81" w:rsidRPr="006B5409">
              <w:rPr>
                <w:rFonts w:ascii="Arial" w:hAnsi="Arial" w:cs="Arial"/>
                <w:sz w:val="20"/>
                <w:szCs w:val="20"/>
              </w:rPr>
              <w:t xml:space="preserve">Independiente </w:t>
            </w:r>
            <w:r w:rsidR="00C31B81">
              <w:rPr>
                <w:rFonts w:ascii="Arial" w:hAnsi="Arial" w:cs="Arial"/>
                <w:sz w:val="20"/>
                <w:szCs w:val="20"/>
              </w:rPr>
              <w:t xml:space="preserve">de Condiciones </w:t>
            </w:r>
            <w:r w:rsidRPr="006B5409">
              <w:rPr>
                <w:rFonts w:ascii="Arial" w:hAnsi="Arial" w:cs="Arial"/>
                <w:sz w:val="20"/>
                <w:szCs w:val="20"/>
              </w:rPr>
              <w:t>Macroeconómica</w:t>
            </w:r>
            <w:r w:rsidR="00C31B81">
              <w:rPr>
                <w:rFonts w:ascii="Arial" w:hAnsi="Arial" w:cs="Arial"/>
                <w:sz w:val="20"/>
                <w:szCs w:val="20"/>
              </w:rPr>
              <w:t>s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B81" w:rsidRPr="006B5409">
              <w:rPr>
                <w:rFonts w:ascii="Arial" w:hAnsi="Arial" w:cs="Arial"/>
                <w:sz w:val="20"/>
                <w:szCs w:val="20"/>
              </w:rPr>
              <w:t>(IA</w:t>
            </w:r>
            <w:r w:rsidR="009B7312">
              <w:rPr>
                <w:rFonts w:ascii="Arial" w:hAnsi="Arial" w:cs="Arial"/>
                <w:sz w:val="20"/>
                <w:szCs w:val="20"/>
              </w:rPr>
              <w:t>M</w:t>
            </w:r>
            <w:r w:rsidR="00C31B81" w:rsidRPr="006B5409">
              <w:rPr>
                <w:rFonts w:ascii="Arial" w:hAnsi="Arial" w:cs="Arial"/>
                <w:sz w:val="20"/>
                <w:szCs w:val="20"/>
              </w:rPr>
              <w:t>C</w:t>
            </w:r>
            <w:r w:rsidR="00C31B81">
              <w:rPr>
                <w:rFonts w:ascii="Arial" w:hAnsi="Arial" w:cs="Arial"/>
                <w:sz w:val="20"/>
                <w:szCs w:val="20"/>
              </w:rPr>
              <w:t xml:space="preserve"> por sus siglas en </w:t>
            </w:r>
            <w:r w:rsidR="00F54F0B">
              <w:rPr>
                <w:rFonts w:ascii="Arial" w:hAnsi="Arial" w:cs="Arial"/>
                <w:sz w:val="20"/>
                <w:szCs w:val="20"/>
              </w:rPr>
              <w:t>i</w:t>
            </w:r>
            <w:r w:rsidR="00C31B81">
              <w:rPr>
                <w:rFonts w:ascii="Arial" w:hAnsi="Arial" w:cs="Arial"/>
                <w:sz w:val="20"/>
                <w:szCs w:val="20"/>
              </w:rPr>
              <w:t>nglés</w:t>
            </w:r>
            <w:r w:rsidR="00C31B81" w:rsidRPr="006B5409">
              <w:rPr>
                <w:rFonts w:ascii="Arial" w:hAnsi="Arial" w:cs="Arial"/>
                <w:sz w:val="20"/>
                <w:szCs w:val="20"/>
              </w:rPr>
              <w:t>)</w:t>
            </w:r>
            <w:r w:rsidR="00C31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5409">
              <w:rPr>
                <w:rFonts w:ascii="Arial" w:hAnsi="Arial" w:cs="Arial"/>
                <w:sz w:val="20"/>
                <w:szCs w:val="20"/>
              </w:rPr>
              <w:t>elaborada por el Banco</w:t>
            </w:r>
            <w:r w:rsidR="00C31B81">
              <w:rPr>
                <w:rFonts w:ascii="Arial" w:hAnsi="Arial" w:cs="Arial"/>
                <w:sz w:val="20"/>
                <w:szCs w:val="20"/>
              </w:rPr>
              <w:t xml:space="preserve"> y vigente al momento del desembolso</w:t>
            </w:r>
            <w:r w:rsidRPr="006B54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8" w:type="dxa"/>
          </w:tcPr>
          <w:p w14:paraId="6A8625FC" w14:textId="3A8F9CA3" w:rsidR="00C11347" w:rsidRPr="006B5409" w:rsidRDefault="00C11347" w:rsidP="003A4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t>Ministerio de Hacienda (acción), BID (IA</w:t>
            </w:r>
            <w:r w:rsidR="00F54F0B">
              <w:rPr>
                <w:rFonts w:ascii="Arial" w:hAnsi="Arial" w:cs="Arial"/>
                <w:sz w:val="20"/>
                <w:szCs w:val="20"/>
              </w:rPr>
              <w:t>M</w:t>
            </w:r>
            <w:r w:rsidRPr="006B5409">
              <w:rPr>
                <w:rFonts w:ascii="Arial" w:hAnsi="Arial" w:cs="Arial"/>
                <w:sz w:val="20"/>
                <w:szCs w:val="20"/>
              </w:rPr>
              <w:t>C</w:t>
            </w:r>
            <w:r w:rsidR="00F54F0B">
              <w:rPr>
                <w:rFonts w:ascii="Arial" w:hAnsi="Arial" w:cs="Arial"/>
                <w:sz w:val="20"/>
                <w:szCs w:val="20"/>
              </w:rPr>
              <w:t xml:space="preserve"> por sus siglas en inglés</w:t>
            </w:r>
            <w:r w:rsidRPr="006B54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11347" w:rsidRPr="006B5409" w14:paraId="4E023B90" w14:textId="77777777" w:rsidTr="003A4ECE">
        <w:trPr>
          <w:trHeight w:val="1142"/>
          <w:jc w:val="center"/>
        </w:trPr>
        <w:tc>
          <w:tcPr>
            <w:tcW w:w="2271" w:type="dxa"/>
            <w:vMerge w:val="restart"/>
            <w:vAlign w:val="center"/>
          </w:tcPr>
          <w:p w14:paraId="4973467D" w14:textId="274C957B" w:rsidR="00C11347" w:rsidRPr="006B5409" w:rsidRDefault="00C11347" w:rsidP="003A4ECE">
            <w:pPr>
              <w:pStyle w:val="ListParagraph"/>
              <w:numPr>
                <w:ilvl w:val="0"/>
                <w:numId w:val="1"/>
              </w:numPr>
              <w:ind w:left="211" w:hanging="270"/>
              <w:rPr>
                <w:rFonts w:ascii="Arial" w:hAnsi="Arial" w:cs="Arial"/>
                <w:sz w:val="20"/>
                <w:lang w:val="es-ES_tradnl"/>
              </w:rPr>
            </w:pPr>
            <w:r w:rsidRPr="006B5409">
              <w:rPr>
                <w:rFonts w:ascii="Arial" w:hAnsi="Arial" w:cs="Arial"/>
                <w:sz w:val="20"/>
                <w:lang w:val="es-ES_tradnl"/>
              </w:rPr>
              <w:t xml:space="preserve">Fortalecer el marco legal e institucional según los principios de probidad administrativa y de transparencia, y el derecho de acceso a la información pública, que define la </w:t>
            </w:r>
            <w:r w:rsidR="003A4ECE">
              <w:rPr>
                <w:rFonts w:ascii="Arial" w:hAnsi="Arial" w:cs="Arial"/>
                <w:sz w:val="20"/>
                <w:lang w:val="es-ES_tradnl"/>
              </w:rPr>
              <w:t>l</w:t>
            </w:r>
            <w:r w:rsidRPr="006B5409">
              <w:rPr>
                <w:rFonts w:ascii="Arial" w:hAnsi="Arial" w:cs="Arial"/>
                <w:sz w:val="20"/>
                <w:lang w:val="es-ES_tradnl"/>
              </w:rPr>
              <w:t>ey</w:t>
            </w:r>
            <w:r w:rsidR="003A4ECE"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  <w:tc>
          <w:tcPr>
            <w:tcW w:w="4708" w:type="dxa"/>
          </w:tcPr>
          <w:p w14:paraId="6663FA08" w14:textId="30C1B2F9" w:rsidR="00C11347" w:rsidRPr="006B5409" w:rsidRDefault="00C11347" w:rsidP="001226C6">
            <w:pPr>
              <w:pStyle w:val="ListParagraph"/>
              <w:numPr>
                <w:ilvl w:val="1"/>
                <w:numId w:val="1"/>
              </w:numPr>
              <w:ind w:left="40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B5409">
              <w:rPr>
                <w:rFonts w:ascii="Arial" w:hAnsi="Arial" w:cs="Arial"/>
                <w:sz w:val="20"/>
                <w:lang w:val="es-ES_tradnl"/>
              </w:rPr>
              <w:t>Fortalecimiento de la integridad en la gestión pública</w:t>
            </w:r>
            <w:r w:rsidR="00995CAD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995CAD" w:rsidRPr="0005114C">
              <w:rPr>
                <w:rFonts w:ascii="Arial" w:hAnsi="Arial" w:cs="Arial"/>
                <w:sz w:val="20"/>
                <w:lang w:val="es-ES"/>
              </w:rPr>
              <w:t xml:space="preserve">mediante </w:t>
            </w:r>
            <w:r w:rsidR="001226C6">
              <w:rPr>
                <w:rFonts w:ascii="Arial" w:hAnsi="Arial" w:cs="Arial"/>
                <w:sz w:val="20"/>
                <w:lang w:val="es-ES"/>
              </w:rPr>
              <w:t>la</w:t>
            </w:r>
            <w:r w:rsidR="00995CAD" w:rsidRPr="0005114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1226C6">
              <w:rPr>
                <w:rFonts w:ascii="Arial" w:hAnsi="Arial" w:cs="Arial"/>
                <w:sz w:val="20"/>
                <w:lang w:val="es-ES"/>
              </w:rPr>
              <w:t>L</w:t>
            </w:r>
            <w:r w:rsidR="00995CAD" w:rsidRPr="0005114C">
              <w:rPr>
                <w:rFonts w:ascii="Arial" w:hAnsi="Arial" w:cs="Arial"/>
                <w:sz w:val="20"/>
                <w:lang w:val="es-ES"/>
              </w:rPr>
              <w:t xml:space="preserve">ey de </w:t>
            </w:r>
            <w:r w:rsidR="001226C6">
              <w:rPr>
                <w:rFonts w:ascii="Arial" w:hAnsi="Arial" w:cs="Arial"/>
                <w:sz w:val="20"/>
                <w:lang w:val="es-ES"/>
              </w:rPr>
              <w:t>P</w:t>
            </w:r>
            <w:r w:rsidR="00995CAD" w:rsidRPr="0005114C">
              <w:rPr>
                <w:rFonts w:ascii="Arial" w:hAnsi="Arial" w:cs="Arial"/>
                <w:sz w:val="20"/>
                <w:lang w:val="es-ES"/>
              </w:rPr>
              <w:t xml:space="preserve">robidad en la </w:t>
            </w:r>
            <w:r w:rsidR="001226C6">
              <w:rPr>
                <w:rFonts w:ascii="Arial" w:hAnsi="Arial" w:cs="Arial"/>
                <w:sz w:val="20"/>
                <w:lang w:val="es-ES"/>
              </w:rPr>
              <w:t>F</w:t>
            </w:r>
            <w:r w:rsidR="00995CAD" w:rsidRPr="0005114C">
              <w:rPr>
                <w:rFonts w:ascii="Arial" w:hAnsi="Arial" w:cs="Arial"/>
                <w:sz w:val="20"/>
                <w:lang w:val="es-ES"/>
              </w:rPr>
              <w:t xml:space="preserve">unción </w:t>
            </w:r>
            <w:r w:rsidR="001226C6">
              <w:rPr>
                <w:rFonts w:ascii="Arial" w:hAnsi="Arial" w:cs="Arial"/>
                <w:sz w:val="20"/>
                <w:lang w:val="es-ES"/>
              </w:rPr>
              <w:t>P</w:t>
            </w:r>
            <w:r w:rsidR="00995CAD" w:rsidRPr="0005114C">
              <w:rPr>
                <w:rFonts w:ascii="Arial" w:hAnsi="Arial" w:cs="Arial"/>
                <w:sz w:val="20"/>
                <w:lang w:val="es-ES"/>
              </w:rPr>
              <w:t>ública que</w:t>
            </w:r>
            <w:r w:rsidR="001226C6">
              <w:rPr>
                <w:rFonts w:ascii="Arial" w:hAnsi="Arial" w:cs="Arial"/>
                <w:sz w:val="20"/>
                <w:lang w:val="es-ES"/>
              </w:rPr>
              <w:t>, entre otros aspectos,</w:t>
            </w:r>
            <w:r w:rsidR="00995CAD" w:rsidRPr="0005114C">
              <w:rPr>
                <w:rFonts w:ascii="Arial" w:hAnsi="Arial" w:cs="Arial"/>
                <w:sz w:val="20"/>
                <w:lang w:val="es-ES"/>
              </w:rPr>
              <w:t xml:space="preserve"> ampliará y fortalecerá el sistema de declaración de intereses y de patrimonio</w:t>
            </w:r>
            <w:r w:rsidRPr="006B5409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3752" w:type="dxa"/>
          </w:tcPr>
          <w:p w14:paraId="41AC7993" w14:textId="04DB5B7C" w:rsidR="00C11347" w:rsidRPr="006B5409" w:rsidRDefault="00C11347" w:rsidP="00DC31F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t xml:space="preserve">Ley </w:t>
            </w:r>
            <w:r w:rsidR="00DC31F8">
              <w:rPr>
                <w:rFonts w:ascii="Arial" w:hAnsi="Arial" w:cs="Arial"/>
                <w:sz w:val="20"/>
                <w:szCs w:val="20"/>
              </w:rPr>
              <w:t>de</w:t>
            </w:r>
            <w:r w:rsidR="00DC31F8" w:rsidRPr="006B54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5409">
              <w:rPr>
                <w:rFonts w:ascii="Arial" w:hAnsi="Arial" w:cs="Arial"/>
                <w:sz w:val="20"/>
                <w:szCs w:val="20"/>
              </w:rPr>
              <w:t>la Probidad en la Función Pública</w:t>
            </w:r>
            <w:r w:rsidR="00245852">
              <w:rPr>
                <w:rFonts w:ascii="Arial" w:hAnsi="Arial" w:cs="Arial"/>
                <w:sz w:val="20"/>
                <w:szCs w:val="20"/>
              </w:rPr>
              <w:t>, que</w:t>
            </w:r>
            <w:r w:rsidR="00DC31F8">
              <w:rPr>
                <w:rFonts w:ascii="Arial" w:hAnsi="Arial" w:cs="Arial"/>
                <w:sz w:val="20"/>
                <w:szCs w:val="20"/>
              </w:rPr>
              <w:t>, entre otros aspectos,</w:t>
            </w:r>
            <w:r w:rsidR="00245852">
              <w:rPr>
                <w:rFonts w:ascii="Arial" w:hAnsi="Arial" w:cs="Arial"/>
                <w:sz w:val="20"/>
                <w:szCs w:val="20"/>
              </w:rPr>
              <w:t xml:space="preserve"> amplía y fortalece el sistema de declaración de intereses y patrimonio,</w:t>
            </w:r>
            <w:r w:rsidRPr="006B54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promulgada y publicada en el Diario Oficial.</w:t>
            </w:r>
          </w:p>
        </w:tc>
        <w:tc>
          <w:tcPr>
            <w:tcW w:w="2548" w:type="dxa"/>
            <w:vAlign w:val="center"/>
          </w:tcPr>
          <w:p w14:paraId="10C0C2EA" w14:textId="77777777" w:rsidR="00C11347" w:rsidRPr="006B5409" w:rsidRDefault="00C11347" w:rsidP="007921D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t>SEGPRES</w:t>
            </w:r>
          </w:p>
        </w:tc>
      </w:tr>
      <w:tr w:rsidR="00C11347" w:rsidRPr="006B5409" w14:paraId="1B2F6AF6" w14:textId="77777777" w:rsidTr="007921DE">
        <w:trPr>
          <w:jc w:val="center"/>
        </w:trPr>
        <w:tc>
          <w:tcPr>
            <w:tcW w:w="2271" w:type="dxa"/>
            <w:vMerge/>
            <w:vAlign w:val="center"/>
          </w:tcPr>
          <w:p w14:paraId="46B3D1C3" w14:textId="77777777" w:rsidR="00C11347" w:rsidRPr="006B5409" w:rsidRDefault="00C11347" w:rsidP="007921DE">
            <w:pPr>
              <w:ind w:left="211" w:hanging="2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dxa"/>
          </w:tcPr>
          <w:p w14:paraId="7B83067E" w14:textId="274A2AF0" w:rsidR="00C11347" w:rsidRPr="006B5409" w:rsidRDefault="00C11347" w:rsidP="00C11347">
            <w:pPr>
              <w:pStyle w:val="ListParagraph"/>
              <w:numPr>
                <w:ilvl w:val="1"/>
                <w:numId w:val="1"/>
              </w:numPr>
              <w:ind w:left="40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B5409">
              <w:rPr>
                <w:rFonts w:ascii="Arial" w:hAnsi="Arial" w:cs="Arial"/>
                <w:sz w:val="20"/>
                <w:lang w:val="es-ES_tradnl"/>
              </w:rPr>
              <w:t>Fortalecimiento de la integridad en la gestión</w:t>
            </w:r>
            <w:r w:rsidR="00F00F7B">
              <w:rPr>
                <w:rFonts w:ascii="Arial" w:hAnsi="Arial" w:cs="Arial"/>
                <w:sz w:val="20"/>
                <w:lang w:val="es-ES_tradnl"/>
              </w:rPr>
              <w:t xml:space="preserve"> pública</w:t>
            </w:r>
            <w:r w:rsidRPr="006B540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E1130F" w:rsidRPr="0005114C">
              <w:rPr>
                <w:rFonts w:ascii="Arial" w:hAnsi="Arial" w:cs="Arial"/>
                <w:sz w:val="20"/>
                <w:lang w:val="es-ES_tradnl"/>
              </w:rPr>
              <w:t xml:space="preserve">mediante </w:t>
            </w:r>
            <w:r w:rsidR="00F00F7B">
              <w:rPr>
                <w:rFonts w:ascii="Arial" w:hAnsi="Arial" w:cs="Arial"/>
                <w:sz w:val="20"/>
                <w:lang w:val="es-ES_tradnl"/>
              </w:rPr>
              <w:t xml:space="preserve">el </w:t>
            </w:r>
            <w:r w:rsidR="00E1130F" w:rsidRPr="0005114C">
              <w:rPr>
                <w:rFonts w:ascii="Arial" w:hAnsi="Arial" w:cs="Arial"/>
                <w:sz w:val="20"/>
                <w:lang w:val="es-ES"/>
              </w:rPr>
              <w:t>proyecto de ley que previene y sanciona los conflictos de inter</w:t>
            </w:r>
            <w:r w:rsidR="00F00F7B">
              <w:rPr>
                <w:rFonts w:ascii="Arial" w:hAnsi="Arial" w:cs="Arial"/>
                <w:sz w:val="20"/>
                <w:lang w:val="es-ES"/>
              </w:rPr>
              <w:t>eses</w:t>
            </w:r>
            <w:r w:rsidR="00E1130F" w:rsidRPr="0005114C">
              <w:rPr>
                <w:rFonts w:ascii="Arial" w:hAnsi="Arial" w:cs="Arial"/>
                <w:sz w:val="20"/>
                <w:lang w:val="es-ES"/>
              </w:rPr>
              <w:t xml:space="preserve">, </w:t>
            </w:r>
            <w:r w:rsidR="00F00F7B">
              <w:rPr>
                <w:rFonts w:ascii="Arial" w:hAnsi="Arial" w:cs="Arial"/>
                <w:sz w:val="20"/>
                <w:lang w:val="es-ES"/>
              </w:rPr>
              <w:t xml:space="preserve">y </w:t>
            </w:r>
            <w:r w:rsidR="00E1130F" w:rsidRPr="0005114C">
              <w:rPr>
                <w:rFonts w:ascii="Arial" w:hAnsi="Arial" w:cs="Arial"/>
                <w:sz w:val="20"/>
                <w:lang w:val="es-ES"/>
              </w:rPr>
              <w:t xml:space="preserve">que </w:t>
            </w:r>
            <w:r w:rsidR="00F00F7B">
              <w:rPr>
                <w:rFonts w:ascii="Arial" w:hAnsi="Arial" w:cs="Arial"/>
                <w:sz w:val="20"/>
                <w:lang w:val="es-ES"/>
              </w:rPr>
              <w:t>modifica las normas sobre</w:t>
            </w:r>
            <w:r w:rsidR="00E1130F" w:rsidRPr="0005114C">
              <w:rPr>
                <w:rFonts w:ascii="Arial" w:hAnsi="Arial" w:cs="Arial"/>
                <w:sz w:val="20"/>
                <w:lang w:val="es-ES"/>
              </w:rPr>
              <w:t xml:space="preserve"> inhabilidades </w:t>
            </w:r>
            <w:r w:rsidR="00F00F7B">
              <w:rPr>
                <w:rFonts w:ascii="Arial" w:hAnsi="Arial" w:cs="Arial"/>
                <w:sz w:val="20"/>
                <w:lang w:val="es-ES"/>
              </w:rPr>
              <w:t>e incompatibilidades en el ejercicio de</w:t>
            </w:r>
            <w:r w:rsidR="00E1130F" w:rsidRPr="0005114C">
              <w:rPr>
                <w:rFonts w:ascii="Arial" w:hAnsi="Arial" w:cs="Arial"/>
                <w:sz w:val="20"/>
                <w:lang w:val="es-ES"/>
              </w:rPr>
              <w:t xml:space="preserve"> la función pública.</w:t>
            </w:r>
          </w:p>
          <w:p w14:paraId="6C9D1C1D" w14:textId="77777777" w:rsidR="00C11347" w:rsidRPr="006B5409" w:rsidRDefault="00C11347" w:rsidP="0079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4C669D" w14:textId="77777777" w:rsidR="00C11347" w:rsidRPr="006B5409" w:rsidRDefault="00C11347" w:rsidP="0079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098C66" w14:textId="77777777" w:rsidR="00C11347" w:rsidRPr="006B5409" w:rsidRDefault="00C11347" w:rsidP="007921DE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752" w:type="dxa"/>
          </w:tcPr>
          <w:p w14:paraId="115BE618" w14:textId="21A21FB4" w:rsidR="00C11347" w:rsidRPr="006B5409" w:rsidRDefault="00C11347" w:rsidP="00F82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t>Proyecto de Ley que prev</w:t>
            </w:r>
            <w:r w:rsidR="00F82903">
              <w:rPr>
                <w:rFonts w:ascii="Arial" w:hAnsi="Arial" w:cs="Arial"/>
                <w:sz w:val="20"/>
                <w:szCs w:val="20"/>
              </w:rPr>
              <w:t>iene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 y sancion</w:t>
            </w:r>
            <w:r w:rsidR="00F82903">
              <w:rPr>
                <w:rFonts w:ascii="Arial" w:hAnsi="Arial" w:cs="Arial"/>
                <w:sz w:val="20"/>
                <w:szCs w:val="20"/>
              </w:rPr>
              <w:t>a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 los conflictos de inter</w:t>
            </w:r>
            <w:r w:rsidR="00F82903">
              <w:rPr>
                <w:rFonts w:ascii="Arial" w:hAnsi="Arial" w:cs="Arial"/>
                <w:sz w:val="20"/>
                <w:szCs w:val="20"/>
              </w:rPr>
              <w:t>eses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 y modifi</w:t>
            </w:r>
            <w:r w:rsidR="00F82903">
              <w:rPr>
                <w:rFonts w:ascii="Arial" w:hAnsi="Arial" w:cs="Arial"/>
                <w:sz w:val="20"/>
                <w:szCs w:val="20"/>
              </w:rPr>
              <w:t>ca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 las normas sobre inhabilidades e incompatibilidades en el ejercicio de la función pública  ingresado  </w:t>
            </w:r>
            <w:r w:rsidR="00F82903">
              <w:rPr>
                <w:rFonts w:ascii="Arial" w:hAnsi="Arial" w:cs="Arial"/>
                <w:sz w:val="20"/>
                <w:szCs w:val="20"/>
              </w:rPr>
              <w:t>al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 Congreso Nacional, a través de Mensaje </w:t>
            </w:r>
            <w:r w:rsidR="00F82903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6B5409">
              <w:rPr>
                <w:rFonts w:ascii="Arial" w:hAnsi="Arial" w:cs="Arial"/>
                <w:sz w:val="20"/>
                <w:szCs w:val="20"/>
              </w:rPr>
              <w:t>Ejecutivo con el que se inicia la tramitación de</w:t>
            </w:r>
            <w:r w:rsidR="00F82903">
              <w:rPr>
                <w:rFonts w:ascii="Arial" w:hAnsi="Arial" w:cs="Arial"/>
                <w:sz w:val="20"/>
                <w:szCs w:val="20"/>
              </w:rPr>
              <w:t>l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 proyecto de ley.</w:t>
            </w:r>
          </w:p>
        </w:tc>
        <w:tc>
          <w:tcPr>
            <w:tcW w:w="2548" w:type="dxa"/>
            <w:vAlign w:val="center"/>
          </w:tcPr>
          <w:p w14:paraId="0D96F3AC" w14:textId="77777777" w:rsidR="00C11347" w:rsidRPr="006B5409" w:rsidRDefault="00C11347" w:rsidP="007921DE">
            <w:pPr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t>Ministerio del Interior y Seguridad Pública, Ministerio de Hacienda y Ministerio Secretaría General de la Presidencia</w:t>
            </w:r>
          </w:p>
          <w:p w14:paraId="730ED5DD" w14:textId="77777777" w:rsidR="00C11347" w:rsidRPr="006B5409" w:rsidRDefault="00C11347" w:rsidP="007921DE">
            <w:pPr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t>Ministerio del Interior y Seguridad Pública, Ministerio de Hacienda y Ministerio Secretaría General de la Presidencia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1347" w:rsidRPr="006B5409" w14:paraId="24FAE0E3" w14:textId="77777777" w:rsidTr="007921DE">
        <w:trPr>
          <w:jc w:val="center"/>
        </w:trPr>
        <w:tc>
          <w:tcPr>
            <w:tcW w:w="2271" w:type="dxa"/>
            <w:vMerge/>
          </w:tcPr>
          <w:p w14:paraId="05271399" w14:textId="77777777" w:rsidR="00C11347" w:rsidRPr="006B5409" w:rsidRDefault="00C11347" w:rsidP="007921DE">
            <w:pPr>
              <w:ind w:left="211" w:hanging="2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dxa"/>
          </w:tcPr>
          <w:p w14:paraId="472778D9" w14:textId="25A4908C" w:rsidR="00C11347" w:rsidRPr="006B5409" w:rsidRDefault="00C11347" w:rsidP="00DC31F8">
            <w:pPr>
              <w:pStyle w:val="ListParagraph"/>
              <w:numPr>
                <w:ilvl w:val="1"/>
                <w:numId w:val="1"/>
              </w:numPr>
              <w:ind w:left="40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B5409">
              <w:rPr>
                <w:rFonts w:ascii="Arial" w:hAnsi="Arial" w:cs="Arial"/>
                <w:sz w:val="20"/>
                <w:lang w:val="es-ES"/>
              </w:rPr>
              <w:t>Incorporación, por primera vez en la legislación nacional, del delito de corrupción entre particulares</w:t>
            </w:r>
            <w:r w:rsidR="00E1130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E1130F" w:rsidRPr="0005114C">
              <w:rPr>
                <w:rFonts w:ascii="Arial" w:hAnsi="Arial" w:cs="Arial"/>
                <w:sz w:val="20"/>
                <w:lang w:val="es-ES"/>
              </w:rPr>
              <w:t>en</w:t>
            </w:r>
            <w:bookmarkStart w:id="0" w:name="_GoBack"/>
            <w:bookmarkEnd w:id="0"/>
            <w:r w:rsidR="00E1130F" w:rsidRPr="0005114C">
              <w:rPr>
                <w:rFonts w:ascii="Arial" w:hAnsi="Arial" w:cs="Arial"/>
                <w:sz w:val="20"/>
                <w:lang w:val="es-ES"/>
              </w:rPr>
              <w:t xml:space="preserve"> un proyecto de ley que tipifi</w:t>
            </w:r>
            <w:r w:rsidR="00BF193D">
              <w:rPr>
                <w:rFonts w:ascii="Arial" w:hAnsi="Arial" w:cs="Arial"/>
                <w:sz w:val="20"/>
                <w:lang w:val="es-ES"/>
              </w:rPr>
              <w:t>ca</w:t>
            </w:r>
            <w:r w:rsidR="00E1130F" w:rsidRPr="0005114C">
              <w:rPr>
                <w:rFonts w:ascii="Arial" w:hAnsi="Arial" w:cs="Arial"/>
                <w:sz w:val="20"/>
                <w:lang w:val="es-ES"/>
              </w:rPr>
              <w:t xml:space="preserve"> y sancion</w:t>
            </w:r>
            <w:r w:rsidR="00BF193D">
              <w:rPr>
                <w:rFonts w:ascii="Arial" w:hAnsi="Arial" w:cs="Arial"/>
                <w:sz w:val="20"/>
                <w:lang w:val="es-ES"/>
              </w:rPr>
              <w:t>a</w:t>
            </w:r>
            <w:r w:rsidR="00E1130F" w:rsidRPr="0005114C">
              <w:rPr>
                <w:rFonts w:ascii="Arial" w:hAnsi="Arial" w:cs="Arial"/>
                <w:sz w:val="20"/>
                <w:lang w:val="es-ES"/>
              </w:rPr>
              <w:t xml:space="preserve"> el delito de corrupción entre particulares, </w:t>
            </w:r>
            <w:r w:rsidR="00F87171">
              <w:rPr>
                <w:rFonts w:ascii="Arial" w:hAnsi="Arial" w:cs="Arial"/>
                <w:sz w:val="20"/>
                <w:lang w:val="es-ES"/>
              </w:rPr>
              <w:t xml:space="preserve">y </w:t>
            </w:r>
            <w:r w:rsidR="00E1130F" w:rsidRPr="0005114C">
              <w:rPr>
                <w:rFonts w:ascii="Arial" w:hAnsi="Arial" w:cs="Arial"/>
                <w:sz w:val="20"/>
                <w:lang w:val="es-ES"/>
              </w:rPr>
              <w:t>adici</w:t>
            </w:r>
            <w:r w:rsidR="00F87171">
              <w:rPr>
                <w:rFonts w:ascii="Arial" w:hAnsi="Arial" w:cs="Arial"/>
                <w:sz w:val="20"/>
                <w:lang w:val="es-ES"/>
              </w:rPr>
              <w:t>onalmente</w:t>
            </w:r>
            <w:r w:rsidR="00E1130F" w:rsidRPr="0005114C">
              <w:rPr>
                <w:rFonts w:ascii="Arial" w:hAnsi="Arial" w:cs="Arial"/>
                <w:sz w:val="20"/>
                <w:lang w:val="es-ES"/>
              </w:rPr>
              <w:t xml:space="preserve"> aument</w:t>
            </w:r>
            <w:r w:rsidR="00F87171">
              <w:rPr>
                <w:rFonts w:ascii="Arial" w:hAnsi="Arial" w:cs="Arial"/>
                <w:sz w:val="20"/>
                <w:lang w:val="es-ES"/>
              </w:rPr>
              <w:t>a</w:t>
            </w:r>
            <w:r w:rsidR="00E1130F" w:rsidRPr="0005114C">
              <w:rPr>
                <w:rFonts w:ascii="Arial" w:hAnsi="Arial" w:cs="Arial"/>
                <w:sz w:val="20"/>
                <w:lang w:val="es-ES"/>
              </w:rPr>
              <w:t xml:space="preserve"> las penas asociadas a delitos </w:t>
            </w:r>
            <w:r w:rsidR="00F87171">
              <w:rPr>
                <w:rFonts w:ascii="Arial" w:hAnsi="Arial" w:cs="Arial"/>
                <w:sz w:val="20"/>
                <w:lang w:val="es-ES"/>
              </w:rPr>
              <w:t xml:space="preserve">de corrupción y cohecho </w:t>
            </w:r>
            <w:r w:rsidR="00E1130F" w:rsidRPr="0005114C">
              <w:rPr>
                <w:rFonts w:ascii="Arial" w:hAnsi="Arial" w:cs="Arial"/>
                <w:sz w:val="20"/>
                <w:lang w:val="es-ES"/>
              </w:rPr>
              <w:t>en el ámbito del ejercicio de la función pública</w:t>
            </w:r>
            <w:r w:rsidR="00F87171">
              <w:rPr>
                <w:rFonts w:ascii="Arial" w:hAnsi="Arial" w:cs="Arial"/>
                <w:sz w:val="20"/>
                <w:lang w:val="es-ES"/>
              </w:rPr>
              <w:t>, modificando el Código Penal de conformidad con esto</w:t>
            </w:r>
            <w:r w:rsidR="00E1130F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3752" w:type="dxa"/>
          </w:tcPr>
          <w:p w14:paraId="5053F360" w14:textId="6B079B42" w:rsidR="00C11347" w:rsidRPr="006B5409" w:rsidRDefault="00C11347" w:rsidP="000653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t>Proyecto de Ley que tipifica y sanciona el delito de corrupción entre particulares</w:t>
            </w:r>
            <w:r w:rsidR="000653E1">
              <w:rPr>
                <w:rFonts w:ascii="Arial" w:hAnsi="Arial" w:cs="Arial"/>
                <w:sz w:val="20"/>
                <w:szCs w:val="20"/>
              </w:rPr>
              <w:t xml:space="preserve"> y modifica disposiciones del Código Penal</w:t>
            </w:r>
            <w:r w:rsidRPr="006B5409">
              <w:rPr>
                <w:rFonts w:ascii="Arial" w:hAnsi="Arial" w:cs="Arial"/>
                <w:sz w:val="20"/>
                <w:szCs w:val="20"/>
              </w:rPr>
              <w:t>, ingresado  </w:t>
            </w:r>
            <w:r w:rsidR="000653E1">
              <w:rPr>
                <w:rFonts w:ascii="Arial" w:hAnsi="Arial" w:cs="Arial"/>
                <w:sz w:val="20"/>
                <w:szCs w:val="20"/>
              </w:rPr>
              <w:t>al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 Congreso Nacional, a través de Mensaje</w:t>
            </w:r>
            <w:r w:rsidR="000653E1"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 Ejecutivo con el que se inicia la tramitación de</w:t>
            </w:r>
            <w:r w:rsidR="000653E1">
              <w:rPr>
                <w:rFonts w:ascii="Arial" w:hAnsi="Arial" w:cs="Arial"/>
                <w:sz w:val="20"/>
                <w:szCs w:val="20"/>
              </w:rPr>
              <w:t>l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 proyecto de ley.</w:t>
            </w:r>
          </w:p>
        </w:tc>
        <w:tc>
          <w:tcPr>
            <w:tcW w:w="2548" w:type="dxa"/>
            <w:vAlign w:val="center"/>
          </w:tcPr>
          <w:p w14:paraId="3FAC7BD9" w14:textId="77777777" w:rsidR="00C11347" w:rsidRPr="006B5409" w:rsidRDefault="00C11347" w:rsidP="007921DE">
            <w:pPr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t>Ministerio de Justicia</w:t>
            </w:r>
          </w:p>
          <w:p w14:paraId="571802BB" w14:textId="77777777" w:rsidR="00C11347" w:rsidRPr="006B5409" w:rsidRDefault="00C11347" w:rsidP="007921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DA40A" w14:textId="77777777" w:rsidR="00C11347" w:rsidRPr="006B5409" w:rsidRDefault="00C11347" w:rsidP="00792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347" w:rsidRPr="006B5409" w14:paraId="7E30C1BD" w14:textId="77777777" w:rsidTr="007921DE">
        <w:trPr>
          <w:jc w:val="center"/>
        </w:trPr>
        <w:tc>
          <w:tcPr>
            <w:tcW w:w="2271" w:type="dxa"/>
            <w:vMerge/>
          </w:tcPr>
          <w:p w14:paraId="4792225B" w14:textId="77777777" w:rsidR="00C11347" w:rsidRPr="006B5409" w:rsidRDefault="00C11347" w:rsidP="007921DE">
            <w:pPr>
              <w:ind w:left="211" w:hanging="2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dxa"/>
          </w:tcPr>
          <w:p w14:paraId="4C3CD83F" w14:textId="23E65A69" w:rsidR="00C11347" w:rsidRPr="006B5409" w:rsidRDefault="00C11347" w:rsidP="00DC31F8">
            <w:pPr>
              <w:pStyle w:val="ListParagraph"/>
              <w:numPr>
                <w:ilvl w:val="1"/>
                <w:numId w:val="1"/>
              </w:numPr>
              <w:ind w:left="40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B5409">
              <w:rPr>
                <w:rFonts w:ascii="Arial" w:hAnsi="Arial" w:cs="Arial"/>
                <w:sz w:val="20"/>
                <w:lang w:val="es-ES_tradnl"/>
              </w:rPr>
              <w:t>Fortalecimiento de la institucionalidad</w:t>
            </w:r>
            <w:r w:rsidR="00CB1B4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CB1B49" w:rsidRPr="00DF5C40">
              <w:rPr>
                <w:rFonts w:ascii="Arial" w:hAnsi="Arial" w:cs="Arial"/>
                <w:sz w:val="20"/>
                <w:lang w:val="es-ES_tradnl"/>
              </w:rPr>
              <w:t xml:space="preserve">responsable </w:t>
            </w:r>
            <w:r w:rsidR="00CB1B49" w:rsidRPr="00DF5C40">
              <w:rPr>
                <w:rFonts w:ascii="Arial" w:hAnsi="Arial" w:cs="Arial"/>
                <w:sz w:val="20"/>
                <w:lang w:val="es-ES"/>
              </w:rPr>
              <w:t xml:space="preserve">de administrar la actividad electoral a partir de un proyecto de ley </w:t>
            </w:r>
            <w:r w:rsidR="007B098A">
              <w:rPr>
                <w:rFonts w:ascii="Arial" w:hAnsi="Arial" w:cs="Arial"/>
                <w:sz w:val="20"/>
                <w:lang w:val="es-ES"/>
              </w:rPr>
              <w:t xml:space="preserve">de </w:t>
            </w:r>
            <w:r w:rsidR="007B098A">
              <w:rPr>
                <w:rFonts w:ascii="Arial" w:hAnsi="Arial" w:cs="Arial"/>
                <w:sz w:val="20"/>
                <w:lang w:val="es-ES"/>
              </w:rPr>
              <w:lastRenderedPageBreak/>
              <w:t>Fortalecimiento y Transparencia de la Democracia que, entre sus disposiciones, modifica la Ley No. 18.556 Orgánica Constitucional sobre Sistema de Inscripciones Electorales</w:t>
            </w:r>
            <w:r w:rsidR="00A603D9">
              <w:rPr>
                <w:rFonts w:ascii="Arial" w:hAnsi="Arial" w:cs="Arial"/>
                <w:sz w:val="20"/>
                <w:lang w:val="es-ES"/>
              </w:rPr>
              <w:t xml:space="preserve"> y Servicio Electoral; la cual</w:t>
            </w:r>
            <w:r w:rsidR="00CB1B49" w:rsidRPr="00DF5C40">
              <w:rPr>
                <w:rFonts w:ascii="Arial" w:hAnsi="Arial" w:cs="Arial"/>
                <w:sz w:val="20"/>
                <w:lang w:val="es-ES"/>
              </w:rPr>
              <w:t xml:space="preserve"> fortale</w:t>
            </w:r>
            <w:r w:rsidR="00A603D9">
              <w:rPr>
                <w:rFonts w:ascii="Arial" w:hAnsi="Arial" w:cs="Arial"/>
                <w:sz w:val="20"/>
                <w:lang w:val="es-ES"/>
              </w:rPr>
              <w:t>ce</w:t>
            </w:r>
            <w:r w:rsidR="00CB1B49" w:rsidRPr="00DF5C40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CB1B49" w:rsidRPr="00DF5C40">
              <w:rPr>
                <w:rFonts w:ascii="Arial" w:hAnsi="Arial" w:cs="Arial"/>
                <w:color w:val="000000"/>
                <w:sz w:val="20"/>
                <w:lang w:val="es-ES"/>
              </w:rPr>
              <w:t>las facultades administrativas y de fiscalización del SERVEL, tales como la facultad de supervisar la rendición de cuentas, de realizar y ordenar auditorías a los estados anuales de cuenta pública, la facultad de acceder a los libros de cuentas y documentos que permitan fiscalizar el estado financiero de los sujetos bajo su supervisión, entre otras</w:t>
            </w:r>
            <w:r w:rsidR="00CB1B49">
              <w:rPr>
                <w:rFonts w:ascii="Arial" w:hAnsi="Arial" w:cs="Arial"/>
                <w:color w:val="000000"/>
                <w:sz w:val="20"/>
                <w:lang w:val="es-ES"/>
              </w:rPr>
              <w:t>.</w:t>
            </w:r>
          </w:p>
        </w:tc>
        <w:tc>
          <w:tcPr>
            <w:tcW w:w="3752" w:type="dxa"/>
          </w:tcPr>
          <w:p w14:paraId="5540C4E6" w14:textId="7436FB47" w:rsidR="00C11347" w:rsidRPr="006B5409" w:rsidRDefault="00C11347" w:rsidP="000653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lastRenderedPageBreak/>
              <w:t xml:space="preserve">Proyecto de </w:t>
            </w:r>
            <w:r w:rsidRPr="006B54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Ley </w:t>
            </w:r>
            <w:r w:rsidR="000653E1">
              <w:rPr>
                <w:rFonts w:ascii="Arial" w:hAnsi="Arial" w:cs="Arial"/>
                <w:sz w:val="20"/>
                <w:szCs w:val="20"/>
                <w:lang w:val="es-ES_tradnl"/>
              </w:rPr>
              <w:t>para el</w:t>
            </w:r>
            <w:r w:rsidRPr="006B54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Fortalecimiento y Transparencia de la Democracia</w:t>
            </w:r>
            <w:r w:rsidR="00CB1B49">
              <w:rPr>
                <w:rFonts w:ascii="Arial" w:hAnsi="Arial" w:cs="Arial"/>
                <w:sz w:val="20"/>
                <w:szCs w:val="20"/>
                <w:lang w:val="es-ES_tradnl"/>
              </w:rPr>
              <w:t>, que</w:t>
            </w:r>
            <w:r w:rsidR="000653E1">
              <w:rPr>
                <w:rFonts w:ascii="Arial" w:hAnsi="Arial" w:cs="Arial"/>
                <w:sz w:val="20"/>
                <w:szCs w:val="20"/>
                <w:lang w:val="es-ES_tradnl"/>
              </w:rPr>
              <w:t>, entre sus disposiciones,</w:t>
            </w:r>
            <w:r w:rsidR="00CB1B4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B1B49" w:rsidRPr="00CB1B49">
              <w:rPr>
                <w:rFonts w:ascii="Arial" w:hAnsi="Arial" w:cs="Arial"/>
                <w:color w:val="000000"/>
                <w:sz w:val="18"/>
                <w:szCs w:val="18"/>
              </w:rPr>
              <w:t xml:space="preserve">modifica la </w:t>
            </w:r>
            <w:r w:rsidR="00CB1B49" w:rsidRPr="00CB1B4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ley N° 18.556 Orgánica Constitucional sobre Sistema de Inscripciones Electorales y Servicio Electoral</w:t>
            </w:r>
            <w:r w:rsidR="002B3EE3">
              <w:rPr>
                <w:rFonts w:ascii="Arial" w:hAnsi="Arial" w:cs="Arial"/>
                <w:color w:val="000000"/>
                <w:sz w:val="18"/>
                <w:szCs w:val="18"/>
              </w:rPr>
              <w:t xml:space="preserve"> (SERVEL)</w:t>
            </w:r>
            <w:r w:rsidR="00CB1B49" w:rsidRPr="00CB1B49">
              <w:rPr>
                <w:rFonts w:ascii="Arial" w:hAnsi="Arial" w:cs="Arial"/>
                <w:color w:val="000000"/>
                <w:sz w:val="18"/>
                <w:szCs w:val="18"/>
              </w:rPr>
              <w:t>, dot</w:t>
            </w:r>
            <w:r w:rsidR="000653E1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CB1B49" w:rsidRPr="00CB1B49">
              <w:rPr>
                <w:rFonts w:ascii="Arial" w:hAnsi="Arial" w:cs="Arial"/>
                <w:color w:val="000000"/>
                <w:sz w:val="18"/>
                <w:szCs w:val="18"/>
              </w:rPr>
              <w:t>ndo</w:t>
            </w:r>
            <w:r w:rsidR="000653E1">
              <w:rPr>
                <w:rFonts w:ascii="Arial" w:hAnsi="Arial" w:cs="Arial"/>
                <w:color w:val="000000"/>
                <w:sz w:val="18"/>
                <w:szCs w:val="18"/>
              </w:rPr>
              <w:t xml:space="preserve"> al SERVEL</w:t>
            </w:r>
            <w:r w:rsidR="00CB1B49" w:rsidRPr="00CB1B4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potestades que le permitan velar adecuadamente por la eficacia de la ley</w:t>
            </w:r>
            <w:r w:rsidR="002B3EE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6B54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B5409">
              <w:rPr>
                <w:rFonts w:ascii="Arial" w:hAnsi="Arial" w:cs="Arial"/>
                <w:sz w:val="20"/>
                <w:szCs w:val="20"/>
              </w:rPr>
              <w:t>ingresado  </w:t>
            </w:r>
            <w:r w:rsidR="000653E1">
              <w:rPr>
                <w:rFonts w:ascii="Arial" w:hAnsi="Arial" w:cs="Arial"/>
                <w:sz w:val="20"/>
                <w:szCs w:val="20"/>
              </w:rPr>
              <w:t>a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l Congreso Nacional, a través de Mensaje </w:t>
            </w:r>
            <w:r w:rsidR="000653E1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6B5409">
              <w:rPr>
                <w:rFonts w:ascii="Arial" w:hAnsi="Arial" w:cs="Arial"/>
                <w:sz w:val="20"/>
                <w:szCs w:val="20"/>
              </w:rPr>
              <w:t>Ejecutivo con el que se inicia la tramitación de</w:t>
            </w:r>
            <w:r w:rsidR="000653E1">
              <w:rPr>
                <w:rFonts w:ascii="Arial" w:hAnsi="Arial" w:cs="Arial"/>
                <w:sz w:val="20"/>
                <w:szCs w:val="20"/>
              </w:rPr>
              <w:t>l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 proyecto de ley.</w:t>
            </w:r>
          </w:p>
        </w:tc>
        <w:tc>
          <w:tcPr>
            <w:tcW w:w="2548" w:type="dxa"/>
            <w:vAlign w:val="center"/>
          </w:tcPr>
          <w:p w14:paraId="30CE877E" w14:textId="77777777" w:rsidR="00C11347" w:rsidRPr="006B5409" w:rsidRDefault="00C11347" w:rsidP="007921D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lastRenderedPageBreak/>
              <w:t xml:space="preserve">Ministerio del Interior y Seguridad Pública, y Ministerio Secretaría </w:t>
            </w:r>
            <w:r w:rsidRPr="006B5409">
              <w:rPr>
                <w:rFonts w:ascii="Arial" w:hAnsi="Arial" w:cs="Arial"/>
                <w:sz w:val="20"/>
                <w:szCs w:val="20"/>
              </w:rPr>
              <w:lastRenderedPageBreak/>
              <w:t>General de la Presidencia (SEGPRES)</w:t>
            </w:r>
          </w:p>
        </w:tc>
      </w:tr>
      <w:tr w:rsidR="000A5878" w:rsidRPr="006B5409" w14:paraId="53E2B33F" w14:textId="77777777" w:rsidTr="007921DE">
        <w:trPr>
          <w:jc w:val="center"/>
        </w:trPr>
        <w:tc>
          <w:tcPr>
            <w:tcW w:w="2271" w:type="dxa"/>
            <w:vMerge w:val="restart"/>
            <w:vAlign w:val="center"/>
          </w:tcPr>
          <w:p w14:paraId="2F856F1D" w14:textId="77777777" w:rsidR="000A5878" w:rsidRPr="006B5409" w:rsidRDefault="000A5878" w:rsidP="003A4ECE">
            <w:pPr>
              <w:pStyle w:val="ListParagraph"/>
              <w:numPr>
                <w:ilvl w:val="0"/>
                <w:numId w:val="1"/>
              </w:numPr>
              <w:ind w:left="211" w:hanging="270"/>
              <w:rPr>
                <w:rFonts w:ascii="Arial" w:hAnsi="Arial" w:cs="Arial"/>
                <w:sz w:val="20"/>
                <w:lang w:val="es-ES"/>
              </w:rPr>
            </w:pPr>
            <w:r w:rsidRPr="006B5409">
              <w:rPr>
                <w:rFonts w:ascii="Arial" w:hAnsi="Arial" w:cs="Arial"/>
                <w:sz w:val="20"/>
                <w:lang w:val="es-ES"/>
              </w:rPr>
              <w:lastRenderedPageBreak/>
              <w:t>Prevenir la corrupción contribuyendo a una conducta ética, íntegra y transparente en la administración pública.</w:t>
            </w:r>
          </w:p>
        </w:tc>
        <w:tc>
          <w:tcPr>
            <w:tcW w:w="4708" w:type="dxa"/>
          </w:tcPr>
          <w:p w14:paraId="2D048454" w14:textId="7C52D397" w:rsidR="000A5878" w:rsidRPr="006B5409" w:rsidRDefault="000A5878" w:rsidP="00A603D9">
            <w:pPr>
              <w:pStyle w:val="ListParagraph"/>
              <w:numPr>
                <w:ilvl w:val="1"/>
                <w:numId w:val="1"/>
              </w:numPr>
              <w:ind w:left="40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6B5409">
              <w:rPr>
                <w:rFonts w:ascii="Arial" w:hAnsi="Arial" w:cs="Arial"/>
                <w:sz w:val="20"/>
                <w:lang w:val="es-ES"/>
              </w:rPr>
              <w:t xml:space="preserve">Perfeccionamiento del Sistema de Alta Dirección Pública (SADP) </w:t>
            </w:r>
            <w:r w:rsidR="00F34302">
              <w:rPr>
                <w:rFonts w:ascii="Arial" w:hAnsi="Arial" w:cs="Arial"/>
                <w:sz w:val="20"/>
                <w:lang w:val="es-ES"/>
              </w:rPr>
              <w:t xml:space="preserve">a partir de un proyecto de Ley que propone </w:t>
            </w:r>
            <w:r w:rsidRPr="006B5409">
              <w:rPr>
                <w:rFonts w:ascii="Arial" w:hAnsi="Arial" w:cs="Arial"/>
                <w:sz w:val="20"/>
                <w:lang w:val="es-ES"/>
              </w:rPr>
              <w:t xml:space="preserve">medidas como: </w:t>
            </w:r>
            <w:r w:rsidRPr="0093660B">
              <w:rPr>
                <w:rFonts w:ascii="Arial" w:hAnsi="Arial" w:cs="Arial"/>
                <w:sz w:val="18"/>
                <w:szCs w:val="18"/>
                <w:lang w:val="es-ES"/>
              </w:rPr>
              <w:t>amplia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ción de</w:t>
            </w:r>
            <w:r w:rsidRPr="0093660B">
              <w:rPr>
                <w:rFonts w:ascii="Arial" w:hAnsi="Arial" w:cs="Arial"/>
                <w:sz w:val="18"/>
                <w:szCs w:val="18"/>
                <w:lang w:val="es-ES"/>
              </w:rPr>
              <w:t xml:space="preserve"> la inclusión de nuevos servicios públicos y cargos</w:t>
            </w:r>
            <w:r w:rsidR="00A603D9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Pr="0093660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A603D9">
              <w:rPr>
                <w:rFonts w:ascii="Arial" w:hAnsi="Arial" w:cs="Arial"/>
                <w:sz w:val="18"/>
                <w:szCs w:val="18"/>
                <w:lang w:val="es-ES"/>
              </w:rPr>
              <w:t xml:space="preserve">y modalidades para ello; </w:t>
            </w:r>
            <w:r w:rsidRPr="0093660B">
              <w:rPr>
                <w:rFonts w:ascii="Arial" w:hAnsi="Arial" w:cs="Arial"/>
                <w:sz w:val="18"/>
                <w:szCs w:val="18"/>
                <w:lang w:val="es-ES"/>
              </w:rPr>
              <w:t>mejora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</w:t>
            </w:r>
            <w:r w:rsidRPr="0093660B">
              <w:rPr>
                <w:rFonts w:ascii="Arial" w:hAnsi="Arial" w:cs="Arial"/>
                <w:sz w:val="18"/>
                <w:szCs w:val="18"/>
                <w:lang w:val="es-ES"/>
              </w:rPr>
              <w:t xml:space="preserve"> la gobernanza y fortalec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imiento de</w:t>
            </w:r>
            <w:r w:rsidRPr="0093660B">
              <w:rPr>
                <w:rFonts w:ascii="Arial" w:hAnsi="Arial" w:cs="Arial"/>
                <w:sz w:val="18"/>
                <w:szCs w:val="18"/>
                <w:lang w:val="es-ES"/>
              </w:rPr>
              <w:t xml:space="preserve"> las garantías de mérito y profesionalismo del SADP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;</w:t>
            </w:r>
            <w:r w:rsidRPr="0093660B">
              <w:rPr>
                <w:rFonts w:ascii="Arial" w:hAnsi="Arial" w:cs="Arial"/>
                <w:sz w:val="18"/>
                <w:szCs w:val="18"/>
                <w:lang w:val="es-ES"/>
              </w:rPr>
              <w:t xml:space="preserve"> y vincula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ción</w:t>
            </w:r>
            <w:r w:rsidRPr="0093660B">
              <w:rPr>
                <w:rFonts w:ascii="Arial" w:hAnsi="Arial" w:cs="Arial"/>
                <w:sz w:val="18"/>
                <w:szCs w:val="18"/>
                <w:lang w:val="es-ES"/>
              </w:rPr>
              <w:t xml:space="preserve"> efectiv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93660B">
              <w:rPr>
                <w:rFonts w:ascii="Arial" w:hAnsi="Arial" w:cs="Arial"/>
                <w:sz w:val="18"/>
                <w:szCs w:val="18"/>
                <w:lang w:val="es-ES"/>
              </w:rPr>
              <w:t xml:space="preserve"> la gestión del desempeño de los altos directivos públicos con los objetivos estratégicos del gobierno y objetivar su desvinculación, entre otros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3752" w:type="dxa"/>
            <w:vMerge w:val="restart"/>
          </w:tcPr>
          <w:p w14:paraId="2155475C" w14:textId="5D7B5DF6" w:rsidR="000A5878" w:rsidRDefault="000A5878" w:rsidP="0079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t>Proyecto de Ley que perfecciona el Sistema de Alta Dirección Pública (SADP) y fortalece la Dirección Nacional del Servicio Civil (DNSC)</w:t>
            </w:r>
            <w:r w:rsidRPr="00CD43A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D43AE">
              <w:rPr>
                <w:rFonts w:ascii="Arial" w:hAnsi="Arial" w:cs="Arial"/>
                <w:spacing w:val="-3"/>
                <w:sz w:val="20"/>
                <w:szCs w:val="20"/>
              </w:rPr>
              <w:t xml:space="preserve">proponiendo </w:t>
            </w:r>
            <w:r w:rsidR="00516B63">
              <w:rPr>
                <w:rFonts w:ascii="Arial" w:hAnsi="Arial" w:cs="Arial"/>
                <w:spacing w:val="-3"/>
                <w:sz w:val="20"/>
                <w:szCs w:val="20"/>
              </w:rPr>
              <w:t xml:space="preserve">las modalidades para </w:t>
            </w:r>
            <w:r w:rsidRPr="00CD43AE">
              <w:rPr>
                <w:rFonts w:ascii="Arial" w:hAnsi="Arial" w:cs="Arial"/>
                <w:spacing w:val="-3"/>
                <w:sz w:val="20"/>
                <w:szCs w:val="20"/>
              </w:rPr>
              <w:t>la inclusión de nuevos Servicios Públicos y cargos al SADP y</w:t>
            </w:r>
            <w:r w:rsidRPr="00CD43AE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estableciendo nuevas funciones y atribuciones para la DNSC,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 ingresado  </w:t>
            </w:r>
            <w:r w:rsidR="00516B63">
              <w:rPr>
                <w:rFonts w:ascii="Arial" w:hAnsi="Arial" w:cs="Arial"/>
                <w:sz w:val="20"/>
                <w:szCs w:val="20"/>
              </w:rPr>
              <w:t>a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l Congreso Nacional, a través de Mensaje </w:t>
            </w:r>
            <w:r w:rsidR="00516B63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6B5409">
              <w:rPr>
                <w:rFonts w:ascii="Arial" w:hAnsi="Arial" w:cs="Arial"/>
                <w:sz w:val="20"/>
                <w:szCs w:val="20"/>
              </w:rPr>
              <w:t>Ejecutivo con el que se inicia la tramitación de</w:t>
            </w:r>
            <w:r w:rsidR="00516B63">
              <w:rPr>
                <w:rFonts w:ascii="Arial" w:hAnsi="Arial" w:cs="Arial"/>
                <w:sz w:val="20"/>
                <w:szCs w:val="20"/>
              </w:rPr>
              <w:t>l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 proyecto de ley.</w:t>
            </w:r>
          </w:p>
          <w:p w14:paraId="5F9F5AC7" w14:textId="77777777" w:rsidR="009B7312" w:rsidRDefault="009B7312" w:rsidP="0079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264643" w14:textId="1F3F85A1" w:rsidR="000A5878" w:rsidRPr="006B5409" w:rsidRDefault="009B7312" w:rsidP="00023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NOTA: este Medio de Verificación es el mismo para los compromisos de política 3.1 y 3.2.</w:t>
            </w:r>
          </w:p>
        </w:tc>
        <w:tc>
          <w:tcPr>
            <w:tcW w:w="2548" w:type="dxa"/>
            <w:vAlign w:val="center"/>
          </w:tcPr>
          <w:p w14:paraId="4D626C54" w14:textId="77777777" w:rsidR="000A5878" w:rsidRPr="006B5409" w:rsidRDefault="000A5878" w:rsidP="007921DE">
            <w:pPr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  <w:lang w:val="es-ES_tradnl"/>
              </w:rPr>
              <w:t>Ministerio de Hacienda</w:t>
            </w:r>
          </w:p>
        </w:tc>
      </w:tr>
      <w:tr w:rsidR="000A5878" w:rsidRPr="006B5409" w14:paraId="426264A5" w14:textId="77777777" w:rsidTr="007921DE">
        <w:trPr>
          <w:trHeight w:val="350"/>
          <w:jc w:val="center"/>
        </w:trPr>
        <w:tc>
          <w:tcPr>
            <w:tcW w:w="2271" w:type="dxa"/>
            <w:vMerge/>
          </w:tcPr>
          <w:p w14:paraId="3B0364D5" w14:textId="77777777" w:rsidR="000A5878" w:rsidRPr="006B5409" w:rsidRDefault="000A5878" w:rsidP="0079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dxa"/>
          </w:tcPr>
          <w:p w14:paraId="0C401D44" w14:textId="3F5F15EC" w:rsidR="000A5878" w:rsidRPr="006B5409" w:rsidRDefault="000A5878" w:rsidP="006C7F26">
            <w:pPr>
              <w:pStyle w:val="ListParagraph"/>
              <w:numPr>
                <w:ilvl w:val="1"/>
                <w:numId w:val="1"/>
              </w:numPr>
              <w:ind w:left="40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B5409">
              <w:rPr>
                <w:rFonts w:ascii="Arial" w:hAnsi="Arial" w:cs="Arial"/>
                <w:sz w:val="20"/>
                <w:lang w:val="es-ES"/>
              </w:rPr>
              <w:t xml:space="preserve">Fortalecimiento de las facultades de la DNSC, </w:t>
            </w:r>
            <w:r w:rsidRPr="00302EAD">
              <w:rPr>
                <w:rFonts w:ascii="Arial" w:hAnsi="Arial" w:cs="Arial"/>
                <w:sz w:val="20"/>
                <w:lang w:val="es-ES"/>
              </w:rPr>
              <w:t xml:space="preserve">a partir de un proyecto de ley que propone </w:t>
            </w:r>
            <w:r w:rsidRPr="006B5409">
              <w:rPr>
                <w:rFonts w:ascii="Arial" w:hAnsi="Arial" w:cs="Arial"/>
                <w:sz w:val="20"/>
                <w:lang w:val="es-ES"/>
              </w:rPr>
              <w:t>otorg</w:t>
            </w:r>
            <w:r>
              <w:rPr>
                <w:rFonts w:ascii="Arial" w:hAnsi="Arial" w:cs="Arial"/>
                <w:sz w:val="20"/>
                <w:lang w:val="es-ES"/>
              </w:rPr>
              <w:t>arle</w:t>
            </w:r>
            <w:r w:rsidRPr="006B5409">
              <w:rPr>
                <w:rFonts w:ascii="Arial" w:hAnsi="Arial" w:cs="Arial"/>
                <w:sz w:val="20"/>
                <w:lang w:val="es-ES"/>
              </w:rPr>
              <w:t xml:space="preserve"> más funciones y atribuciones que le autoricen a impartir directrices a los Servicios Públicos en materia de gestión y desarrollo de personas.</w:t>
            </w:r>
          </w:p>
        </w:tc>
        <w:tc>
          <w:tcPr>
            <w:tcW w:w="3752" w:type="dxa"/>
            <w:vMerge/>
          </w:tcPr>
          <w:p w14:paraId="12AF8409" w14:textId="77777777" w:rsidR="000A5878" w:rsidRPr="006B5409" w:rsidRDefault="000A5878" w:rsidP="00023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14:paraId="726907F0" w14:textId="77777777" w:rsidR="000A5878" w:rsidRPr="006B5409" w:rsidRDefault="000A5878" w:rsidP="007921DE">
            <w:pPr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  <w:lang w:val="es-ES_tradnl"/>
              </w:rPr>
              <w:t>Ministerio de Hacienda</w:t>
            </w:r>
          </w:p>
        </w:tc>
      </w:tr>
      <w:tr w:rsidR="00C11347" w:rsidRPr="006B5409" w14:paraId="67B259B9" w14:textId="77777777" w:rsidTr="007921DE">
        <w:trPr>
          <w:trHeight w:val="350"/>
          <w:jc w:val="center"/>
        </w:trPr>
        <w:tc>
          <w:tcPr>
            <w:tcW w:w="2271" w:type="dxa"/>
            <w:vMerge/>
          </w:tcPr>
          <w:p w14:paraId="53BBDB57" w14:textId="77777777" w:rsidR="00C11347" w:rsidRPr="006B5409" w:rsidRDefault="00C11347" w:rsidP="0079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dxa"/>
          </w:tcPr>
          <w:p w14:paraId="68DA8ACB" w14:textId="1580EEA9" w:rsidR="00C11347" w:rsidRPr="006B5409" w:rsidRDefault="00C11347" w:rsidP="001C7A13">
            <w:pPr>
              <w:pStyle w:val="ListParagraph"/>
              <w:numPr>
                <w:ilvl w:val="1"/>
                <w:numId w:val="1"/>
              </w:numPr>
              <w:ind w:left="40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B5409">
              <w:rPr>
                <w:rFonts w:ascii="Arial" w:hAnsi="Arial" w:cs="Arial"/>
                <w:sz w:val="20"/>
                <w:lang w:val="es-ES"/>
              </w:rPr>
              <w:t xml:space="preserve">Ampliación de la </w:t>
            </w:r>
            <w:r w:rsidR="00E46779">
              <w:rPr>
                <w:rFonts w:ascii="Arial" w:hAnsi="Arial" w:cs="Arial"/>
                <w:sz w:val="20"/>
                <w:lang w:val="es-ES"/>
              </w:rPr>
              <w:t xml:space="preserve">difusión y la </w:t>
            </w:r>
            <w:r w:rsidRPr="006B5409">
              <w:rPr>
                <w:rFonts w:ascii="Arial" w:hAnsi="Arial" w:cs="Arial"/>
                <w:sz w:val="20"/>
                <w:lang w:val="es-ES"/>
              </w:rPr>
              <w:t xml:space="preserve">transparencia </w:t>
            </w:r>
            <w:r w:rsidR="00E46779">
              <w:rPr>
                <w:rFonts w:ascii="Arial" w:hAnsi="Arial" w:cs="Arial"/>
                <w:sz w:val="20"/>
                <w:lang w:val="es-ES"/>
              </w:rPr>
              <w:t xml:space="preserve">de las convocatorias </w:t>
            </w:r>
            <w:r w:rsidR="001C7A13">
              <w:rPr>
                <w:rFonts w:ascii="Arial" w:hAnsi="Arial" w:cs="Arial"/>
                <w:sz w:val="20"/>
                <w:lang w:val="es-ES"/>
              </w:rPr>
              <w:t>a concursos públicos y procesos de postulación y/o selección de personas</w:t>
            </w:r>
            <w:r w:rsidRPr="006B5409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E46779" w:rsidRPr="00C8133A">
              <w:rPr>
                <w:rFonts w:ascii="Arial" w:hAnsi="Arial" w:cs="Arial"/>
                <w:sz w:val="20"/>
                <w:lang w:val="es-ES"/>
              </w:rPr>
              <w:t xml:space="preserve">mediante un </w:t>
            </w:r>
            <w:r w:rsidR="001C7A13">
              <w:rPr>
                <w:rFonts w:ascii="Arial" w:hAnsi="Arial" w:cs="Arial"/>
                <w:sz w:val="20"/>
                <w:lang w:val="es-ES"/>
              </w:rPr>
              <w:t xml:space="preserve">oficio ordinario </w:t>
            </w:r>
            <w:r w:rsidR="00E46779" w:rsidRPr="00C8133A">
              <w:rPr>
                <w:rFonts w:ascii="Arial" w:hAnsi="Arial" w:cs="Arial"/>
                <w:sz w:val="20"/>
                <w:lang w:val="es-ES"/>
              </w:rPr>
              <w:t xml:space="preserve">del Ministerio de Hacienda </w:t>
            </w:r>
            <w:r w:rsidR="001C7A13">
              <w:rPr>
                <w:rFonts w:ascii="Arial" w:hAnsi="Arial" w:cs="Arial"/>
                <w:sz w:val="20"/>
                <w:lang w:val="es-ES"/>
              </w:rPr>
              <w:t xml:space="preserve">conteniendo un instructivo </w:t>
            </w:r>
            <w:r w:rsidR="00E46779" w:rsidRPr="00C8133A">
              <w:rPr>
                <w:rFonts w:ascii="Arial" w:hAnsi="Arial" w:cs="Arial"/>
                <w:sz w:val="20"/>
                <w:lang w:val="es-ES"/>
              </w:rPr>
              <w:t xml:space="preserve">para el uso obligatorio del portal </w:t>
            </w:r>
            <w:r w:rsidR="00E46779" w:rsidRPr="00C8133A">
              <w:rPr>
                <w:rFonts w:ascii="Arial" w:hAnsi="Arial" w:cs="Arial"/>
                <w:sz w:val="20"/>
                <w:lang w:val="es-ES"/>
              </w:rPr>
              <w:lastRenderedPageBreak/>
              <w:t>"Empleos Públicos" (</w:t>
            </w:r>
            <w:r w:rsidR="003A4ECE">
              <w:fldChar w:fldCharType="begin"/>
            </w:r>
            <w:r w:rsidR="003A4ECE" w:rsidRPr="003A4ECE">
              <w:rPr>
                <w:lang w:val="es-ES_tradnl"/>
                <w:rPrChange w:id="1" w:author="IADB" w:date="2015-11-13T13:16:00Z">
                  <w:rPr/>
                </w:rPrChange>
              </w:rPr>
              <w:instrText xml:space="preserve"> HYPERLINK "http://www.empleospublicos.cl" </w:instrText>
            </w:r>
            <w:r w:rsidR="003A4ECE">
              <w:fldChar w:fldCharType="separate"/>
            </w:r>
            <w:r w:rsidR="00E46779" w:rsidRPr="00C8133A">
              <w:rPr>
                <w:rStyle w:val="Hyperlink"/>
                <w:rFonts w:ascii="Arial" w:hAnsi="Arial" w:cs="Arial"/>
                <w:sz w:val="20"/>
                <w:lang w:val="es-ES"/>
              </w:rPr>
              <w:t>www.empleospublicos.cl</w:t>
            </w:r>
            <w:r w:rsidR="003A4ECE">
              <w:rPr>
                <w:rStyle w:val="Hyperlink"/>
                <w:rFonts w:ascii="Arial" w:hAnsi="Arial" w:cs="Arial"/>
                <w:sz w:val="20"/>
                <w:lang w:val="es-ES"/>
              </w:rPr>
              <w:fldChar w:fldCharType="end"/>
            </w:r>
            <w:r w:rsidR="00E46779" w:rsidRPr="00C8133A">
              <w:rPr>
                <w:rFonts w:ascii="Arial" w:hAnsi="Arial" w:cs="Arial"/>
                <w:sz w:val="20"/>
                <w:lang w:val="es-ES"/>
              </w:rPr>
              <w:t>) de la DNSC para todo tipo de contratos de trabajo, favoreciendo a su vez la igualdad en el acceso a éstos</w:t>
            </w:r>
            <w:r w:rsidR="00E46779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3752" w:type="dxa"/>
          </w:tcPr>
          <w:p w14:paraId="1936DA1B" w14:textId="2518E18D" w:rsidR="00C11347" w:rsidRDefault="00C11347" w:rsidP="0079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Oficio Ordinario del Ministerio de Hacienda  </w:t>
            </w:r>
            <w:r w:rsidR="00516B63">
              <w:rPr>
                <w:rFonts w:ascii="Arial" w:hAnsi="Arial" w:cs="Arial"/>
                <w:sz w:val="20"/>
                <w:szCs w:val="20"/>
                <w:lang w:val="es-ES_tradnl"/>
              </w:rPr>
              <w:t>emitido y enviado</w:t>
            </w:r>
            <w:r w:rsidR="00516B63" w:rsidRPr="006B54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B5409">
              <w:rPr>
                <w:rFonts w:ascii="Arial" w:hAnsi="Arial" w:cs="Arial"/>
                <w:sz w:val="20"/>
                <w:szCs w:val="20"/>
                <w:lang w:val="es-ES_tradnl"/>
              </w:rPr>
              <w:t>a los Servicios Públicos de la Administración Civil del Estado</w:t>
            </w:r>
            <w:r w:rsidR="00516B63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6B54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B5409">
              <w:rPr>
                <w:rFonts w:ascii="Arial" w:hAnsi="Arial" w:cs="Arial"/>
                <w:sz w:val="20"/>
                <w:szCs w:val="20"/>
              </w:rPr>
              <w:t>instruyendo el uso obligatorio</w:t>
            </w:r>
            <w:r w:rsidR="00516B63" w:rsidRPr="006B5409">
              <w:rPr>
                <w:rFonts w:ascii="Arial" w:hAnsi="Arial" w:cs="Arial"/>
                <w:sz w:val="20"/>
                <w:szCs w:val="20"/>
              </w:rPr>
              <w:t xml:space="preserve"> del portal "Empleos Públicos" (</w:t>
            </w:r>
            <w:hyperlink r:id="rId8" w:history="1">
              <w:r w:rsidR="00516B63" w:rsidRPr="006B5409">
                <w:rPr>
                  <w:rStyle w:val="Hyperlink"/>
                  <w:rFonts w:ascii="Arial" w:hAnsi="Arial" w:cs="Arial"/>
                  <w:sz w:val="20"/>
                  <w:szCs w:val="20"/>
                </w:rPr>
                <w:t>www.empleospublicos.cl</w:t>
              </w:r>
            </w:hyperlink>
            <w:r w:rsidR="00516B63" w:rsidRPr="006B5409">
              <w:rPr>
                <w:rFonts w:ascii="Arial" w:hAnsi="Arial" w:cs="Arial"/>
                <w:sz w:val="20"/>
                <w:szCs w:val="20"/>
              </w:rPr>
              <w:t xml:space="preserve">) de </w:t>
            </w:r>
            <w:r w:rsidR="00516B63" w:rsidRPr="006B5409">
              <w:rPr>
                <w:rFonts w:ascii="Arial" w:hAnsi="Arial" w:cs="Arial"/>
                <w:sz w:val="20"/>
                <w:szCs w:val="20"/>
              </w:rPr>
              <w:lastRenderedPageBreak/>
              <w:t xml:space="preserve">la DNSC para </w:t>
            </w:r>
            <w:r w:rsidR="00516B63">
              <w:rPr>
                <w:rFonts w:ascii="Arial" w:hAnsi="Arial" w:cs="Arial"/>
                <w:sz w:val="20"/>
                <w:szCs w:val="20"/>
              </w:rPr>
              <w:t>la difusión de las convocatorias a concursos públicos y procesos de postulación y/o de selección de personas</w:t>
            </w:r>
            <w:r w:rsidR="0032698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0B870F" w14:textId="4B731699" w:rsidR="00326989" w:rsidRPr="006B5409" w:rsidRDefault="00326989" w:rsidP="0079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14:paraId="0C4900DA" w14:textId="77777777" w:rsidR="00C11347" w:rsidRPr="006B5409" w:rsidRDefault="00C11347" w:rsidP="007921D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B5409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Ministerio de Hacienda</w:t>
            </w:r>
          </w:p>
        </w:tc>
      </w:tr>
      <w:tr w:rsidR="00C11347" w:rsidRPr="006B5409" w14:paraId="358EB5E1" w14:textId="77777777" w:rsidTr="007921DE">
        <w:trPr>
          <w:jc w:val="center"/>
        </w:trPr>
        <w:tc>
          <w:tcPr>
            <w:tcW w:w="2271" w:type="dxa"/>
            <w:vMerge/>
          </w:tcPr>
          <w:p w14:paraId="402906B1" w14:textId="6859EE36" w:rsidR="00C11347" w:rsidRPr="006B5409" w:rsidRDefault="00C11347" w:rsidP="0079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dxa"/>
          </w:tcPr>
          <w:p w14:paraId="00F29124" w14:textId="720C6173" w:rsidR="00C11347" w:rsidRPr="006B5409" w:rsidRDefault="00C11347" w:rsidP="00154799">
            <w:pPr>
              <w:pStyle w:val="ListParagraph"/>
              <w:numPr>
                <w:ilvl w:val="1"/>
                <w:numId w:val="1"/>
              </w:numPr>
              <w:ind w:left="40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B5409">
              <w:rPr>
                <w:rFonts w:ascii="Arial" w:hAnsi="Arial" w:cs="Arial"/>
                <w:sz w:val="20"/>
                <w:lang w:val="es-ES"/>
              </w:rPr>
              <w:t>Definición de estándares de comportamiento para el desempeño ético, probo y transparente de la función que desarrollan los funcionarios públicos</w:t>
            </w:r>
            <w:r w:rsidR="00154799">
              <w:rPr>
                <w:rFonts w:ascii="Arial" w:hAnsi="Arial" w:cs="Arial"/>
                <w:sz w:val="20"/>
                <w:lang w:val="es-ES"/>
              </w:rPr>
              <w:t xml:space="preserve"> a </w:t>
            </w:r>
            <w:r w:rsidR="00154799" w:rsidRPr="00154799">
              <w:rPr>
                <w:rFonts w:ascii="Arial" w:hAnsi="Arial" w:cs="Arial"/>
                <w:sz w:val="20"/>
                <w:lang w:val="es-ES"/>
              </w:rPr>
              <w:t xml:space="preserve">partir del establecimiento de directrices generales que </w:t>
            </w:r>
            <w:r w:rsidR="001C7A13">
              <w:rPr>
                <w:rFonts w:ascii="Arial" w:hAnsi="Arial" w:cs="Arial"/>
                <w:sz w:val="20"/>
                <w:lang w:val="es-ES"/>
              </w:rPr>
              <w:t xml:space="preserve">impartirá el Ministerio de Hacienda, mediante oficio ordinario, que </w:t>
            </w:r>
            <w:r w:rsidR="00154799" w:rsidRPr="00154799">
              <w:rPr>
                <w:rFonts w:ascii="Arial" w:hAnsi="Arial" w:cs="Arial"/>
                <w:sz w:val="20"/>
                <w:lang w:val="es-ES"/>
              </w:rPr>
              <w:t>orientarán la elaboración</w:t>
            </w:r>
            <w:r w:rsidR="001C7A13">
              <w:rPr>
                <w:rFonts w:ascii="Arial" w:hAnsi="Arial" w:cs="Arial"/>
                <w:sz w:val="20"/>
                <w:lang w:val="es-ES"/>
              </w:rPr>
              <w:t xml:space="preserve"> de códigos de ética de los distintos Servicios Públicos</w:t>
            </w:r>
            <w:r w:rsidRPr="006B5409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3752" w:type="dxa"/>
          </w:tcPr>
          <w:p w14:paraId="74B6C793" w14:textId="78CBF1C6" w:rsidR="00C11347" w:rsidRPr="006B5409" w:rsidRDefault="00C11347" w:rsidP="005E7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t xml:space="preserve">Oficio Ordinario del Ministerio  de Hacienda </w:t>
            </w:r>
            <w:r w:rsidR="005E7CE1">
              <w:rPr>
                <w:rFonts w:ascii="Arial" w:hAnsi="Arial" w:cs="Arial"/>
                <w:sz w:val="20"/>
                <w:szCs w:val="20"/>
              </w:rPr>
              <w:t>emitido y enviado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54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 los Servicios Públicos de la Administración Civil del Estado </w:t>
            </w:r>
            <w:r w:rsidR="005E7CE1">
              <w:rPr>
                <w:rFonts w:ascii="Arial" w:hAnsi="Arial" w:cs="Arial"/>
                <w:sz w:val="20"/>
                <w:szCs w:val="20"/>
              </w:rPr>
              <w:t>impartiendo</w:t>
            </w:r>
            <w:r w:rsidR="005E7CE1" w:rsidRPr="006B54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B5409">
              <w:rPr>
                <w:rFonts w:ascii="Arial" w:hAnsi="Arial" w:cs="Arial"/>
                <w:sz w:val="20"/>
                <w:szCs w:val="20"/>
              </w:rPr>
              <w:t>directrices generales que orienten la elaboración de Códigos de Ética de los distintos Servicios Públicos</w:t>
            </w:r>
            <w:r w:rsidRPr="006B540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48" w:type="dxa"/>
            <w:vAlign w:val="center"/>
          </w:tcPr>
          <w:p w14:paraId="231346C5" w14:textId="77777777" w:rsidR="00C11347" w:rsidRPr="006B5409" w:rsidRDefault="00C11347" w:rsidP="007921DE">
            <w:pPr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  <w:lang w:val="es-ES_tradnl"/>
              </w:rPr>
              <w:t>Ministerio de Hacienda</w:t>
            </w:r>
          </w:p>
        </w:tc>
      </w:tr>
      <w:tr w:rsidR="00C11347" w:rsidRPr="006B5409" w14:paraId="395FD650" w14:textId="77777777" w:rsidTr="00326989">
        <w:trPr>
          <w:trHeight w:val="2420"/>
          <w:jc w:val="center"/>
        </w:trPr>
        <w:tc>
          <w:tcPr>
            <w:tcW w:w="2271" w:type="dxa"/>
            <w:vMerge/>
          </w:tcPr>
          <w:p w14:paraId="3EE44910" w14:textId="77777777" w:rsidR="00C11347" w:rsidRPr="006B5409" w:rsidRDefault="00C11347" w:rsidP="0079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dxa"/>
          </w:tcPr>
          <w:p w14:paraId="56D3B9DC" w14:textId="462062D2" w:rsidR="00C11347" w:rsidRPr="006B5409" w:rsidRDefault="00C11347" w:rsidP="00DC31F8">
            <w:pPr>
              <w:pStyle w:val="ListParagraph"/>
              <w:numPr>
                <w:ilvl w:val="1"/>
                <w:numId w:val="1"/>
              </w:numPr>
              <w:ind w:left="40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B5409">
              <w:rPr>
                <w:rFonts w:ascii="Arial" w:hAnsi="Arial" w:cs="Arial"/>
                <w:sz w:val="20"/>
                <w:lang w:val="es-ES"/>
              </w:rPr>
              <w:t xml:space="preserve">Fortalecimiento de las exigencias de probidad </w:t>
            </w:r>
            <w:r w:rsidR="00107ACC">
              <w:rPr>
                <w:rFonts w:ascii="Arial" w:hAnsi="Arial" w:cs="Arial"/>
                <w:sz w:val="20"/>
                <w:lang w:val="es-ES"/>
              </w:rPr>
              <w:t xml:space="preserve">y transparencia en las </w:t>
            </w:r>
            <w:r w:rsidRPr="006B5409">
              <w:rPr>
                <w:rFonts w:ascii="Arial" w:hAnsi="Arial" w:cs="Arial"/>
                <w:sz w:val="20"/>
                <w:lang w:val="es-ES"/>
              </w:rPr>
              <w:t>Compras Públicas</w:t>
            </w:r>
            <w:r w:rsidR="004B1AA8" w:rsidRPr="0066291D">
              <w:rPr>
                <w:rFonts w:ascii="Arial" w:hAnsi="Arial" w:cs="Arial"/>
                <w:sz w:val="20"/>
                <w:lang w:val="es-ES"/>
              </w:rPr>
              <w:t xml:space="preserve">, mediante </w:t>
            </w:r>
            <w:r w:rsidR="00107ACC">
              <w:rPr>
                <w:rFonts w:ascii="Arial" w:hAnsi="Arial" w:cs="Arial"/>
                <w:sz w:val="20"/>
                <w:lang w:val="es-ES"/>
              </w:rPr>
              <w:t xml:space="preserve">modificación del Reglamento de la Ley No. 19.886 de Bases sobre Contratos Administrativos de Suministros y Prestación de Servicios; incluyendo </w:t>
            </w:r>
            <w:r w:rsidR="004B1AA8" w:rsidRPr="0066291D">
              <w:rPr>
                <w:rFonts w:ascii="Arial" w:hAnsi="Arial" w:cs="Arial"/>
                <w:sz w:val="20"/>
                <w:lang w:val="es-ES"/>
              </w:rPr>
              <w:t xml:space="preserve">la revisión y mejora de </w:t>
            </w:r>
            <w:r w:rsidR="00107ACC">
              <w:rPr>
                <w:rFonts w:ascii="Arial" w:hAnsi="Arial" w:cs="Arial"/>
                <w:sz w:val="20"/>
                <w:lang w:val="es-ES"/>
              </w:rPr>
              <w:t>aspectos</w:t>
            </w:r>
            <w:r w:rsidRPr="006B5409">
              <w:rPr>
                <w:rFonts w:ascii="Arial" w:hAnsi="Arial" w:cs="Arial"/>
                <w:sz w:val="20"/>
                <w:lang w:val="es-ES"/>
              </w:rPr>
              <w:t xml:space="preserve"> tal</w:t>
            </w:r>
            <w:r w:rsidR="00107ACC">
              <w:rPr>
                <w:rFonts w:ascii="Arial" w:hAnsi="Arial" w:cs="Arial"/>
                <w:sz w:val="20"/>
                <w:lang w:val="es-ES"/>
              </w:rPr>
              <w:t>es</w:t>
            </w:r>
            <w:r w:rsidRPr="006B5409">
              <w:rPr>
                <w:rFonts w:ascii="Arial" w:hAnsi="Arial" w:cs="Arial"/>
                <w:sz w:val="20"/>
                <w:lang w:val="es-ES"/>
              </w:rPr>
              <w:t xml:space="preserve"> como l</w:t>
            </w:r>
            <w:r w:rsidR="00107ACC">
              <w:rPr>
                <w:rFonts w:ascii="Arial" w:hAnsi="Arial" w:cs="Arial"/>
                <w:sz w:val="20"/>
                <w:lang w:val="es-ES"/>
              </w:rPr>
              <w:t>o</w:t>
            </w:r>
            <w:r w:rsidRPr="006B5409">
              <w:rPr>
                <w:rFonts w:ascii="Arial" w:hAnsi="Arial" w:cs="Arial"/>
                <w:sz w:val="20"/>
                <w:lang w:val="es-ES"/>
              </w:rPr>
              <w:t>s referid</w:t>
            </w:r>
            <w:r w:rsidR="00107ACC">
              <w:rPr>
                <w:rFonts w:ascii="Arial" w:hAnsi="Arial" w:cs="Arial"/>
                <w:sz w:val="20"/>
                <w:lang w:val="es-ES"/>
              </w:rPr>
              <w:t>o</w:t>
            </w:r>
            <w:r w:rsidRPr="006B5409">
              <w:rPr>
                <w:rFonts w:ascii="Arial" w:hAnsi="Arial" w:cs="Arial"/>
                <w:sz w:val="20"/>
                <w:lang w:val="es-ES"/>
              </w:rPr>
              <w:t xml:space="preserve">s a la </w:t>
            </w:r>
            <w:r w:rsidR="004B1AA8" w:rsidRPr="007E048A">
              <w:rPr>
                <w:rFonts w:ascii="Arial" w:hAnsi="Arial" w:cs="Arial"/>
                <w:sz w:val="18"/>
                <w:szCs w:val="18"/>
                <w:lang w:val="es-ES"/>
              </w:rPr>
              <w:t xml:space="preserve">información pública bajo nuevas exigencias de transparencia, como por ejemplo la publicación de criterios y ponderaciones que se asignen a </w:t>
            </w:r>
            <w:r w:rsidR="00107ACC">
              <w:rPr>
                <w:rFonts w:ascii="Arial" w:hAnsi="Arial" w:cs="Arial"/>
                <w:sz w:val="18"/>
                <w:szCs w:val="18"/>
                <w:lang w:val="es-ES"/>
              </w:rPr>
              <w:t xml:space="preserve">la evaluación de </w:t>
            </w:r>
            <w:r w:rsidR="004B1AA8" w:rsidRPr="007E048A">
              <w:rPr>
                <w:rFonts w:ascii="Arial" w:hAnsi="Arial" w:cs="Arial"/>
                <w:sz w:val="18"/>
                <w:szCs w:val="18"/>
                <w:lang w:val="es-ES"/>
              </w:rPr>
              <w:t>los oferentes, la integración de la comisión evaluadora, y la recepción y cuadro de ofertas</w:t>
            </w:r>
            <w:r w:rsidRPr="006B5409">
              <w:rPr>
                <w:rFonts w:ascii="Arial" w:hAnsi="Arial" w:cs="Arial"/>
                <w:sz w:val="20"/>
                <w:lang w:val="es-ES"/>
              </w:rPr>
              <w:t>, entre otras.</w:t>
            </w:r>
          </w:p>
        </w:tc>
        <w:tc>
          <w:tcPr>
            <w:tcW w:w="3752" w:type="dxa"/>
          </w:tcPr>
          <w:p w14:paraId="138E1EF7" w14:textId="30A27B81" w:rsidR="00C11347" w:rsidRPr="006B5409" w:rsidRDefault="00C11347" w:rsidP="007921DE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B54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Decreto Supremo de Modificación del </w:t>
            </w:r>
            <w:r w:rsidR="00A33B8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Ministerio de Hacienda que modifica el </w:t>
            </w:r>
            <w:r w:rsidRPr="006B54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Reglamento de la Ley No. 19.886 de Bases sobre Contratos Administrativos de Suministros y Prestación de Servicios, </w:t>
            </w:r>
            <w:r w:rsidR="000463DD">
              <w:rPr>
                <w:rFonts w:ascii="Arial" w:hAnsi="Arial" w:cs="Arial"/>
                <w:sz w:val="20"/>
                <w:szCs w:val="20"/>
                <w:lang w:val="es-ES_tradnl"/>
              </w:rPr>
              <w:t>que</w:t>
            </w:r>
            <w:r w:rsidR="00A33B86">
              <w:rPr>
                <w:rFonts w:ascii="Arial" w:hAnsi="Arial" w:cs="Arial"/>
                <w:sz w:val="20"/>
                <w:szCs w:val="20"/>
                <w:lang w:val="es-ES_tradnl"/>
              </w:rPr>
              <w:t>, entre otros,</w:t>
            </w:r>
            <w:r w:rsidR="000463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E01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fortalece los principios de </w:t>
            </w:r>
            <w:r w:rsidR="000463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probidad y transparencia en </w:t>
            </w:r>
            <w:r w:rsidR="00FE0174">
              <w:rPr>
                <w:rFonts w:ascii="Arial" w:hAnsi="Arial" w:cs="Arial"/>
                <w:sz w:val="20"/>
                <w:szCs w:val="20"/>
                <w:lang w:val="es-ES_tradnl"/>
              </w:rPr>
              <w:t>las</w:t>
            </w:r>
            <w:r w:rsidR="000463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compras públicas</w:t>
            </w:r>
            <w:r w:rsidR="003A4ECE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6B54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publicado en el Diario Oficial.</w:t>
            </w:r>
          </w:p>
          <w:p w14:paraId="4E46AEBD" w14:textId="77777777" w:rsidR="00C11347" w:rsidRPr="006B5409" w:rsidRDefault="00C11347" w:rsidP="007921DE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D3DE6E8" w14:textId="77777777" w:rsidR="00C11347" w:rsidRPr="006B5409" w:rsidRDefault="00C11347" w:rsidP="007921DE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48" w:type="dxa"/>
            <w:vAlign w:val="center"/>
          </w:tcPr>
          <w:p w14:paraId="1AD00516" w14:textId="77777777" w:rsidR="00C11347" w:rsidRPr="006B5409" w:rsidRDefault="00C11347" w:rsidP="007921D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t>Ministerio de Hacienda</w:t>
            </w:r>
          </w:p>
        </w:tc>
      </w:tr>
      <w:tr w:rsidR="00C11347" w:rsidRPr="006B5409" w14:paraId="10E076CE" w14:textId="77777777" w:rsidTr="007921DE">
        <w:trPr>
          <w:jc w:val="center"/>
        </w:trPr>
        <w:tc>
          <w:tcPr>
            <w:tcW w:w="2271" w:type="dxa"/>
            <w:vMerge/>
          </w:tcPr>
          <w:p w14:paraId="2CAD932E" w14:textId="77777777" w:rsidR="00C11347" w:rsidRPr="006B5409" w:rsidRDefault="00C11347" w:rsidP="0079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dxa"/>
          </w:tcPr>
          <w:p w14:paraId="19F41691" w14:textId="32F45A30" w:rsidR="00C11347" w:rsidRPr="006B5409" w:rsidRDefault="00C11347" w:rsidP="00DC31F8">
            <w:pPr>
              <w:pStyle w:val="ListParagraph"/>
              <w:numPr>
                <w:ilvl w:val="1"/>
                <w:numId w:val="1"/>
              </w:numPr>
              <w:ind w:left="40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6B5409">
              <w:rPr>
                <w:rFonts w:ascii="Arial" w:hAnsi="Arial" w:cs="Arial"/>
                <w:sz w:val="20"/>
                <w:lang w:val="es-ES"/>
              </w:rPr>
              <w:t>Fortalecimiento del Ministerio de Obras Públicas (MOP)</w:t>
            </w:r>
            <w:r w:rsidR="00877559">
              <w:rPr>
                <w:rFonts w:ascii="Arial" w:hAnsi="Arial" w:cs="Arial"/>
                <w:sz w:val="20"/>
                <w:lang w:val="es-ES"/>
              </w:rPr>
              <w:t>,</w:t>
            </w:r>
            <w:r w:rsidRPr="006B5409">
              <w:rPr>
                <w:rFonts w:ascii="Arial" w:hAnsi="Arial" w:cs="Arial"/>
                <w:sz w:val="20"/>
                <w:lang w:val="es-ES"/>
              </w:rPr>
              <w:t xml:space="preserve"> como entidad responsable de la aplicación de la Ley de Concesiones</w:t>
            </w:r>
            <w:r w:rsidR="00877559" w:rsidRPr="007F2557">
              <w:rPr>
                <w:rFonts w:ascii="Arial" w:hAnsi="Arial" w:cs="Arial"/>
                <w:sz w:val="20"/>
                <w:lang w:val="es-ES"/>
              </w:rPr>
              <w:t xml:space="preserve"> mediante un proyecto de ley que cre</w:t>
            </w:r>
            <w:r w:rsidR="00107ACC">
              <w:rPr>
                <w:rFonts w:ascii="Arial" w:hAnsi="Arial" w:cs="Arial"/>
                <w:sz w:val="20"/>
                <w:lang w:val="es-ES"/>
              </w:rPr>
              <w:t>a</w:t>
            </w:r>
            <w:r w:rsidR="00877559" w:rsidRPr="007F2557">
              <w:rPr>
                <w:rFonts w:ascii="Arial" w:hAnsi="Arial" w:cs="Arial"/>
                <w:sz w:val="20"/>
                <w:lang w:val="es-ES"/>
              </w:rPr>
              <w:t xml:space="preserve"> en </w:t>
            </w:r>
            <w:r w:rsidR="00107ACC">
              <w:rPr>
                <w:rFonts w:ascii="Arial" w:hAnsi="Arial" w:cs="Arial"/>
                <w:sz w:val="20"/>
                <w:lang w:val="es-ES"/>
              </w:rPr>
              <w:t>ese Ministerio</w:t>
            </w:r>
            <w:r w:rsidR="00877559" w:rsidRPr="007F2557">
              <w:rPr>
                <w:rFonts w:ascii="Arial" w:hAnsi="Arial" w:cs="Arial"/>
                <w:sz w:val="20"/>
                <w:lang w:val="es-ES"/>
              </w:rPr>
              <w:t xml:space="preserve"> la Dirección General de Concesiones</w:t>
            </w:r>
            <w:r w:rsidR="00107ACC">
              <w:rPr>
                <w:rFonts w:ascii="Arial" w:hAnsi="Arial" w:cs="Arial"/>
                <w:sz w:val="20"/>
                <w:lang w:val="es-ES"/>
              </w:rPr>
              <w:t>,</w:t>
            </w:r>
            <w:r w:rsidR="00107ACC" w:rsidRPr="006B5409">
              <w:rPr>
                <w:rFonts w:ascii="Arial" w:hAnsi="Arial" w:cs="Arial"/>
                <w:sz w:val="20"/>
                <w:lang w:val="es-ES"/>
              </w:rPr>
              <w:t xml:space="preserve"> a fin de mitigar riesgos de captura</w:t>
            </w:r>
            <w:r w:rsidR="00877559" w:rsidRPr="007F2557">
              <w:rPr>
                <w:rFonts w:ascii="Arial" w:hAnsi="Arial" w:cs="Arial"/>
                <w:sz w:val="20"/>
                <w:lang w:val="es-ES"/>
              </w:rPr>
              <w:t>.</w:t>
            </w:r>
            <w:r w:rsidR="00107ACC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3752" w:type="dxa"/>
          </w:tcPr>
          <w:p w14:paraId="44127DC2" w14:textId="6AF290D7" w:rsidR="00C11347" w:rsidRPr="006B5409" w:rsidRDefault="00C11347" w:rsidP="006A75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t>Proyecto de Ley que crea, en el MOP), la Dirección General de Concesiones de Obras Públicas, ingresado  </w:t>
            </w:r>
            <w:r w:rsidR="006A75EF">
              <w:rPr>
                <w:rFonts w:ascii="Arial" w:hAnsi="Arial" w:cs="Arial"/>
                <w:sz w:val="20"/>
                <w:szCs w:val="20"/>
              </w:rPr>
              <w:t>a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l Congreso Nacional, a través de Mensaje </w:t>
            </w:r>
            <w:r w:rsidR="006A75EF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6B5409">
              <w:rPr>
                <w:rFonts w:ascii="Arial" w:hAnsi="Arial" w:cs="Arial"/>
                <w:sz w:val="20"/>
                <w:szCs w:val="20"/>
              </w:rPr>
              <w:t>Ejecutivo con el que se inicia la tramitación de un proyecto de ley.</w:t>
            </w:r>
          </w:p>
        </w:tc>
        <w:tc>
          <w:tcPr>
            <w:tcW w:w="2548" w:type="dxa"/>
            <w:vAlign w:val="center"/>
          </w:tcPr>
          <w:p w14:paraId="146F6774" w14:textId="77777777" w:rsidR="00C11347" w:rsidRPr="006B5409" w:rsidRDefault="00C11347" w:rsidP="007921DE">
            <w:pPr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t>Ministerio de Obras Públicas</w:t>
            </w:r>
          </w:p>
        </w:tc>
      </w:tr>
      <w:tr w:rsidR="00C11347" w:rsidRPr="006B5409" w14:paraId="58B9B267" w14:textId="77777777" w:rsidTr="007921DE">
        <w:trPr>
          <w:jc w:val="center"/>
        </w:trPr>
        <w:tc>
          <w:tcPr>
            <w:tcW w:w="2271" w:type="dxa"/>
            <w:vMerge/>
          </w:tcPr>
          <w:p w14:paraId="0E3A7004" w14:textId="77777777" w:rsidR="00C11347" w:rsidRPr="006B5409" w:rsidRDefault="00C11347" w:rsidP="0079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dxa"/>
          </w:tcPr>
          <w:p w14:paraId="72E7FF40" w14:textId="2D3A34A4" w:rsidR="00C11347" w:rsidRPr="006B5409" w:rsidRDefault="001C44AA" w:rsidP="00DC31F8">
            <w:pPr>
              <w:pStyle w:val="ListParagraph"/>
              <w:numPr>
                <w:ilvl w:val="1"/>
                <w:numId w:val="1"/>
              </w:numPr>
              <w:ind w:left="406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C</w:t>
            </w:r>
            <w:r w:rsidRPr="007E048A">
              <w:rPr>
                <w:rFonts w:ascii="Arial" w:hAnsi="Arial" w:cs="Arial"/>
                <w:sz w:val="18"/>
                <w:szCs w:val="22"/>
                <w:lang w:val="es-ES"/>
              </w:rPr>
              <w:t>rea</w:t>
            </w:r>
            <w:r w:rsidR="006F16C9">
              <w:rPr>
                <w:rFonts w:ascii="Arial" w:hAnsi="Arial" w:cs="Arial"/>
                <w:sz w:val="18"/>
                <w:szCs w:val="22"/>
                <w:lang w:val="es-ES"/>
              </w:rPr>
              <w:t>ción de</w:t>
            </w:r>
            <w:r w:rsidRPr="007E048A">
              <w:rPr>
                <w:rFonts w:ascii="Arial" w:hAnsi="Arial" w:cs="Arial"/>
                <w:sz w:val="18"/>
                <w:szCs w:val="22"/>
                <w:lang w:val="es-ES"/>
              </w:rPr>
              <w:t xml:space="preserve"> una nueva institucionalidad para la entidad encargada de la supervisión de los mercados de valores y seguros, transformando la </w:t>
            </w:r>
            <w:r w:rsidRPr="007E048A">
              <w:rPr>
                <w:rFonts w:ascii="Arial" w:hAnsi="Arial" w:cs="Arial"/>
                <w:sz w:val="18"/>
                <w:szCs w:val="22"/>
                <w:lang w:val="es-ES"/>
              </w:rPr>
              <w:lastRenderedPageBreak/>
              <w:t xml:space="preserve">actual Superintendencia en una Comisión, e introduciendo mejoras para dotarla </w:t>
            </w:r>
            <w:r w:rsidR="00C11347" w:rsidRPr="006B5409">
              <w:rPr>
                <w:rFonts w:ascii="Arial" w:hAnsi="Arial" w:cs="Arial"/>
                <w:sz w:val="20"/>
                <w:lang w:val="es-ES"/>
              </w:rPr>
              <w:t>de mayor capacidad regulatoria, establec</w:t>
            </w:r>
            <w:r w:rsidR="009E5611">
              <w:rPr>
                <w:rFonts w:ascii="Arial" w:hAnsi="Arial" w:cs="Arial"/>
                <w:sz w:val="20"/>
                <w:lang w:val="es-ES"/>
              </w:rPr>
              <w:t>iendo</w:t>
            </w:r>
            <w:r w:rsidR="00C11347" w:rsidRPr="006B5409">
              <w:rPr>
                <w:rFonts w:ascii="Arial" w:hAnsi="Arial" w:cs="Arial"/>
                <w:sz w:val="20"/>
                <w:lang w:val="es-ES"/>
              </w:rPr>
              <w:t xml:space="preserve"> sistemas de delación compensada y programas de protección de informantes, y extend</w:t>
            </w:r>
            <w:r w:rsidR="009E5611">
              <w:rPr>
                <w:rFonts w:ascii="Arial" w:hAnsi="Arial" w:cs="Arial"/>
                <w:sz w:val="20"/>
                <w:lang w:val="es-ES"/>
              </w:rPr>
              <w:t>iendo</w:t>
            </w:r>
            <w:r w:rsidR="00C11347" w:rsidRPr="006B5409">
              <w:rPr>
                <w:rFonts w:ascii="Arial" w:hAnsi="Arial" w:cs="Arial"/>
                <w:sz w:val="20"/>
                <w:lang w:val="es-ES"/>
              </w:rPr>
              <w:t xml:space="preserve"> el beneficio de defensa legal a todos los funcionarios de agencias reguladoras</w:t>
            </w:r>
            <w:r w:rsidR="009E5611">
              <w:rPr>
                <w:rFonts w:ascii="Arial" w:hAnsi="Arial" w:cs="Arial"/>
                <w:sz w:val="20"/>
                <w:lang w:val="es-ES"/>
              </w:rPr>
              <w:t>, mediante remisión al Congreso de Indicación Sustitutiva al proyecto de Ley que crea la Comisión de Valores y Seguros</w:t>
            </w:r>
            <w:r w:rsidR="00C11347" w:rsidRPr="006B5409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3752" w:type="dxa"/>
          </w:tcPr>
          <w:p w14:paraId="49382420" w14:textId="168046F0" w:rsidR="00C11347" w:rsidRPr="006B5409" w:rsidRDefault="004F6050" w:rsidP="00BD2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Indicación Sustitutiva al Mensaje del Ejecutivo con que se inició 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tramitación del p</w:t>
            </w:r>
            <w:r w:rsidR="00C11347" w:rsidRPr="006B5409">
              <w:rPr>
                <w:rFonts w:ascii="Arial" w:hAnsi="Arial" w:cs="Arial"/>
                <w:sz w:val="20"/>
                <w:szCs w:val="20"/>
              </w:rPr>
              <w:t>royecto de Ley que crea la Comisión de Valores y Seguros</w:t>
            </w:r>
            <w:r w:rsidR="005015F6" w:rsidRPr="005015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015F6" w:rsidRPr="005015F6">
              <w:rPr>
                <w:rFonts w:ascii="Arial" w:hAnsi="Arial" w:cs="Arial"/>
                <w:spacing w:val="-3"/>
                <w:sz w:val="20"/>
                <w:szCs w:val="20"/>
              </w:rPr>
              <w:t>estableci</w:t>
            </w:r>
            <w:r w:rsidR="00BD26E3">
              <w:rPr>
                <w:rFonts w:ascii="Arial" w:hAnsi="Arial" w:cs="Arial"/>
                <w:spacing w:val="-3"/>
                <w:sz w:val="20"/>
                <w:szCs w:val="20"/>
              </w:rPr>
              <w:t>endo, entre otros,</w:t>
            </w:r>
            <w:r w:rsidR="005015F6" w:rsidRPr="005015F6">
              <w:rPr>
                <w:rFonts w:ascii="Arial" w:hAnsi="Arial" w:cs="Arial"/>
                <w:spacing w:val="-3"/>
                <w:sz w:val="20"/>
                <w:szCs w:val="20"/>
              </w:rPr>
              <w:t xml:space="preserve"> un órgano colegiado para regular y supervisar este mercado, con mayores facultades normativas y medidas de prevención de conflictos de inter</w:t>
            </w:r>
            <w:r w:rsidR="00BD26E3">
              <w:rPr>
                <w:rFonts w:ascii="Arial" w:hAnsi="Arial" w:cs="Arial"/>
                <w:spacing w:val="-3"/>
                <w:sz w:val="20"/>
                <w:szCs w:val="20"/>
              </w:rPr>
              <w:t>eses</w:t>
            </w:r>
            <w:r w:rsidR="005015F6" w:rsidRPr="005015F6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="00C11347" w:rsidRPr="006B5409">
              <w:rPr>
                <w:rFonts w:ascii="Arial" w:hAnsi="Arial" w:cs="Arial"/>
                <w:sz w:val="20"/>
                <w:szCs w:val="20"/>
              </w:rPr>
              <w:t xml:space="preserve"> ingresado  </w:t>
            </w:r>
            <w:r w:rsidR="00BD26E3">
              <w:rPr>
                <w:rFonts w:ascii="Arial" w:hAnsi="Arial" w:cs="Arial"/>
                <w:sz w:val="20"/>
                <w:szCs w:val="20"/>
              </w:rPr>
              <w:t>a</w:t>
            </w:r>
            <w:r w:rsidR="00C11347" w:rsidRPr="006B5409">
              <w:rPr>
                <w:rFonts w:ascii="Arial" w:hAnsi="Arial" w:cs="Arial"/>
                <w:sz w:val="20"/>
                <w:szCs w:val="20"/>
              </w:rPr>
              <w:t>l Congreso Nacional.</w:t>
            </w:r>
          </w:p>
        </w:tc>
        <w:tc>
          <w:tcPr>
            <w:tcW w:w="2548" w:type="dxa"/>
            <w:vAlign w:val="center"/>
          </w:tcPr>
          <w:p w14:paraId="09CEAC6E" w14:textId="77777777" w:rsidR="00C11347" w:rsidRPr="006B5409" w:rsidRDefault="00C11347" w:rsidP="007921DE">
            <w:pPr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lastRenderedPageBreak/>
              <w:t>Ministerio de Hacienda</w:t>
            </w:r>
          </w:p>
        </w:tc>
      </w:tr>
      <w:tr w:rsidR="00C11347" w:rsidRPr="006B5409" w14:paraId="1E6C39FE" w14:textId="77777777" w:rsidTr="007921DE">
        <w:trPr>
          <w:jc w:val="center"/>
        </w:trPr>
        <w:tc>
          <w:tcPr>
            <w:tcW w:w="2271" w:type="dxa"/>
            <w:vMerge/>
          </w:tcPr>
          <w:p w14:paraId="66FE0D54" w14:textId="77777777" w:rsidR="00C11347" w:rsidRPr="006B5409" w:rsidRDefault="00C11347" w:rsidP="0079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dxa"/>
          </w:tcPr>
          <w:p w14:paraId="3B524FA5" w14:textId="522E1C8F" w:rsidR="00C11347" w:rsidRPr="006B5409" w:rsidRDefault="00A44255" w:rsidP="0008778F">
            <w:pPr>
              <w:pStyle w:val="ListParagraph"/>
              <w:numPr>
                <w:ilvl w:val="1"/>
                <w:numId w:val="1"/>
              </w:numPr>
              <w:ind w:left="406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Elaboración</w:t>
            </w:r>
            <w:r w:rsidRPr="006B5409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C11347" w:rsidRPr="006B5409">
              <w:rPr>
                <w:rFonts w:ascii="Arial" w:hAnsi="Arial" w:cs="Arial"/>
                <w:sz w:val="20"/>
                <w:lang w:val="es-ES"/>
              </w:rPr>
              <w:t>obligatoria de un Plan de Formación Ciudadana para los niveles de enseñanza básica y media en todos los establecimientos educacionales reconocidos por el Estado</w:t>
            </w:r>
            <w:r w:rsidR="00742957" w:rsidRPr="00407FD7">
              <w:rPr>
                <w:rFonts w:ascii="Arial" w:hAnsi="Arial" w:cs="Arial"/>
                <w:sz w:val="20"/>
                <w:lang w:val="es-ES"/>
              </w:rPr>
              <w:t>, promoviendo la formación de valores cívicos</w:t>
            </w:r>
            <w:r>
              <w:rPr>
                <w:rFonts w:ascii="Arial" w:hAnsi="Arial" w:cs="Arial"/>
                <w:sz w:val="20"/>
                <w:lang w:val="es-ES"/>
              </w:rPr>
              <w:t>,</w:t>
            </w:r>
            <w:r w:rsidR="00742957" w:rsidRPr="00407FD7">
              <w:rPr>
                <w:rFonts w:ascii="Arial" w:hAnsi="Arial" w:cs="Arial"/>
                <w:sz w:val="20"/>
                <w:lang w:val="es-ES"/>
              </w:rPr>
              <w:t xml:space="preserve"> mediante un proyecto de ley que así lo </w:t>
            </w:r>
            <w:r w:rsidR="0008778F">
              <w:rPr>
                <w:rFonts w:ascii="Arial" w:hAnsi="Arial" w:cs="Arial"/>
                <w:sz w:val="20"/>
                <w:lang w:val="es-ES"/>
              </w:rPr>
              <w:t>establezca</w:t>
            </w:r>
            <w:r w:rsidR="00C11347" w:rsidRPr="006B5409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3752" w:type="dxa"/>
          </w:tcPr>
          <w:p w14:paraId="5FC637A5" w14:textId="035EEEAB" w:rsidR="00C11347" w:rsidRPr="006B5409" w:rsidRDefault="00C11347" w:rsidP="00045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t xml:space="preserve">Proyecto de Ley que crea el Plan de Formación Ciudadana para los establecimientos educacionales reconocidos por el Estado ingresado  al Congreso Nacional, a través de Mensaje </w:t>
            </w:r>
            <w:r w:rsidR="00045457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6B5409">
              <w:rPr>
                <w:rFonts w:ascii="Arial" w:hAnsi="Arial" w:cs="Arial"/>
                <w:sz w:val="20"/>
                <w:szCs w:val="20"/>
              </w:rPr>
              <w:t xml:space="preserve">Ejecutivo con el que se inicia la tramitación de un proyecto de ley. </w:t>
            </w:r>
          </w:p>
        </w:tc>
        <w:tc>
          <w:tcPr>
            <w:tcW w:w="2548" w:type="dxa"/>
            <w:vAlign w:val="center"/>
          </w:tcPr>
          <w:p w14:paraId="52519273" w14:textId="77777777" w:rsidR="00C11347" w:rsidRPr="006B5409" w:rsidRDefault="00C11347" w:rsidP="007921DE">
            <w:pPr>
              <w:rPr>
                <w:rFonts w:ascii="Arial" w:hAnsi="Arial" w:cs="Arial"/>
                <w:sz w:val="20"/>
                <w:szCs w:val="20"/>
              </w:rPr>
            </w:pPr>
            <w:r w:rsidRPr="006B5409">
              <w:rPr>
                <w:rFonts w:ascii="Arial" w:hAnsi="Arial" w:cs="Arial"/>
                <w:sz w:val="20"/>
                <w:szCs w:val="20"/>
              </w:rPr>
              <w:t>Ministerio de Educación</w:t>
            </w:r>
          </w:p>
        </w:tc>
      </w:tr>
    </w:tbl>
    <w:p w14:paraId="38F9948C" w14:textId="77777777" w:rsidR="00C11347" w:rsidRPr="00445F0E" w:rsidRDefault="00C11347" w:rsidP="00C11347">
      <w:pPr>
        <w:jc w:val="both"/>
        <w:rPr>
          <w:rFonts w:ascii="Arial" w:hAnsi="Arial" w:cs="Arial"/>
          <w:lang w:val="es-ES_tradnl"/>
        </w:rPr>
      </w:pPr>
    </w:p>
    <w:p w14:paraId="59C49F71" w14:textId="77777777" w:rsidR="0084375C" w:rsidRDefault="0084375C"/>
    <w:sectPr w:rsidR="0084375C" w:rsidSect="00C11347">
      <w:headerReference w:type="default" r:id="rId9"/>
      <w:pgSz w:w="16838" w:h="11906" w:orient="landscape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70F23" w14:textId="77777777" w:rsidR="00E3000C" w:rsidRDefault="00E3000C">
      <w:pPr>
        <w:spacing w:after="0" w:line="240" w:lineRule="auto"/>
      </w:pPr>
      <w:r>
        <w:separator/>
      </w:r>
    </w:p>
  </w:endnote>
  <w:endnote w:type="continuationSeparator" w:id="0">
    <w:p w14:paraId="4EBB18A9" w14:textId="77777777" w:rsidR="00E3000C" w:rsidRDefault="00E3000C">
      <w:pPr>
        <w:spacing w:after="0" w:line="240" w:lineRule="auto"/>
      </w:pPr>
      <w:r>
        <w:continuationSeparator/>
      </w:r>
    </w:p>
  </w:endnote>
  <w:endnote w:type="continuationNotice" w:id="1">
    <w:p w14:paraId="7F08E064" w14:textId="77777777" w:rsidR="00E3000C" w:rsidRDefault="00E30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CA753" w14:textId="77777777" w:rsidR="00E3000C" w:rsidRDefault="00E3000C">
      <w:pPr>
        <w:spacing w:after="0" w:line="240" w:lineRule="auto"/>
      </w:pPr>
      <w:r>
        <w:separator/>
      </w:r>
    </w:p>
  </w:footnote>
  <w:footnote w:type="continuationSeparator" w:id="0">
    <w:p w14:paraId="193BBE4E" w14:textId="77777777" w:rsidR="00E3000C" w:rsidRDefault="00E3000C">
      <w:pPr>
        <w:spacing w:after="0" w:line="240" w:lineRule="auto"/>
      </w:pPr>
      <w:r>
        <w:continuationSeparator/>
      </w:r>
    </w:p>
  </w:footnote>
  <w:footnote w:type="continuationNotice" w:id="1">
    <w:p w14:paraId="40D0CC40" w14:textId="77777777" w:rsidR="00E3000C" w:rsidRDefault="00E300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168209085"/>
      <w:docPartObj>
        <w:docPartGallery w:val="Page Numbers (Top of Page)"/>
        <w:docPartUnique/>
      </w:docPartObj>
    </w:sdtPr>
    <w:sdtEndPr/>
    <w:sdtContent>
      <w:p w14:paraId="6725910F" w14:textId="77777777" w:rsidR="006B5409" w:rsidRPr="00B042E1" w:rsidRDefault="00C11347" w:rsidP="006B5409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CH-L1110</w:t>
        </w:r>
      </w:p>
      <w:p w14:paraId="273AD294" w14:textId="77777777" w:rsidR="006B5409" w:rsidRPr="00B042E1" w:rsidRDefault="00C11347" w:rsidP="006B5409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 w:rsidRPr="00B042E1">
          <w:rPr>
            <w:rFonts w:ascii="Arial" w:hAnsi="Arial" w:cs="Arial"/>
            <w:sz w:val="18"/>
            <w:szCs w:val="18"/>
            <w:lang w:val="es-ES_tradnl"/>
          </w:rPr>
          <w:t>Página</w:t>
        </w:r>
        <w:r w:rsidRPr="00B042E1">
          <w:rPr>
            <w:rFonts w:ascii="Arial" w:hAnsi="Arial" w:cs="Arial"/>
            <w:sz w:val="18"/>
            <w:szCs w:val="18"/>
          </w:rPr>
          <w:t xml:space="preserve"> </w: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B042E1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624CC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end"/>
        </w:r>
        <w:r w:rsidRPr="00B042E1">
          <w:rPr>
            <w:rFonts w:ascii="Arial" w:hAnsi="Arial" w:cs="Arial"/>
            <w:sz w:val="18"/>
            <w:szCs w:val="18"/>
          </w:rPr>
          <w:t xml:space="preserve"> de </w: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B042E1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624CC"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16AD4159" w14:textId="77777777" w:rsidR="006B5409" w:rsidRDefault="00362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13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47"/>
    <w:rsid w:val="000158BF"/>
    <w:rsid w:val="00023C05"/>
    <w:rsid w:val="00045457"/>
    <w:rsid w:val="000463DD"/>
    <w:rsid w:val="000653E1"/>
    <w:rsid w:val="000659B9"/>
    <w:rsid w:val="0008778F"/>
    <w:rsid w:val="000A5878"/>
    <w:rsid w:val="000C4379"/>
    <w:rsid w:val="00107ACC"/>
    <w:rsid w:val="001226C6"/>
    <w:rsid w:val="00154799"/>
    <w:rsid w:val="00181A26"/>
    <w:rsid w:val="001C2066"/>
    <w:rsid w:val="001C44AA"/>
    <w:rsid w:val="001C7A13"/>
    <w:rsid w:val="00243EC5"/>
    <w:rsid w:val="00245852"/>
    <w:rsid w:val="00264A11"/>
    <w:rsid w:val="002B2C99"/>
    <w:rsid w:val="002B3EE3"/>
    <w:rsid w:val="00326989"/>
    <w:rsid w:val="003624CC"/>
    <w:rsid w:val="003A2D8E"/>
    <w:rsid w:val="003A4ECE"/>
    <w:rsid w:val="004B1AA8"/>
    <w:rsid w:val="004F6050"/>
    <w:rsid w:val="005015F6"/>
    <w:rsid w:val="00516B63"/>
    <w:rsid w:val="00540299"/>
    <w:rsid w:val="0054546D"/>
    <w:rsid w:val="00560CC9"/>
    <w:rsid w:val="005A306F"/>
    <w:rsid w:val="005E7CE1"/>
    <w:rsid w:val="00656F4C"/>
    <w:rsid w:val="006A75EF"/>
    <w:rsid w:val="006C2E12"/>
    <w:rsid w:val="006C3A9D"/>
    <w:rsid w:val="006C6121"/>
    <w:rsid w:val="006C7F26"/>
    <w:rsid w:val="006F16C9"/>
    <w:rsid w:val="006F3351"/>
    <w:rsid w:val="00721B14"/>
    <w:rsid w:val="00742957"/>
    <w:rsid w:val="00790756"/>
    <w:rsid w:val="007B098A"/>
    <w:rsid w:val="007E422B"/>
    <w:rsid w:val="0084375C"/>
    <w:rsid w:val="008465A5"/>
    <w:rsid w:val="00877559"/>
    <w:rsid w:val="008B0960"/>
    <w:rsid w:val="008F3C4B"/>
    <w:rsid w:val="00934DBE"/>
    <w:rsid w:val="009433BA"/>
    <w:rsid w:val="009930CA"/>
    <w:rsid w:val="00995CAD"/>
    <w:rsid w:val="009B7312"/>
    <w:rsid w:val="009E5611"/>
    <w:rsid w:val="00A33B86"/>
    <w:rsid w:val="00A44255"/>
    <w:rsid w:val="00A603D9"/>
    <w:rsid w:val="00AB1891"/>
    <w:rsid w:val="00AC5B1E"/>
    <w:rsid w:val="00BB5B2C"/>
    <w:rsid w:val="00BD26E3"/>
    <w:rsid w:val="00BF193D"/>
    <w:rsid w:val="00C02470"/>
    <w:rsid w:val="00C11347"/>
    <w:rsid w:val="00C31B81"/>
    <w:rsid w:val="00C615B6"/>
    <w:rsid w:val="00C6191B"/>
    <w:rsid w:val="00CB1B49"/>
    <w:rsid w:val="00CD43AE"/>
    <w:rsid w:val="00D11E62"/>
    <w:rsid w:val="00DB5657"/>
    <w:rsid w:val="00DC0BE7"/>
    <w:rsid w:val="00DC31F8"/>
    <w:rsid w:val="00E1130F"/>
    <w:rsid w:val="00E3000C"/>
    <w:rsid w:val="00E46779"/>
    <w:rsid w:val="00E47CAF"/>
    <w:rsid w:val="00F00F7B"/>
    <w:rsid w:val="00F14F92"/>
    <w:rsid w:val="00F15B6A"/>
    <w:rsid w:val="00F34302"/>
    <w:rsid w:val="00F54F0B"/>
    <w:rsid w:val="00F6147A"/>
    <w:rsid w:val="00F82903"/>
    <w:rsid w:val="00F87171"/>
    <w:rsid w:val="00FD328C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47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34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11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1134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C113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347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F61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7A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81"/>
    <w:rPr>
      <w:rFonts w:ascii="Tahoma" w:hAnsi="Tahoma" w:cs="Tahoma"/>
      <w:sz w:val="16"/>
      <w:szCs w:val="1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C3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9D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A9D"/>
    <w:rPr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47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34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11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1134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C113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347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F61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7A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81"/>
    <w:rPr>
      <w:rFonts w:ascii="Tahoma" w:hAnsi="Tahoma" w:cs="Tahoma"/>
      <w:sz w:val="16"/>
      <w:szCs w:val="1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C3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9D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A9D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eospublicos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IADB</dc:creator>
  <cp:lastModifiedBy>IADB</cp:lastModifiedBy>
  <cp:revision>4</cp:revision>
  <cp:lastPrinted>2015-12-09T17:38:00Z</cp:lastPrinted>
  <dcterms:created xsi:type="dcterms:W3CDTF">2015-11-13T18:16:00Z</dcterms:created>
  <dcterms:modified xsi:type="dcterms:W3CDTF">2015-12-09T22:03:00Z</dcterms:modified>
</cp:coreProperties>
</file>