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B3C" w:rsidRPr="00973C09" w:rsidRDefault="00CB4239" w:rsidP="00973C09">
      <w:pPr>
        <w:pStyle w:val="Chapter"/>
      </w:pPr>
      <w:bookmarkStart w:id="0" w:name="_Toc478535868"/>
      <w:bookmarkStart w:id="1" w:name="_Toc13465851"/>
      <w:bookmarkStart w:id="2" w:name="_Toc112646119"/>
      <w:bookmarkStart w:id="3" w:name="_Toc114046855"/>
      <w:bookmarkStart w:id="4" w:name="_Toc114047177"/>
      <w:r>
        <w:t xml:space="preserve">Anexo: </w:t>
      </w:r>
      <w:r w:rsidR="00D33DC4" w:rsidRPr="00973C09">
        <w:t>Necesidades de Financiamiento Uruguay 2015-2019</w:t>
      </w:r>
    </w:p>
    <w:p w:rsidR="001C6D97" w:rsidRPr="004E1275" w:rsidRDefault="001C6D97" w:rsidP="001C6D97">
      <w:pPr>
        <w:rPr>
          <w:color w:val="000000" w:themeColor="text1"/>
          <w:lang w:val="es-ES_tradnl"/>
        </w:rPr>
      </w:pPr>
    </w:p>
    <w:p w:rsidR="00FC3B3C" w:rsidRPr="004E1275" w:rsidRDefault="00FC3B3C" w:rsidP="00874695">
      <w:pPr>
        <w:pStyle w:val="ListParagraph"/>
        <w:numPr>
          <w:ilvl w:val="0"/>
          <w:numId w:val="3"/>
        </w:numPr>
        <w:spacing w:before="120" w:after="120"/>
        <w:jc w:val="both"/>
        <w:outlineLvl w:val="1"/>
        <w:rPr>
          <w:b/>
          <w:bCs/>
          <w:vanish/>
          <w:color w:val="000000" w:themeColor="text1"/>
          <w:lang w:val="es-ES_tradnl"/>
        </w:rPr>
      </w:pPr>
    </w:p>
    <w:p w:rsidR="005A7F51" w:rsidRDefault="005A7F51" w:rsidP="00D211BD">
      <w:pPr>
        <w:pStyle w:val="Paragraph"/>
        <w:numPr>
          <w:ilvl w:val="0"/>
          <w:numId w:val="0"/>
        </w:numPr>
        <w:outlineLvl w:val="9"/>
        <w:rPr>
          <w:lang w:val="es-ES_tradnl"/>
        </w:rPr>
      </w:pPr>
      <w:r>
        <w:rPr>
          <w:lang w:val="es-ES_tradnl"/>
        </w:rPr>
        <w:t xml:space="preserve">En este anexo se presenta una estimación de las necesidades de financiamiento futuras a las que deberá hacer frente el Gobierno de la Republica del Uruguay (GROU). Para ello se estimó un escenario base tomando en cuenta la información presentada por el GROU en el </w:t>
      </w:r>
      <w:r w:rsidR="00EC1DED">
        <w:rPr>
          <w:lang w:val="es-ES_tradnl"/>
        </w:rPr>
        <w:t>último</w:t>
      </w:r>
      <w:r>
        <w:rPr>
          <w:lang w:val="es-ES_tradnl"/>
        </w:rPr>
        <w:t xml:space="preserve"> informe de </w:t>
      </w:r>
      <w:r w:rsidR="0050231E">
        <w:rPr>
          <w:lang w:val="es-ES_tradnl"/>
        </w:rPr>
        <w:t>Rendición</w:t>
      </w:r>
      <w:r>
        <w:rPr>
          <w:lang w:val="es-ES_tradnl"/>
        </w:rPr>
        <w:t xml:space="preserve"> de Cuentas al Parlamento y</w:t>
      </w:r>
      <w:r w:rsidR="00140D30">
        <w:rPr>
          <w:lang w:val="es-ES_tradnl"/>
        </w:rPr>
        <w:t xml:space="preserve"> en el reporte de la Unidad de Deuda de octubre de 2014. Además </w:t>
      </w:r>
      <w:r>
        <w:rPr>
          <w:lang w:val="es-ES_tradnl"/>
        </w:rPr>
        <w:t>se estudiaron un conjunto de escenarios alternativos.</w:t>
      </w:r>
    </w:p>
    <w:p w:rsidR="00D211BD" w:rsidRDefault="005A7F51" w:rsidP="00D211BD">
      <w:pPr>
        <w:pStyle w:val="Paragraph"/>
        <w:numPr>
          <w:ilvl w:val="0"/>
          <w:numId w:val="0"/>
        </w:numPr>
        <w:outlineLvl w:val="9"/>
        <w:rPr>
          <w:color w:val="000000" w:themeColor="text1"/>
          <w:lang w:val="es-ES_tradnl"/>
        </w:rPr>
      </w:pPr>
      <w:r>
        <w:rPr>
          <w:lang w:val="es-ES_tradnl"/>
        </w:rPr>
        <w:t>En el escenario base</w:t>
      </w:r>
      <w:r w:rsidR="00283BC2">
        <w:rPr>
          <w:lang w:val="es-ES_tradnl"/>
        </w:rPr>
        <w:t xml:space="preserve">, </w:t>
      </w:r>
      <w:r>
        <w:rPr>
          <w:lang w:val="es-ES_tradnl"/>
        </w:rPr>
        <w:t>s</w:t>
      </w:r>
      <w:r w:rsidR="0040361E" w:rsidRPr="0040361E">
        <w:rPr>
          <w:lang w:val="es-ES_tradnl"/>
        </w:rPr>
        <w:t xml:space="preserve">e estima que el </w:t>
      </w:r>
      <w:r w:rsidR="0040361E">
        <w:rPr>
          <w:lang w:val="es-ES_tradnl"/>
        </w:rPr>
        <w:t>S</w:t>
      </w:r>
      <w:r w:rsidR="0040361E" w:rsidRPr="0040361E">
        <w:rPr>
          <w:lang w:val="es-ES_tradnl"/>
        </w:rPr>
        <w:t xml:space="preserve">ector </w:t>
      </w:r>
      <w:r w:rsidR="0040361E">
        <w:rPr>
          <w:lang w:val="es-ES_tradnl"/>
        </w:rPr>
        <w:t>P</w:t>
      </w:r>
      <w:r w:rsidR="0040361E" w:rsidRPr="0040361E">
        <w:rPr>
          <w:lang w:val="es-ES_tradnl"/>
        </w:rPr>
        <w:t xml:space="preserve">úblico no </w:t>
      </w:r>
      <w:r w:rsidR="0040361E">
        <w:rPr>
          <w:lang w:val="es-ES_tradnl"/>
        </w:rPr>
        <w:t>F</w:t>
      </w:r>
      <w:r w:rsidR="0040361E" w:rsidRPr="0040361E">
        <w:rPr>
          <w:lang w:val="es-ES_tradnl"/>
        </w:rPr>
        <w:t>inanciero</w:t>
      </w:r>
      <w:r w:rsidR="0040361E">
        <w:rPr>
          <w:lang w:val="es-ES_tradnl"/>
        </w:rPr>
        <w:t xml:space="preserve"> (SPNF)</w:t>
      </w:r>
      <w:r w:rsidR="0040361E" w:rsidRPr="0040361E">
        <w:rPr>
          <w:lang w:val="es-ES_tradnl"/>
        </w:rPr>
        <w:t xml:space="preserve"> enfrentará vencimientos de intereses y amortizaciones de deuda </w:t>
      </w:r>
      <w:r w:rsidR="0040361E">
        <w:rPr>
          <w:lang w:val="es-ES_tradnl"/>
        </w:rPr>
        <w:t xml:space="preserve">de </w:t>
      </w:r>
      <w:r w:rsidR="0040361E" w:rsidRPr="0040361E">
        <w:rPr>
          <w:lang w:val="es-ES_tradnl"/>
        </w:rPr>
        <w:t>US$</w:t>
      </w:r>
      <w:r w:rsidR="0040361E">
        <w:rPr>
          <w:lang w:val="es-ES_tradnl"/>
        </w:rPr>
        <w:t>3</w:t>
      </w:r>
      <w:r w:rsidR="009D6755">
        <w:rPr>
          <w:lang w:val="es-ES_tradnl"/>
        </w:rPr>
        <w:t>.</w:t>
      </w:r>
      <w:r w:rsidR="0060306D">
        <w:rPr>
          <w:lang w:val="es-ES_tradnl"/>
        </w:rPr>
        <w:t>272</w:t>
      </w:r>
      <w:r w:rsidR="0040361E" w:rsidRPr="0040361E">
        <w:rPr>
          <w:lang w:val="es-ES_tradnl"/>
        </w:rPr>
        <w:t xml:space="preserve"> millones promedio anuales entre 201</w:t>
      </w:r>
      <w:r w:rsidR="0040361E">
        <w:rPr>
          <w:lang w:val="es-ES_tradnl"/>
        </w:rPr>
        <w:t>5</w:t>
      </w:r>
      <w:r w:rsidR="0040361E" w:rsidRPr="0040361E">
        <w:rPr>
          <w:lang w:val="es-ES_tradnl"/>
        </w:rPr>
        <w:t xml:space="preserve"> y 201</w:t>
      </w:r>
      <w:r w:rsidR="0040361E">
        <w:rPr>
          <w:lang w:val="es-ES_tradnl"/>
        </w:rPr>
        <w:t>9</w:t>
      </w:r>
      <w:r w:rsidR="0040361E" w:rsidRPr="0040361E">
        <w:rPr>
          <w:lang w:val="es-ES_tradnl"/>
        </w:rPr>
        <w:t xml:space="preserve">. Considerando el </w:t>
      </w:r>
      <w:r w:rsidR="00283BC2">
        <w:rPr>
          <w:lang w:val="es-ES_tradnl"/>
        </w:rPr>
        <w:t xml:space="preserve">resultado </w:t>
      </w:r>
      <w:r w:rsidR="0040361E" w:rsidRPr="0040361E">
        <w:rPr>
          <w:lang w:val="es-ES_tradnl"/>
        </w:rPr>
        <w:t xml:space="preserve"> primario, las necesidades </w:t>
      </w:r>
      <w:r w:rsidR="00E20E44">
        <w:rPr>
          <w:lang w:val="es-ES_tradnl"/>
        </w:rPr>
        <w:t xml:space="preserve">netas </w:t>
      </w:r>
      <w:r w:rsidR="0040361E" w:rsidRPr="0040361E">
        <w:rPr>
          <w:lang w:val="es-ES_tradnl"/>
        </w:rPr>
        <w:t>de financiamiento del</w:t>
      </w:r>
      <w:r w:rsidR="0040361E">
        <w:rPr>
          <w:lang w:val="es-ES_tradnl"/>
        </w:rPr>
        <w:t xml:space="preserve"> SPNF </w:t>
      </w:r>
      <w:r w:rsidR="0040361E" w:rsidRPr="0040361E">
        <w:rPr>
          <w:lang w:val="es-ES_tradnl"/>
        </w:rPr>
        <w:t>serán de US$</w:t>
      </w:r>
      <w:r w:rsidR="0060306D">
        <w:rPr>
          <w:lang w:val="es-ES_tradnl"/>
        </w:rPr>
        <w:t>2</w:t>
      </w:r>
      <w:r w:rsidR="009D6755">
        <w:rPr>
          <w:lang w:val="es-ES_tradnl"/>
        </w:rPr>
        <w:t>.</w:t>
      </w:r>
      <w:r w:rsidR="0060306D">
        <w:rPr>
          <w:lang w:val="es-ES_tradnl"/>
        </w:rPr>
        <w:t>827</w:t>
      </w:r>
      <w:r w:rsidR="009D6755">
        <w:rPr>
          <w:lang w:val="es-ES_tradnl"/>
        </w:rPr>
        <w:t xml:space="preserve"> </w:t>
      </w:r>
      <w:r w:rsidR="0040361E" w:rsidRPr="0040361E">
        <w:rPr>
          <w:lang w:val="es-ES_tradnl"/>
        </w:rPr>
        <w:t>millones entre 201</w:t>
      </w:r>
      <w:r w:rsidR="0040361E">
        <w:rPr>
          <w:lang w:val="es-ES_tradnl"/>
        </w:rPr>
        <w:t>5</w:t>
      </w:r>
      <w:r w:rsidR="0040361E" w:rsidRPr="0040361E">
        <w:rPr>
          <w:lang w:val="es-ES_tradnl"/>
        </w:rPr>
        <w:t xml:space="preserve"> y 201</w:t>
      </w:r>
      <w:r w:rsidR="0040361E">
        <w:rPr>
          <w:lang w:val="es-ES_tradnl"/>
        </w:rPr>
        <w:t>9</w:t>
      </w:r>
      <w:r w:rsidR="0040361E" w:rsidRPr="0040361E">
        <w:rPr>
          <w:lang w:val="es-ES_tradnl"/>
        </w:rPr>
        <w:t>.</w:t>
      </w:r>
      <w:r w:rsidR="0040361E">
        <w:rPr>
          <w:lang w:val="es-ES_tradnl"/>
        </w:rPr>
        <w:t xml:space="preserve"> </w:t>
      </w:r>
      <w:r w:rsidR="00D211BD" w:rsidRPr="00D211BD">
        <w:rPr>
          <w:color w:val="000000" w:themeColor="text1"/>
          <w:lang w:val="es-ES_tradnl"/>
        </w:rPr>
        <w:t xml:space="preserve">La principal fuente de financiamiento para el </w:t>
      </w:r>
      <w:r w:rsidR="00D211BD">
        <w:rPr>
          <w:color w:val="000000" w:themeColor="text1"/>
          <w:lang w:val="es-ES_tradnl"/>
        </w:rPr>
        <w:t xml:space="preserve">periodo </w:t>
      </w:r>
      <w:r w:rsidR="00D211BD" w:rsidRPr="00D211BD">
        <w:rPr>
          <w:color w:val="000000" w:themeColor="text1"/>
          <w:lang w:val="es-ES_tradnl"/>
        </w:rPr>
        <w:t>lo constituye el</w:t>
      </w:r>
      <w:r w:rsidR="00D211BD">
        <w:rPr>
          <w:color w:val="000000" w:themeColor="text1"/>
          <w:lang w:val="es-ES_tradnl"/>
        </w:rPr>
        <w:t xml:space="preserve"> </w:t>
      </w:r>
      <w:r w:rsidR="00D211BD" w:rsidRPr="00D211BD">
        <w:rPr>
          <w:color w:val="000000" w:themeColor="text1"/>
          <w:lang w:val="es-ES_tradnl"/>
        </w:rPr>
        <w:t>mercado de capitales.</w:t>
      </w:r>
    </w:p>
    <w:p w:rsidR="008A47E0" w:rsidRDefault="008A47E0" w:rsidP="00D211BD">
      <w:pPr>
        <w:pStyle w:val="Paragraph"/>
        <w:numPr>
          <w:ilvl w:val="0"/>
          <w:numId w:val="0"/>
        </w:numPr>
        <w:outlineLvl w:val="9"/>
        <w:rPr>
          <w:color w:val="000000" w:themeColor="text1"/>
          <w:lang w:val="es-ES_tradnl"/>
        </w:rPr>
      </w:pPr>
    </w:p>
    <w:p w:rsidR="00283BC2" w:rsidRPr="008A47E0" w:rsidRDefault="008A47E0" w:rsidP="00D211BD">
      <w:pPr>
        <w:pStyle w:val="Paragraph"/>
        <w:numPr>
          <w:ilvl w:val="0"/>
          <w:numId w:val="0"/>
        </w:numPr>
        <w:outlineLvl w:val="9"/>
        <w:rPr>
          <w:b/>
          <w:color w:val="000000" w:themeColor="text1"/>
          <w:sz w:val="20"/>
          <w:lang w:val="es-ES_tradnl"/>
        </w:rPr>
      </w:pPr>
      <w:r w:rsidRPr="008A47E0">
        <w:rPr>
          <w:b/>
          <w:color w:val="000000" w:themeColor="text1"/>
          <w:sz w:val="20"/>
          <w:lang w:val="es-ES_tradnl"/>
        </w:rPr>
        <w:t>Cuadro 1: Necesidades</w:t>
      </w:r>
      <w:r>
        <w:rPr>
          <w:b/>
          <w:color w:val="000000" w:themeColor="text1"/>
          <w:sz w:val="20"/>
          <w:lang w:val="es-ES_tradnl"/>
        </w:rPr>
        <w:t xml:space="preserve"> de financiamiento en el escenario base</w:t>
      </w:r>
      <w:r w:rsidRPr="008A47E0">
        <w:rPr>
          <w:b/>
          <w:color w:val="000000" w:themeColor="text1"/>
          <w:sz w:val="20"/>
          <w:lang w:val="es-ES_tradnl"/>
        </w:rPr>
        <w:t xml:space="preserve"> </w:t>
      </w:r>
    </w:p>
    <w:p w:rsidR="00973C09" w:rsidRPr="00E20E44" w:rsidRDefault="0060306D" w:rsidP="00973C09">
      <w:pPr>
        <w:pStyle w:val="Paragraph"/>
        <w:numPr>
          <w:ilvl w:val="0"/>
          <w:numId w:val="0"/>
        </w:numPr>
        <w:outlineLvl w:val="9"/>
        <w:rPr>
          <w:spacing w:val="-6"/>
          <w:lang w:val="es-ES_tradnl"/>
        </w:rPr>
      </w:pPr>
      <w:r w:rsidRPr="0060306D">
        <w:rPr>
          <w:noProof/>
        </w:rPr>
        <w:drawing>
          <wp:inline distT="0" distB="0" distL="0" distR="0" wp14:anchorId="70C1EE90" wp14:editId="5AE9EDBE">
            <wp:extent cx="5486400" cy="218807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188072"/>
                    </a:xfrm>
                    <a:prstGeom prst="rect">
                      <a:avLst/>
                    </a:prstGeom>
                    <a:noFill/>
                    <a:ln>
                      <a:noFill/>
                    </a:ln>
                  </pic:spPr>
                </pic:pic>
              </a:graphicData>
            </a:graphic>
          </wp:inline>
        </w:drawing>
      </w:r>
    </w:p>
    <w:p w:rsidR="00283BC2" w:rsidRPr="003508B9" w:rsidRDefault="00283BC2" w:rsidP="00973C09">
      <w:pPr>
        <w:pStyle w:val="Paragraph"/>
        <w:numPr>
          <w:ilvl w:val="0"/>
          <w:numId w:val="0"/>
        </w:numPr>
        <w:outlineLvl w:val="9"/>
        <w:rPr>
          <w:spacing w:val="-6"/>
          <w:sz w:val="20"/>
          <w:lang w:val="es-ES_tradnl"/>
        </w:rPr>
      </w:pPr>
      <w:r w:rsidRPr="003508B9">
        <w:rPr>
          <w:spacing w:val="-6"/>
          <w:sz w:val="20"/>
          <w:lang w:val="es-ES_tradnl"/>
        </w:rPr>
        <w:t>Fuente:</w:t>
      </w:r>
      <w:r w:rsidR="003508B9">
        <w:rPr>
          <w:spacing w:val="-6"/>
          <w:sz w:val="20"/>
          <w:lang w:val="es-ES_tradnl"/>
        </w:rPr>
        <w:t xml:space="preserve"> Cálculos propios en base a datos del MEF</w:t>
      </w:r>
      <w:r w:rsidR="008A27B9">
        <w:rPr>
          <w:spacing w:val="-6"/>
          <w:sz w:val="20"/>
          <w:lang w:val="es-ES_tradnl"/>
        </w:rPr>
        <w:t xml:space="preserve">, BCU y </w:t>
      </w:r>
      <w:proofErr w:type="spellStart"/>
      <w:r w:rsidR="00231BF1">
        <w:rPr>
          <w:spacing w:val="-6"/>
          <w:sz w:val="20"/>
          <w:lang w:val="es-ES_tradnl"/>
        </w:rPr>
        <w:t>World</w:t>
      </w:r>
      <w:proofErr w:type="spellEnd"/>
      <w:r w:rsidR="00231BF1">
        <w:rPr>
          <w:spacing w:val="-6"/>
          <w:sz w:val="20"/>
          <w:lang w:val="es-ES_tradnl"/>
        </w:rPr>
        <w:t xml:space="preserve"> </w:t>
      </w:r>
      <w:proofErr w:type="spellStart"/>
      <w:r w:rsidR="00231BF1">
        <w:rPr>
          <w:spacing w:val="-6"/>
          <w:sz w:val="20"/>
          <w:lang w:val="es-ES_tradnl"/>
        </w:rPr>
        <w:t>Economic</w:t>
      </w:r>
      <w:proofErr w:type="spellEnd"/>
      <w:r w:rsidR="00231BF1">
        <w:rPr>
          <w:spacing w:val="-6"/>
          <w:sz w:val="20"/>
          <w:lang w:val="es-ES_tradnl"/>
        </w:rPr>
        <w:t xml:space="preserve"> Outlook</w:t>
      </w:r>
      <w:r w:rsidR="003508B9">
        <w:rPr>
          <w:spacing w:val="-6"/>
          <w:sz w:val="20"/>
          <w:lang w:val="es-ES_tradnl"/>
        </w:rPr>
        <w:t>.</w:t>
      </w:r>
    </w:p>
    <w:p w:rsidR="00F95B20" w:rsidRDefault="00283BC2" w:rsidP="00973C09">
      <w:pPr>
        <w:pStyle w:val="Paragraph"/>
        <w:numPr>
          <w:ilvl w:val="0"/>
          <w:numId w:val="0"/>
        </w:numPr>
        <w:outlineLvl w:val="9"/>
        <w:rPr>
          <w:b/>
          <w:i/>
          <w:spacing w:val="-6"/>
          <w:lang w:val="es-ES_tradnl"/>
        </w:rPr>
      </w:pPr>
      <w:r>
        <w:rPr>
          <w:b/>
          <w:i/>
          <w:spacing w:val="-6"/>
          <w:lang w:val="es-ES_tradnl"/>
        </w:rPr>
        <w:t xml:space="preserve"> </w:t>
      </w:r>
    </w:p>
    <w:p w:rsidR="0068544F" w:rsidRDefault="00283BC2" w:rsidP="00973C09">
      <w:pPr>
        <w:pStyle w:val="Paragraph"/>
        <w:numPr>
          <w:ilvl w:val="0"/>
          <w:numId w:val="0"/>
        </w:numPr>
        <w:outlineLvl w:val="9"/>
        <w:rPr>
          <w:b/>
          <w:i/>
          <w:spacing w:val="-6"/>
          <w:lang w:val="es-ES_tradnl"/>
        </w:rPr>
      </w:pPr>
      <w:r>
        <w:rPr>
          <w:b/>
          <w:i/>
          <w:spacing w:val="-6"/>
          <w:lang w:val="es-ES_tradnl"/>
        </w:rPr>
        <w:t xml:space="preserve">1.- </w:t>
      </w:r>
      <w:r w:rsidR="00225220">
        <w:rPr>
          <w:b/>
          <w:i/>
          <w:spacing w:val="-6"/>
          <w:lang w:val="es-ES_tradnl"/>
        </w:rPr>
        <w:t>Escenario Base</w:t>
      </w:r>
    </w:p>
    <w:p w:rsidR="006775B1" w:rsidRDefault="00283BC2" w:rsidP="00973C09">
      <w:pPr>
        <w:pStyle w:val="Paragraph"/>
        <w:numPr>
          <w:ilvl w:val="0"/>
          <w:numId w:val="0"/>
        </w:numPr>
        <w:outlineLvl w:val="9"/>
        <w:rPr>
          <w:spacing w:val="-6"/>
          <w:lang w:val="es-ES_tradnl"/>
        </w:rPr>
      </w:pPr>
      <w:r>
        <w:rPr>
          <w:spacing w:val="-6"/>
          <w:lang w:val="es-ES_tradnl"/>
        </w:rPr>
        <w:t xml:space="preserve">En términos generales se </w:t>
      </w:r>
      <w:r>
        <w:rPr>
          <w:lang w:val="es-ES_tradnl"/>
        </w:rPr>
        <w:t>utiliz</w:t>
      </w:r>
      <w:r w:rsidR="00287F5F">
        <w:rPr>
          <w:lang w:val="es-ES_tradnl"/>
        </w:rPr>
        <w:t xml:space="preserve">ó </w:t>
      </w:r>
      <w:r w:rsidR="00287F5F" w:rsidRPr="00287F5F">
        <w:rPr>
          <w:spacing w:val="-6"/>
          <w:lang w:val="es-ES_tradnl"/>
        </w:rPr>
        <w:t>un escenario base similar al utilizado por el Ministerio de Economía y Finanzas (MEF) para la elaboración de la Ley de Rendición de Cuentas 2013</w:t>
      </w:r>
      <w:r w:rsidR="00287F5F">
        <w:rPr>
          <w:spacing w:val="-6"/>
          <w:lang w:val="es-ES_tradnl"/>
        </w:rPr>
        <w:t xml:space="preserve"> (RC2013)</w:t>
      </w:r>
      <w:r>
        <w:rPr>
          <w:spacing w:val="-6"/>
          <w:lang w:val="es-ES_tradnl"/>
        </w:rPr>
        <w:t>. A continuación se describen los principales supuestos detrás de las estimaciones.</w:t>
      </w:r>
      <w:r w:rsidRPr="00287F5F">
        <w:rPr>
          <w:lang w:val="es-ES_tradnl"/>
        </w:rPr>
        <w:t xml:space="preserve"> </w:t>
      </w:r>
    </w:p>
    <w:p w:rsidR="006775B1" w:rsidRPr="0021734A" w:rsidRDefault="00283BC2" w:rsidP="00B80EFF">
      <w:pPr>
        <w:pStyle w:val="Paragraph"/>
        <w:numPr>
          <w:ilvl w:val="0"/>
          <w:numId w:val="26"/>
        </w:numPr>
        <w:outlineLvl w:val="9"/>
        <w:rPr>
          <w:color w:val="0D0D0D" w:themeColor="text1" w:themeTint="F2"/>
          <w:spacing w:val="-6"/>
          <w:lang w:val="es-ES_tradnl"/>
        </w:rPr>
      </w:pPr>
      <w:r w:rsidRPr="00B80EFF">
        <w:rPr>
          <w:b/>
          <w:spacing w:val="-6"/>
          <w:lang w:val="es-ES_tradnl"/>
        </w:rPr>
        <w:t>Balance Primario:</w:t>
      </w:r>
      <w:r>
        <w:rPr>
          <w:spacing w:val="-6"/>
          <w:lang w:val="es-ES_tradnl"/>
        </w:rPr>
        <w:t xml:space="preserve"> </w:t>
      </w:r>
      <w:r w:rsidR="006775B1" w:rsidRPr="00283BC2">
        <w:rPr>
          <w:spacing w:val="-6"/>
          <w:lang w:val="es-ES_tradnl"/>
        </w:rPr>
        <w:t xml:space="preserve">Para estimar el </w:t>
      </w:r>
      <w:r w:rsidRPr="00283BC2">
        <w:rPr>
          <w:spacing w:val="-6"/>
          <w:lang w:val="es-ES_tradnl"/>
        </w:rPr>
        <w:t xml:space="preserve">balance primario del SPNF se usaron los datos de la RC2013 para los años 2014 y 2015. </w:t>
      </w:r>
      <w:r w:rsidRPr="000865DE">
        <w:rPr>
          <w:spacing w:val="-6"/>
          <w:lang w:val="es-ES_tradnl"/>
        </w:rPr>
        <w:t xml:space="preserve"> Para el resto del </w:t>
      </w:r>
      <w:r w:rsidR="00EC1DED" w:rsidRPr="000865DE">
        <w:rPr>
          <w:spacing w:val="-6"/>
          <w:lang w:val="es-ES_tradnl"/>
        </w:rPr>
        <w:t>perí</w:t>
      </w:r>
      <w:r w:rsidR="00EC1DED">
        <w:rPr>
          <w:spacing w:val="-6"/>
          <w:lang w:val="es-ES_tradnl"/>
        </w:rPr>
        <w:t>o</w:t>
      </w:r>
      <w:r w:rsidR="00EC1DED" w:rsidRPr="000865DE">
        <w:rPr>
          <w:spacing w:val="-6"/>
          <w:lang w:val="es-ES_tradnl"/>
        </w:rPr>
        <w:t>do</w:t>
      </w:r>
      <w:r w:rsidRPr="000865DE">
        <w:rPr>
          <w:spacing w:val="-6"/>
          <w:lang w:val="es-ES_tradnl"/>
        </w:rPr>
        <w:t xml:space="preserve"> se estimó el PBI a precios corrientes usando datos de la RC2013 para 2016, y luego se asumió una tasa de crecimiento de largo plazo de 9% nominal (crecimiento de 4% real y 5% de inflación). Usando estas estimaciones se computó el  balance primario como 0,5% del PIB en 2016 y el 1% del PBI a partir de 2017, que es el mismo ratio que usa la Unidad de Deuda del MEF en el escenario base para el análisis de sostenibilidad de deuda de largo </w:t>
      </w:r>
      <w:r w:rsidRPr="000865DE">
        <w:rPr>
          <w:spacing w:val="-6"/>
          <w:lang w:val="es-ES_tradnl"/>
        </w:rPr>
        <w:lastRenderedPageBreak/>
        <w:t xml:space="preserve">plazo. El balance primario en moneda local fue convertido a dólares usando las estimaciones de la RC2013 para la evolución del tipo de cambio nominal en 2015-2017 </w:t>
      </w:r>
      <w:r w:rsidRPr="0021734A">
        <w:rPr>
          <w:color w:val="0D0D0D" w:themeColor="text1" w:themeTint="F2"/>
          <w:spacing w:val="-6"/>
          <w:lang w:val="es-ES_tradnl"/>
        </w:rPr>
        <w:t>y un incremento de 3% anual para el resto de los años.</w:t>
      </w:r>
    </w:p>
    <w:p w:rsidR="0031423C" w:rsidRPr="0021734A" w:rsidRDefault="00283BC2" w:rsidP="0031423C">
      <w:pPr>
        <w:pStyle w:val="Paragraph"/>
        <w:numPr>
          <w:ilvl w:val="0"/>
          <w:numId w:val="26"/>
        </w:numPr>
        <w:outlineLvl w:val="9"/>
        <w:rPr>
          <w:color w:val="0D0D0D" w:themeColor="text1" w:themeTint="F2"/>
          <w:spacing w:val="-6"/>
          <w:lang w:val="es-ES_tradnl"/>
        </w:rPr>
      </w:pPr>
      <w:r w:rsidRPr="0021734A">
        <w:rPr>
          <w:b/>
          <w:color w:val="0D0D0D" w:themeColor="text1" w:themeTint="F2"/>
          <w:spacing w:val="-6"/>
          <w:lang w:val="es-ES_tradnl"/>
        </w:rPr>
        <w:t>Desembolsos BID:</w:t>
      </w:r>
      <w:r w:rsidRPr="0021734A">
        <w:rPr>
          <w:color w:val="0D0D0D" w:themeColor="text1" w:themeTint="F2"/>
          <w:spacing w:val="-6"/>
          <w:lang w:val="es-ES_tradnl"/>
        </w:rPr>
        <w:t xml:space="preserve"> </w:t>
      </w:r>
      <w:r w:rsidR="00A85DD6" w:rsidRPr="0021734A">
        <w:rPr>
          <w:color w:val="0D0D0D" w:themeColor="text1" w:themeTint="F2"/>
          <w:spacing w:val="-6"/>
          <w:lang w:val="es-ES_tradnl"/>
        </w:rPr>
        <w:t xml:space="preserve">Para </w:t>
      </w:r>
      <w:r w:rsidR="007B5BE6" w:rsidRPr="0021734A">
        <w:rPr>
          <w:color w:val="0D0D0D" w:themeColor="text1" w:themeTint="F2"/>
          <w:spacing w:val="-6"/>
          <w:lang w:val="es-ES_tradnl"/>
        </w:rPr>
        <w:t xml:space="preserve">el </w:t>
      </w:r>
      <w:r w:rsidR="00EC1DED" w:rsidRPr="0021734A">
        <w:rPr>
          <w:color w:val="0D0D0D" w:themeColor="text1" w:themeTint="F2"/>
          <w:spacing w:val="-6"/>
          <w:lang w:val="es-ES_tradnl"/>
        </w:rPr>
        <w:t>período</w:t>
      </w:r>
      <w:r w:rsidR="007B5BE6" w:rsidRPr="0021734A">
        <w:rPr>
          <w:color w:val="0D0D0D" w:themeColor="text1" w:themeTint="F2"/>
          <w:spacing w:val="-6"/>
          <w:lang w:val="es-ES_tradnl"/>
        </w:rPr>
        <w:t xml:space="preserve"> </w:t>
      </w:r>
      <w:r w:rsidR="00A85DD6" w:rsidRPr="0021734A">
        <w:rPr>
          <w:color w:val="0D0D0D" w:themeColor="text1" w:themeTint="F2"/>
          <w:spacing w:val="-6"/>
          <w:lang w:val="es-ES_tradnl"/>
        </w:rPr>
        <w:t>2014</w:t>
      </w:r>
      <w:r w:rsidR="007B5BE6" w:rsidRPr="0021734A">
        <w:rPr>
          <w:color w:val="0D0D0D" w:themeColor="text1" w:themeTint="F2"/>
          <w:spacing w:val="-6"/>
          <w:lang w:val="es-ES_tradnl"/>
        </w:rPr>
        <w:t>-201</w:t>
      </w:r>
      <w:r w:rsidR="0060306D">
        <w:rPr>
          <w:color w:val="0D0D0D" w:themeColor="text1" w:themeTint="F2"/>
          <w:spacing w:val="-6"/>
          <w:lang w:val="es-ES_tradnl"/>
        </w:rPr>
        <w:t>9</w:t>
      </w:r>
      <w:r w:rsidR="00A85DD6" w:rsidRPr="0021734A">
        <w:rPr>
          <w:color w:val="0D0D0D" w:themeColor="text1" w:themeTint="F2"/>
          <w:spacing w:val="-6"/>
          <w:lang w:val="es-ES_tradnl"/>
        </w:rPr>
        <w:t xml:space="preserve"> se cuenta con proyecciones internas del Banco. Se asume que </w:t>
      </w:r>
      <w:r w:rsidR="00510862" w:rsidRPr="0021734A">
        <w:rPr>
          <w:color w:val="0D0D0D" w:themeColor="text1" w:themeTint="F2"/>
          <w:spacing w:val="-6"/>
          <w:lang w:val="es-ES_tradnl"/>
        </w:rPr>
        <w:t>cada año además</w:t>
      </w:r>
      <w:r w:rsidR="00C444EE" w:rsidRPr="0021734A">
        <w:rPr>
          <w:color w:val="0D0D0D" w:themeColor="text1" w:themeTint="F2"/>
          <w:spacing w:val="-6"/>
          <w:lang w:val="es-ES_tradnl"/>
        </w:rPr>
        <w:t xml:space="preserve"> de los desembolsos proyectados</w:t>
      </w:r>
      <w:r w:rsidR="00510862" w:rsidRPr="0021734A">
        <w:rPr>
          <w:color w:val="0D0D0D" w:themeColor="text1" w:themeTint="F2"/>
          <w:spacing w:val="-6"/>
          <w:lang w:val="es-ES_tradnl"/>
        </w:rPr>
        <w:t xml:space="preserve"> se </w:t>
      </w:r>
      <w:r w:rsidR="00C444EE" w:rsidRPr="0021734A">
        <w:rPr>
          <w:color w:val="0D0D0D" w:themeColor="text1" w:themeTint="F2"/>
          <w:spacing w:val="-6"/>
          <w:lang w:val="es-ES_tradnl"/>
        </w:rPr>
        <w:t xml:space="preserve">desembolsa </w:t>
      </w:r>
      <w:r w:rsidR="00510862" w:rsidRPr="0021734A">
        <w:rPr>
          <w:color w:val="0D0D0D" w:themeColor="text1" w:themeTint="F2"/>
          <w:spacing w:val="-6"/>
          <w:lang w:val="es-ES_tradnl"/>
        </w:rPr>
        <w:t>una proporción creciente de los mismos</w:t>
      </w:r>
      <w:r w:rsidR="007A321D" w:rsidRPr="0021734A">
        <w:rPr>
          <w:color w:val="0D0D0D" w:themeColor="text1" w:themeTint="F2"/>
          <w:spacing w:val="-6"/>
          <w:lang w:val="es-ES_tradnl"/>
        </w:rPr>
        <w:t xml:space="preserve"> correspondiente a nuevos </w:t>
      </w:r>
      <w:r w:rsidR="00D440EC" w:rsidRPr="0021734A">
        <w:rPr>
          <w:color w:val="0D0D0D" w:themeColor="text1" w:themeTint="F2"/>
          <w:spacing w:val="-6"/>
          <w:lang w:val="es-ES_tradnl"/>
        </w:rPr>
        <w:t>préstamos</w:t>
      </w:r>
      <w:r w:rsidR="00510862" w:rsidRPr="0021734A">
        <w:rPr>
          <w:color w:val="0D0D0D" w:themeColor="text1" w:themeTint="F2"/>
          <w:spacing w:val="-6"/>
          <w:lang w:val="es-ES_tradnl"/>
        </w:rPr>
        <w:t xml:space="preserve">. </w:t>
      </w:r>
    </w:p>
    <w:p w:rsidR="005A6140" w:rsidRPr="0021734A" w:rsidRDefault="00283BC2" w:rsidP="0031423C">
      <w:pPr>
        <w:pStyle w:val="Paragraph"/>
        <w:numPr>
          <w:ilvl w:val="0"/>
          <w:numId w:val="26"/>
        </w:numPr>
        <w:outlineLvl w:val="9"/>
        <w:rPr>
          <w:color w:val="0D0D0D" w:themeColor="text1" w:themeTint="F2"/>
          <w:spacing w:val="-6"/>
          <w:lang w:val="es-ES_tradnl"/>
        </w:rPr>
      </w:pPr>
      <w:r w:rsidRPr="0021734A">
        <w:rPr>
          <w:b/>
          <w:color w:val="0D0D0D" w:themeColor="text1" w:themeTint="F2"/>
          <w:spacing w:val="-6"/>
          <w:lang w:val="es-ES_tradnl"/>
        </w:rPr>
        <w:t>Desembolsos Multilaterales:</w:t>
      </w:r>
      <w:r w:rsidRPr="0021734A">
        <w:rPr>
          <w:color w:val="0D0D0D" w:themeColor="text1" w:themeTint="F2"/>
          <w:spacing w:val="-6"/>
          <w:lang w:val="es-ES_tradnl"/>
        </w:rPr>
        <w:t xml:space="preserve"> </w:t>
      </w:r>
      <w:r w:rsidR="005A6140" w:rsidRPr="0021734A">
        <w:rPr>
          <w:color w:val="0D0D0D" w:themeColor="text1" w:themeTint="F2"/>
          <w:spacing w:val="-6"/>
          <w:lang w:val="es-ES_tradnl"/>
        </w:rPr>
        <w:t xml:space="preserve">Los desembolsos totales así como la </w:t>
      </w:r>
      <w:r w:rsidR="00DD568A" w:rsidRPr="0021734A">
        <w:rPr>
          <w:color w:val="0D0D0D" w:themeColor="text1" w:themeTint="F2"/>
          <w:spacing w:val="-6"/>
          <w:lang w:val="es-ES_tradnl"/>
        </w:rPr>
        <w:t xml:space="preserve">nueva </w:t>
      </w:r>
      <w:r w:rsidR="005A6140" w:rsidRPr="0021734A">
        <w:rPr>
          <w:color w:val="0D0D0D" w:themeColor="text1" w:themeTint="F2"/>
          <w:spacing w:val="-6"/>
          <w:lang w:val="es-ES_tradnl"/>
        </w:rPr>
        <w:t xml:space="preserve">emisión de deuda de organismos multilaterales se estiman como un porcentaje fijo de los montos del BID. </w:t>
      </w:r>
      <w:r w:rsidR="00825934" w:rsidRPr="0021734A">
        <w:rPr>
          <w:color w:val="0D0D0D" w:themeColor="text1" w:themeTint="F2"/>
          <w:spacing w:val="-6"/>
          <w:lang w:val="es-ES_tradnl"/>
        </w:rPr>
        <w:t xml:space="preserve">Al 30/6/2013 </w:t>
      </w:r>
      <w:r w:rsidR="005A6140" w:rsidRPr="0021734A">
        <w:rPr>
          <w:color w:val="0D0D0D" w:themeColor="text1" w:themeTint="F2"/>
          <w:spacing w:val="-6"/>
          <w:lang w:val="es-ES_tradnl"/>
        </w:rPr>
        <w:t>el stock de deuda con el BID representaba el 54% del total del stock a organismos multilaterales</w:t>
      </w:r>
      <w:r w:rsidR="00825934" w:rsidRPr="0021734A">
        <w:rPr>
          <w:color w:val="0D0D0D" w:themeColor="text1" w:themeTint="F2"/>
          <w:spacing w:val="-6"/>
          <w:lang w:val="es-ES_tradnl"/>
        </w:rPr>
        <w:t xml:space="preserve">. Esta proporción se mantiene fija para todos los años. </w:t>
      </w:r>
      <w:r w:rsidR="00DD568A" w:rsidRPr="0021734A">
        <w:rPr>
          <w:color w:val="0D0D0D" w:themeColor="text1" w:themeTint="F2"/>
          <w:spacing w:val="-6"/>
          <w:lang w:val="es-ES_tradnl"/>
        </w:rPr>
        <w:t xml:space="preserve">Además se asume que </w:t>
      </w:r>
      <w:r w:rsidR="00D53412" w:rsidRPr="0021734A">
        <w:rPr>
          <w:color w:val="0D0D0D" w:themeColor="text1" w:themeTint="F2"/>
          <w:spacing w:val="-6"/>
          <w:lang w:val="es-ES_tradnl"/>
        </w:rPr>
        <w:t xml:space="preserve">los nuevos </w:t>
      </w:r>
      <w:r w:rsidR="00D440EC" w:rsidRPr="0021734A">
        <w:rPr>
          <w:color w:val="0D0D0D" w:themeColor="text1" w:themeTint="F2"/>
          <w:spacing w:val="-6"/>
          <w:lang w:val="es-ES_tradnl"/>
        </w:rPr>
        <w:t>préstamos</w:t>
      </w:r>
      <w:r w:rsidR="00D53412" w:rsidRPr="0021734A">
        <w:rPr>
          <w:color w:val="0D0D0D" w:themeColor="text1" w:themeTint="F2"/>
          <w:spacing w:val="-6"/>
          <w:lang w:val="es-ES_tradnl"/>
        </w:rPr>
        <w:t xml:space="preserve"> </w:t>
      </w:r>
      <w:r w:rsidR="00CF51FA" w:rsidRPr="0021734A">
        <w:rPr>
          <w:color w:val="0D0D0D" w:themeColor="text1" w:themeTint="F2"/>
          <w:spacing w:val="-6"/>
          <w:lang w:val="es-ES_tradnl"/>
        </w:rPr>
        <w:t xml:space="preserve">son a tasas variables y </w:t>
      </w:r>
      <w:r w:rsidR="00DD568A" w:rsidRPr="0021734A">
        <w:rPr>
          <w:color w:val="0D0D0D" w:themeColor="text1" w:themeTint="F2"/>
          <w:spacing w:val="-6"/>
          <w:lang w:val="es-ES_tradnl"/>
        </w:rPr>
        <w:t>tiene</w:t>
      </w:r>
      <w:r w:rsidR="00D440EC" w:rsidRPr="0021734A">
        <w:rPr>
          <w:color w:val="0D0D0D" w:themeColor="text1" w:themeTint="F2"/>
          <w:spacing w:val="-6"/>
          <w:lang w:val="es-ES_tradnl"/>
        </w:rPr>
        <w:t>n</w:t>
      </w:r>
      <w:r w:rsidR="00DD568A" w:rsidRPr="0021734A">
        <w:rPr>
          <w:color w:val="0D0D0D" w:themeColor="text1" w:themeTint="F2"/>
          <w:spacing w:val="-6"/>
          <w:lang w:val="es-ES_tradnl"/>
        </w:rPr>
        <w:t xml:space="preserve"> un </w:t>
      </w:r>
      <w:r w:rsidR="00EC1DED" w:rsidRPr="0021734A">
        <w:rPr>
          <w:color w:val="0D0D0D" w:themeColor="text1" w:themeTint="F2"/>
          <w:spacing w:val="-6"/>
          <w:lang w:val="es-ES_tradnl"/>
        </w:rPr>
        <w:t>período</w:t>
      </w:r>
      <w:r w:rsidR="00DD568A" w:rsidRPr="0021734A">
        <w:rPr>
          <w:color w:val="0D0D0D" w:themeColor="text1" w:themeTint="F2"/>
          <w:spacing w:val="-6"/>
          <w:lang w:val="es-ES_tradnl"/>
        </w:rPr>
        <w:t xml:space="preserve"> de 5 años de gracia y </w:t>
      </w:r>
      <w:r w:rsidR="00D440EC" w:rsidRPr="0021734A">
        <w:rPr>
          <w:color w:val="0D0D0D" w:themeColor="text1" w:themeTint="F2"/>
          <w:spacing w:val="-6"/>
          <w:lang w:val="es-ES_tradnl"/>
        </w:rPr>
        <w:t>una madurez de 25 años.</w:t>
      </w:r>
      <w:r w:rsidR="00CF51FA" w:rsidRPr="0021734A">
        <w:rPr>
          <w:color w:val="0D0D0D" w:themeColor="text1" w:themeTint="F2"/>
          <w:spacing w:val="-6"/>
          <w:lang w:val="es-ES_tradnl"/>
        </w:rPr>
        <w:t xml:space="preserve"> Para proyectar las tasas de interés de estos préstamos se usan las proyecciones de la tasa Libor a 6 meses del </w:t>
      </w:r>
      <w:proofErr w:type="spellStart"/>
      <w:r w:rsidR="00CF51FA" w:rsidRPr="0021734A">
        <w:rPr>
          <w:color w:val="0D0D0D" w:themeColor="text1" w:themeTint="F2"/>
          <w:spacing w:val="-6"/>
          <w:lang w:val="es-ES_tradnl"/>
        </w:rPr>
        <w:t>World</w:t>
      </w:r>
      <w:proofErr w:type="spellEnd"/>
      <w:r w:rsidR="00CF51FA" w:rsidRPr="0021734A">
        <w:rPr>
          <w:color w:val="0D0D0D" w:themeColor="text1" w:themeTint="F2"/>
          <w:spacing w:val="-6"/>
          <w:lang w:val="es-ES_tradnl"/>
        </w:rPr>
        <w:t xml:space="preserve"> </w:t>
      </w:r>
      <w:proofErr w:type="spellStart"/>
      <w:r w:rsidR="00CF51FA" w:rsidRPr="0021734A">
        <w:rPr>
          <w:color w:val="0D0D0D" w:themeColor="text1" w:themeTint="F2"/>
          <w:spacing w:val="-6"/>
          <w:lang w:val="es-ES_tradnl"/>
        </w:rPr>
        <w:t>Economic</w:t>
      </w:r>
      <w:proofErr w:type="spellEnd"/>
      <w:r w:rsidR="00CF51FA" w:rsidRPr="0021734A">
        <w:rPr>
          <w:color w:val="0D0D0D" w:themeColor="text1" w:themeTint="F2"/>
          <w:spacing w:val="-6"/>
          <w:lang w:val="es-ES_tradnl"/>
        </w:rPr>
        <w:t xml:space="preserve"> Outlook para 2014 y 2015 y luego se converge gradualmente a 4% en 2019. A esto se le</w:t>
      </w:r>
      <w:r w:rsidR="00B314F5" w:rsidRPr="0021734A">
        <w:rPr>
          <w:color w:val="0D0D0D" w:themeColor="text1" w:themeTint="F2"/>
          <w:spacing w:val="-6"/>
          <w:lang w:val="es-ES_tradnl"/>
        </w:rPr>
        <w:t xml:space="preserve"> sumó </w:t>
      </w:r>
      <w:r w:rsidR="00CF51FA" w:rsidRPr="0021734A">
        <w:rPr>
          <w:color w:val="0D0D0D" w:themeColor="text1" w:themeTint="F2"/>
          <w:spacing w:val="-6"/>
          <w:lang w:val="es-ES_tradnl"/>
        </w:rPr>
        <w:t xml:space="preserve">el </w:t>
      </w:r>
      <w:r w:rsidR="00B314F5" w:rsidRPr="0021734A">
        <w:rPr>
          <w:color w:val="0D0D0D" w:themeColor="text1" w:themeTint="F2"/>
          <w:spacing w:val="-6"/>
          <w:lang w:val="es-ES_tradnl"/>
        </w:rPr>
        <w:t xml:space="preserve">margen </w:t>
      </w:r>
      <w:r w:rsidR="00CF51FA" w:rsidRPr="0021734A">
        <w:rPr>
          <w:color w:val="0D0D0D" w:themeColor="text1" w:themeTint="F2"/>
          <w:spacing w:val="-6"/>
          <w:lang w:val="es-ES_tradnl"/>
        </w:rPr>
        <w:t>vigente a la fecha para</w:t>
      </w:r>
      <w:r w:rsidR="00B314F5" w:rsidRPr="0021734A">
        <w:rPr>
          <w:color w:val="0D0D0D" w:themeColor="text1" w:themeTint="F2"/>
          <w:spacing w:val="-6"/>
          <w:lang w:val="es-ES_tradnl"/>
        </w:rPr>
        <w:t xml:space="preserve"> los préstamos del BID (0.89bps).</w:t>
      </w:r>
      <w:r w:rsidR="00DD568A" w:rsidRPr="0021734A">
        <w:rPr>
          <w:color w:val="0D0D0D" w:themeColor="text1" w:themeTint="F2"/>
          <w:spacing w:val="-6"/>
          <w:lang w:val="es-ES_tradnl"/>
        </w:rPr>
        <w:t xml:space="preserve"> </w:t>
      </w:r>
    </w:p>
    <w:p w:rsidR="00A74B0F" w:rsidRPr="00A74B0F" w:rsidRDefault="00283BC2" w:rsidP="00B80EFF">
      <w:pPr>
        <w:pStyle w:val="Paragraph"/>
        <w:numPr>
          <w:ilvl w:val="0"/>
          <w:numId w:val="26"/>
        </w:numPr>
        <w:outlineLvl w:val="9"/>
        <w:rPr>
          <w:spacing w:val="-6"/>
          <w:lang w:val="es-ES_tradnl"/>
        </w:rPr>
      </w:pPr>
      <w:r w:rsidRPr="0021734A">
        <w:rPr>
          <w:b/>
          <w:color w:val="0D0D0D" w:themeColor="text1" w:themeTint="F2"/>
          <w:spacing w:val="-6"/>
          <w:lang w:val="es-ES_tradnl"/>
        </w:rPr>
        <w:t xml:space="preserve">Emisión en el Mercado Local o Internacional: </w:t>
      </w:r>
      <w:r w:rsidR="00CE7770" w:rsidRPr="0021734A">
        <w:rPr>
          <w:color w:val="0D0D0D" w:themeColor="text1" w:themeTint="F2"/>
          <w:spacing w:val="-6"/>
          <w:lang w:val="es-ES_tradnl"/>
        </w:rPr>
        <w:t>Toda nueva emisión se asume se realiza al principio del año por lo cual paga intereses en el mismo año que se emite</w:t>
      </w:r>
      <w:r w:rsidR="006D5B68" w:rsidRPr="0021734A">
        <w:rPr>
          <w:color w:val="0D0D0D" w:themeColor="text1" w:themeTint="F2"/>
          <w:spacing w:val="-6"/>
          <w:lang w:val="es-ES_tradnl"/>
        </w:rPr>
        <w:t>. Se asume que</w:t>
      </w:r>
      <w:r w:rsidR="006D5B68" w:rsidRPr="0021734A">
        <w:rPr>
          <w:color w:val="0D0D0D" w:themeColor="text1" w:themeTint="F2"/>
          <w:lang w:val="es-ES_tradnl"/>
        </w:rPr>
        <w:t xml:space="preserve"> </w:t>
      </w:r>
      <w:r w:rsidR="006D5B68" w:rsidRPr="0021734A">
        <w:rPr>
          <w:color w:val="0D0D0D" w:themeColor="text1" w:themeTint="F2"/>
          <w:spacing w:val="-6"/>
          <w:lang w:val="es-ES_tradnl"/>
        </w:rPr>
        <w:t>la madurez de la nueva emisión se distribuye uniforme en el tiempo hasta un máximo de 15 años y la amortización es a</w:t>
      </w:r>
      <w:r w:rsidR="0052089A" w:rsidRPr="0021734A">
        <w:rPr>
          <w:color w:val="0D0D0D" w:themeColor="text1" w:themeTint="F2"/>
          <w:spacing w:val="-6"/>
          <w:lang w:val="es-ES_tradnl"/>
        </w:rPr>
        <w:t>l</w:t>
      </w:r>
      <w:r w:rsidR="006D5B68" w:rsidRPr="0021734A">
        <w:rPr>
          <w:color w:val="0D0D0D" w:themeColor="text1" w:themeTint="F2"/>
          <w:spacing w:val="-6"/>
          <w:lang w:val="es-ES_tradnl"/>
        </w:rPr>
        <w:t xml:space="preserve"> vencimiento. </w:t>
      </w:r>
      <w:r w:rsidR="00CE7770" w:rsidRPr="0021734A">
        <w:rPr>
          <w:color w:val="0D0D0D" w:themeColor="text1" w:themeTint="F2"/>
          <w:spacing w:val="-6"/>
          <w:lang w:val="es-ES_tradnl"/>
        </w:rPr>
        <w:t xml:space="preserve"> </w:t>
      </w:r>
      <w:r w:rsidR="0052089A" w:rsidRPr="0021734A">
        <w:rPr>
          <w:color w:val="0D0D0D" w:themeColor="text1" w:themeTint="F2"/>
          <w:spacing w:val="-6"/>
          <w:lang w:val="es-ES_tradnl"/>
        </w:rPr>
        <w:t>Además s</w:t>
      </w:r>
      <w:r w:rsidR="006D5B68" w:rsidRPr="0021734A">
        <w:rPr>
          <w:color w:val="0D0D0D" w:themeColor="text1" w:themeTint="F2"/>
          <w:spacing w:val="-6"/>
          <w:lang w:val="es-ES_tradnl"/>
        </w:rPr>
        <w:t xml:space="preserve">e asume que toda nueva emisión paga una tasa fija la cual se estima </w:t>
      </w:r>
      <w:r w:rsidR="006D5B68">
        <w:rPr>
          <w:spacing w:val="-6"/>
          <w:lang w:val="es-ES_tradnl"/>
        </w:rPr>
        <w:t>es 5,5% en 2014</w:t>
      </w:r>
      <w:r w:rsidR="0052089A">
        <w:rPr>
          <w:spacing w:val="-6"/>
          <w:lang w:val="es-ES_tradnl"/>
        </w:rPr>
        <w:t xml:space="preserve">, 6,0% en 2016 y </w:t>
      </w:r>
      <w:r w:rsidR="00CE7770">
        <w:rPr>
          <w:spacing w:val="-6"/>
          <w:lang w:val="es-ES_tradnl"/>
        </w:rPr>
        <w:t xml:space="preserve">6,5% </w:t>
      </w:r>
      <w:r w:rsidR="0052089A">
        <w:rPr>
          <w:spacing w:val="-6"/>
          <w:lang w:val="es-ES_tradnl"/>
        </w:rPr>
        <w:t>a partir de 2017</w:t>
      </w:r>
      <w:r w:rsidR="00CE7770">
        <w:rPr>
          <w:spacing w:val="-6"/>
          <w:lang w:val="es-ES_tradnl"/>
        </w:rPr>
        <w:t>.</w:t>
      </w:r>
      <w:r w:rsidR="006D5B68">
        <w:rPr>
          <w:spacing w:val="-6"/>
          <w:lang w:val="es-ES_tradnl"/>
        </w:rPr>
        <w:t xml:space="preserve"> </w:t>
      </w:r>
      <w:r w:rsidR="00CE7770">
        <w:rPr>
          <w:spacing w:val="-6"/>
          <w:lang w:val="es-ES_tradnl"/>
        </w:rPr>
        <w:t xml:space="preserve"> </w:t>
      </w:r>
      <w:r w:rsidR="00CD0332">
        <w:rPr>
          <w:spacing w:val="-6"/>
          <w:lang w:val="es-ES_tradnl"/>
        </w:rPr>
        <w:t xml:space="preserve">Se </w:t>
      </w:r>
      <w:r w:rsidR="006D5B68">
        <w:rPr>
          <w:spacing w:val="-6"/>
          <w:lang w:val="es-ES_tradnl"/>
        </w:rPr>
        <w:t xml:space="preserve">supone </w:t>
      </w:r>
      <w:r w:rsidR="00CD0332">
        <w:rPr>
          <w:spacing w:val="-6"/>
          <w:lang w:val="es-ES_tradnl"/>
        </w:rPr>
        <w:t xml:space="preserve">que cada año se emite lo suficiente para </w:t>
      </w:r>
      <w:r w:rsidR="00CE7770">
        <w:rPr>
          <w:spacing w:val="-6"/>
          <w:lang w:val="es-ES_tradnl"/>
        </w:rPr>
        <w:t xml:space="preserve"> </w:t>
      </w:r>
      <w:r w:rsidR="00CD0332">
        <w:rPr>
          <w:spacing w:val="-6"/>
          <w:lang w:val="es-ES_tradnl"/>
        </w:rPr>
        <w:t>cubrir los pagos de intereses y amortizaciones sin que el rubro “</w:t>
      </w:r>
      <w:proofErr w:type="spellStart"/>
      <w:r w:rsidR="00555966">
        <w:rPr>
          <w:spacing w:val="-6"/>
          <w:lang w:val="es-ES_tradnl"/>
        </w:rPr>
        <w:t>diff</w:t>
      </w:r>
      <w:proofErr w:type="spellEnd"/>
      <w:r w:rsidR="00555966">
        <w:rPr>
          <w:spacing w:val="-6"/>
          <w:lang w:val="es-ES_tradnl"/>
        </w:rPr>
        <w:t>” sobrepase los 50 millones de dólares.</w:t>
      </w:r>
    </w:p>
    <w:p w:rsidR="00FE5D14" w:rsidRDefault="00283BC2" w:rsidP="00B80EFF">
      <w:pPr>
        <w:pStyle w:val="Paragraph"/>
        <w:numPr>
          <w:ilvl w:val="0"/>
          <w:numId w:val="26"/>
        </w:numPr>
        <w:outlineLvl w:val="9"/>
        <w:rPr>
          <w:spacing w:val="-6"/>
          <w:lang w:val="es-ES_tradnl"/>
        </w:rPr>
      </w:pPr>
      <w:r w:rsidRPr="008D522F">
        <w:rPr>
          <w:b/>
          <w:spacing w:val="-6"/>
          <w:lang w:val="es-ES_tradnl"/>
        </w:rPr>
        <w:t xml:space="preserve">Uso de Activos: </w:t>
      </w:r>
      <w:r w:rsidR="00CF5B34">
        <w:rPr>
          <w:spacing w:val="-6"/>
          <w:lang w:val="es-ES_tradnl"/>
        </w:rPr>
        <w:t xml:space="preserve">Los datos </w:t>
      </w:r>
      <w:r w:rsidR="00D57967">
        <w:rPr>
          <w:spacing w:val="-6"/>
          <w:lang w:val="es-ES_tradnl"/>
        </w:rPr>
        <w:t xml:space="preserve">para 2014 </w:t>
      </w:r>
      <w:r w:rsidR="00CD2351">
        <w:rPr>
          <w:spacing w:val="-6"/>
          <w:lang w:val="es-ES_tradnl"/>
        </w:rPr>
        <w:t>y 2015 surgen del informe de deuda del MEF publicado en octubre de 2014. Para el resto de los años se asume una variación nula en el uso de activos.</w:t>
      </w:r>
      <w:r w:rsidR="00E7750F">
        <w:rPr>
          <w:spacing w:val="-6"/>
          <w:lang w:val="es-ES_tradnl"/>
        </w:rPr>
        <w:t xml:space="preserve"> </w:t>
      </w:r>
    </w:p>
    <w:p w:rsidR="005F0B42" w:rsidRPr="005F0B42" w:rsidRDefault="00283BC2" w:rsidP="00B80EFF">
      <w:pPr>
        <w:pStyle w:val="Paragraph"/>
        <w:numPr>
          <w:ilvl w:val="0"/>
          <w:numId w:val="26"/>
        </w:numPr>
        <w:outlineLvl w:val="9"/>
        <w:rPr>
          <w:spacing w:val="-6"/>
          <w:lang w:val="es-ES_tradnl"/>
        </w:rPr>
      </w:pPr>
      <w:r w:rsidRPr="008D522F">
        <w:rPr>
          <w:b/>
          <w:spacing w:val="-6"/>
          <w:lang w:val="es-ES_tradnl"/>
        </w:rPr>
        <w:t xml:space="preserve">Pago de Intereses y Amortizaciones: </w:t>
      </w:r>
      <w:r w:rsidR="005F0B42">
        <w:rPr>
          <w:spacing w:val="-6"/>
          <w:lang w:val="es-ES_tradnl"/>
        </w:rPr>
        <w:t xml:space="preserve">Las proyecciones del pago de intereses y amortizaciones para la deuda existente se obtienen </w:t>
      </w:r>
      <w:r w:rsidR="00AC7BA7">
        <w:rPr>
          <w:spacing w:val="-6"/>
          <w:lang w:val="es-ES_tradnl"/>
        </w:rPr>
        <w:t xml:space="preserve">de </w:t>
      </w:r>
      <w:r w:rsidR="005F0B42">
        <w:rPr>
          <w:spacing w:val="-6"/>
          <w:lang w:val="es-ES_tradnl"/>
        </w:rPr>
        <w:t xml:space="preserve">datos del Banco Central del Uruguay (BCU). A esto se le suma las amortizaciones e intereses generados por nueva emisión </w:t>
      </w:r>
      <w:r w:rsidR="00AC7BA7">
        <w:rPr>
          <w:spacing w:val="-6"/>
          <w:lang w:val="es-ES_tradnl"/>
        </w:rPr>
        <w:t xml:space="preserve">y préstamos </w:t>
      </w:r>
      <w:r w:rsidR="005F0B42">
        <w:rPr>
          <w:spacing w:val="-6"/>
          <w:lang w:val="es-ES_tradnl"/>
        </w:rPr>
        <w:t>lo</w:t>
      </w:r>
      <w:r w:rsidR="00AC7BA7">
        <w:rPr>
          <w:spacing w:val="-6"/>
          <w:lang w:val="es-ES_tradnl"/>
        </w:rPr>
        <w:t>s</w:t>
      </w:r>
      <w:r w:rsidR="005F0B42">
        <w:rPr>
          <w:spacing w:val="-6"/>
          <w:lang w:val="es-ES_tradnl"/>
        </w:rPr>
        <w:t xml:space="preserve"> cual</w:t>
      </w:r>
      <w:r w:rsidR="00AC7BA7">
        <w:rPr>
          <w:spacing w:val="-6"/>
          <w:lang w:val="es-ES_tradnl"/>
        </w:rPr>
        <w:t>es</w:t>
      </w:r>
      <w:r w:rsidR="005F0B42">
        <w:rPr>
          <w:spacing w:val="-6"/>
          <w:lang w:val="es-ES_tradnl"/>
        </w:rPr>
        <w:t xml:space="preserve"> se calcula</w:t>
      </w:r>
      <w:r w:rsidR="00AC7BA7">
        <w:rPr>
          <w:spacing w:val="-6"/>
          <w:lang w:val="es-ES_tradnl"/>
        </w:rPr>
        <w:t>n</w:t>
      </w:r>
      <w:r w:rsidR="005F0B42">
        <w:rPr>
          <w:spacing w:val="-6"/>
          <w:lang w:val="es-ES_tradnl"/>
        </w:rPr>
        <w:t xml:space="preserve"> usando los supuestos anteriormente descriptos. </w:t>
      </w:r>
    </w:p>
    <w:p w:rsidR="005A6140" w:rsidRPr="005A6140" w:rsidRDefault="005A6140" w:rsidP="00973C09">
      <w:pPr>
        <w:pStyle w:val="Paragraph"/>
        <w:numPr>
          <w:ilvl w:val="0"/>
          <w:numId w:val="0"/>
        </w:numPr>
        <w:outlineLvl w:val="9"/>
        <w:rPr>
          <w:spacing w:val="-6"/>
          <w:lang w:val="es-ES_tradnl"/>
        </w:rPr>
      </w:pPr>
    </w:p>
    <w:p w:rsidR="00F046CA" w:rsidRDefault="00283BC2" w:rsidP="00F046CA">
      <w:pPr>
        <w:pStyle w:val="Paragraph"/>
        <w:numPr>
          <w:ilvl w:val="0"/>
          <w:numId w:val="0"/>
        </w:numPr>
        <w:outlineLvl w:val="9"/>
        <w:rPr>
          <w:b/>
          <w:i/>
          <w:spacing w:val="-6"/>
          <w:lang w:val="es-ES_tradnl"/>
        </w:rPr>
      </w:pPr>
      <w:r>
        <w:rPr>
          <w:b/>
          <w:i/>
          <w:spacing w:val="-6"/>
          <w:lang w:val="es-ES_tradnl"/>
        </w:rPr>
        <w:t xml:space="preserve">2.- </w:t>
      </w:r>
      <w:r w:rsidR="00F046CA">
        <w:rPr>
          <w:b/>
          <w:i/>
          <w:spacing w:val="-6"/>
          <w:lang w:val="es-ES_tradnl"/>
        </w:rPr>
        <w:t xml:space="preserve">Escenarios Alternativos </w:t>
      </w:r>
    </w:p>
    <w:p w:rsidR="00190D91" w:rsidRDefault="00517183" w:rsidP="00973C09">
      <w:pPr>
        <w:pStyle w:val="Paragraph"/>
        <w:numPr>
          <w:ilvl w:val="0"/>
          <w:numId w:val="0"/>
        </w:numPr>
        <w:outlineLvl w:val="9"/>
        <w:rPr>
          <w:spacing w:val="-6"/>
          <w:lang w:val="es-ES_tradnl"/>
        </w:rPr>
      </w:pPr>
      <w:r>
        <w:rPr>
          <w:spacing w:val="-6"/>
          <w:lang w:val="es-ES_tradnl"/>
        </w:rPr>
        <w:t xml:space="preserve">Uruguay enfrenta algunos riesgos macroeconómicos los cuales </w:t>
      </w:r>
      <w:r w:rsidR="00DF78CF">
        <w:rPr>
          <w:spacing w:val="-6"/>
          <w:lang w:val="es-ES_tradnl"/>
        </w:rPr>
        <w:t xml:space="preserve">podrían afectar negativamente algunos de los supuestos usados en el escenario base. </w:t>
      </w:r>
      <w:r w:rsidR="00190D91">
        <w:rPr>
          <w:spacing w:val="-6"/>
          <w:lang w:val="es-ES_tradnl"/>
        </w:rPr>
        <w:t xml:space="preserve">Por ejemplo, </w:t>
      </w:r>
      <w:r w:rsidR="007B695D">
        <w:rPr>
          <w:spacing w:val="-6"/>
          <w:lang w:val="es-ES_tradnl"/>
        </w:rPr>
        <w:t xml:space="preserve">una desaceleración </w:t>
      </w:r>
      <w:r w:rsidR="007B695D" w:rsidRPr="007B695D">
        <w:rPr>
          <w:spacing w:val="-6"/>
          <w:lang w:val="es-ES_tradnl"/>
        </w:rPr>
        <w:t xml:space="preserve">de </w:t>
      </w:r>
      <w:r w:rsidR="007B695D">
        <w:rPr>
          <w:spacing w:val="-6"/>
          <w:lang w:val="es-ES_tradnl"/>
        </w:rPr>
        <w:t>la</w:t>
      </w:r>
      <w:r w:rsidR="007B695D" w:rsidRPr="007B695D">
        <w:rPr>
          <w:spacing w:val="-6"/>
          <w:lang w:val="es-ES_tradnl"/>
        </w:rPr>
        <w:t xml:space="preserve"> región</w:t>
      </w:r>
      <w:r w:rsidR="00190D91">
        <w:rPr>
          <w:spacing w:val="-6"/>
          <w:lang w:val="es-ES_tradnl"/>
        </w:rPr>
        <w:t xml:space="preserve"> o la </w:t>
      </w:r>
      <w:r w:rsidR="007B695D" w:rsidRPr="007B695D">
        <w:rPr>
          <w:spacing w:val="-6"/>
          <w:lang w:val="es-ES_tradnl"/>
        </w:rPr>
        <w:t xml:space="preserve">baja de los precios de los </w:t>
      </w:r>
      <w:proofErr w:type="spellStart"/>
      <w:r w:rsidR="007B695D" w:rsidRPr="0031423C">
        <w:rPr>
          <w:i/>
          <w:spacing w:val="-6"/>
          <w:lang w:val="es-ES_tradnl"/>
        </w:rPr>
        <w:t>commodities</w:t>
      </w:r>
      <w:proofErr w:type="spellEnd"/>
      <w:r w:rsidR="007B695D" w:rsidRPr="0031423C">
        <w:rPr>
          <w:i/>
          <w:spacing w:val="-6"/>
          <w:lang w:val="es-ES_tradnl"/>
        </w:rPr>
        <w:t xml:space="preserve"> </w:t>
      </w:r>
      <w:r w:rsidR="00190D91">
        <w:rPr>
          <w:spacing w:val="-6"/>
          <w:lang w:val="es-ES_tradnl"/>
        </w:rPr>
        <w:t xml:space="preserve">tendrían efectos negativos sobre el balance primario del gobierno así como implicarían un menor crecimiento en el </w:t>
      </w:r>
      <w:r w:rsidR="00942560">
        <w:rPr>
          <w:spacing w:val="-6"/>
          <w:lang w:val="es-ES_tradnl"/>
        </w:rPr>
        <w:t xml:space="preserve">largo </w:t>
      </w:r>
      <w:r w:rsidR="00190D91">
        <w:rPr>
          <w:spacing w:val="-6"/>
          <w:lang w:val="es-ES_tradnl"/>
        </w:rPr>
        <w:t>plazo. Del mismo modo</w:t>
      </w:r>
      <w:r w:rsidR="00DF78CF">
        <w:rPr>
          <w:spacing w:val="-6"/>
          <w:lang w:val="es-ES_tradnl"/>
        </w:rPr>
        <w:t>,</w:t>
      </w:r>
      <w:r w:rsidR="00190D91">
        <w:rPr>
          <w:spacing w:val="-6"/>
          <w:lang w:val="es-ES_tradnl"/>
        </w:rPr>
        <w:t xml:space="preserve"> la </w:t>
      </w:r>
      <w:r w:rsidR="007B695D" w:rsidRPr="007B695D">
        <w:rPr>
          <w:spacing w:val="-6"/>
          <w:lang w:val="es-ES_tradnl"/>
        </w:rPr>
        <w:t xml:space="preserve">suba de la tasa de interés </w:t>
      </w:r>
      <w:r w:rsidR="00DF78CF">
        <w:rPr>
          <w:spacing w:val="-6"/>
          <w:lang w:val="es-ES_tradnl"/>
        </w:rPr>
        <w:t>en U</w:t>
      </w:r>
      <w:r w:rsidR="007B695D" w:rsidRPr="007B695D">
        <w:rPr>
          <w:spacing w:val="-6"/>
          <w:lang w:val="es-ES_tradnl"/>
        </w:rPr>
        <w:t>SA</w:t>
      </w:r>
      <w:r w:rsidR="00190D91">
        <w:rPr>
          <w:spacing w:val="-6"/>
          <w:lang w:val="es-ES_tradnl"/>
        </w:rPr>
        <w:t xml:space="preserve"> implicaría una apreciación del dólar, mayores tasas de interés </w:t>
      </w:r>
      <w:r w:rsidR="00DF78CF">
        <w:rPr>
          <w:spacing w:val="-6"/>
          <w:lang w:val="es-ES_tradnl"/>
        </w:rPr>
        <w:t xml:space="preserve">sobre el endeudamiento del país </w:t>
      </w:r>
      <w:r w:rsidR="00190D91">
        <w:rPr>
          <w:spacing w:val="-6"/>
          <w:lang w:val="es-ES_tradnl"/>
        </w:rPr>
        <w:t>y probablemente una menor entrada de capitales.</w:t>
      </w:r>
    </w:p>
    <w:p w:rsidR="00283BC2" w:rsidRDefault="00190D91" w:rsidP="00973C09">
      <w:pPr>
        <w:pStyle w:val="Paragraph"/>
        <w:numPr>
          <w:ilvl w:val="0"/>
          <w:numId w:val="0"/>
        </w:numPr>
        <w:outlineLvl w:val="9"/>
        <w:rPr>
          <w:spacing w:val="-6"/>
          <w:lang w:val="es-ES_tradnl"/>
        </w:rPr>
      </w:pPr>
      <w:r>
        <w:rPr>
          <w:spacing w:val="-6"/>
          <w:lang w:val="es-ES_tradnl"/>
        </w:rPr>
        <w:t xml:space="preserve">A continuación </w:t>
      </w:r>
      <w:r w:rsidR="00517183">
        <w:rPr>
          <w:spacing w:val="-6"/>
          <w:lang w:val="es-ES_tradnl"/>
        </w:rPr>
        <w:t>se</w:t>
      </w:r>
      <w:r>
        <w:rPr>
          <w:spacing w:val="-6"/>
          <w:lang w:val="es-ES_tradnl"/>
        </w:rPr>
        <w:t xml:space="preserve"> cuantifican estos </w:t>
      </w:r>
      <w:r w:rsidR="00DF78CF">
        <w:rPr>
          <w:spacing w:val="-6"/>
          <w:lang w:val="es-ES_tradnl"/>
        </w:rPr>
        <w:t>e</w:t>
      </w:r>
      <w:r>
        <w:rPr>
          <w:spacing w:val="-6"/>
          <w:lang w:val="es-ES_tradnl"/>
        </w:rPr>
        <w:t xml:space="preserve">fectos </w:t>
      </w:r>
      <w:proofErr w:type="spellStart"/>
      <w:r w:rsidR="00DF78CF">
        <w:rPr>
          <w:i/>
          <w:spacing w:val="-6"/>
          <w:lang w:val="es-ES_tradnl"/>
        </w:rPr>
        <w:t>c</w:t>
      </w:r>
      <w:r w:rsidRPr="0031423C">
        <w:rPr>
          <w:i/>
          <w:spacing w:val="-6"/>
          <w:lang w:val="es-ES_tradnl"/>
        </w:rPr>
        <w:t>eteris</w:t>
      </w:r>
      <w:proofErr w:type="spellEnd"/>
      <w:r w:rsidRPr="0031423C">
        <w:rPr>
          <w:i/>
          <w:spacing w:val="-6"/>
          <w:lang w:val="es-ES_tradnl"/>
        </w:rPr>
        <w:t xml:space="preserve"> </w:t>
      </w:r>
      <w:proofErr w:type="spellStart"/>
      <w:r w:rsidRPr="0031423C">
        <w:rPr>
          <w:i/>
          <w:spacing w:val="-6"/>
          <w:lang w:val="es-ES_tradnl"/>
        </w:rPr>
        <w:t>paribus</w:t>
      </w:r>
      <w:proofErr w:type="spellEnd"/>
      <w:r>
        <w:rPr>
          <w:spacing w:val="-6"/>
          <w:lang w:val="es-ES_tradnl"/>
        </w:rPr>
        <w:t xml:space="preserve">, es decir </w:t>
      </w:r>
      <w:r w:rsidR="00DF78CF">
        <w:rPr>
          <w:spacing w:val="-6"/>
          <w:lang w:val="es-ES_tradnl"/>
        </w:rPr>
        <w:t>dejando el resto de los supuestos constantes</w:t>
      </w:r>
      <w:r w:rsidR="007B695D" w:rsidRPr="007B695D">
        <w:rPr>
          <w:spacing w:val="-6"/>
          <w:lang w:val="es-ES_tradnl"/>
        </w:rPr>
        <w:t>.</w:t>
      </w:r>
    </w:p>
    <w:p w:rsidR="00942C1C" w:rsidRDefault="00942C1C" w:rsidP="00973C09">
      <w:pPr>
        <w:pStyle w:val="Paragraph"/>
        <w:numPr>
          <w:ilvl w:val="0"/>
          <w:numId w:val="0"/>
        </w:numPr>
        <w:outlineLvl w:val="9"/>
        <w:rPr>
          <w:i/>
          <w:spacing w:val="-6"/>
          <w:u w:val="single"/>
          <w:lang w:val="es-ES_tradnl"/>
        </w:rPr>
      </w:pPr>
    </w:p>
    <w:p w:rsidR="00725752" w:rsidRDefault="00725752" w:rsidP="00973C09">
      <w:pPr>
        <w:pStyle w:val="Paragraph"/>
        <w:numPr>
          <w:ilvl w:val="0"/>
          <w:numId w:val="0"/>
        </w:numPr>
        <w:outlineLvl w:val="9"/>
        <w:rPr>
          <w:i/>
          <w:spacing w:val="-6"/>
          <w:u w:val="single"/>
          <w:lang w:val="es-ES_tradnl"/>
        </w:rPr>
      </w:pPr>
      <w:bookmarkStart w:id="5" w:name="_GoBack"/>
      <w:bookmarkEnd w:id="5"/>
    </w:p>
    <w:p w:rsidR="00CF19AB" w:rsidRDefault="00CF19AB" w:rsidP="00CF19AB">
      <w:pPr>
        <w:pStyle w:val="Paragraph"/>
        <w:numPr>
          <w:ilvl w:val="0"/>
          <w:numId w:val="0"/>
        </w:numPr>
        <w:outlineLvl w:val="9"/>
        <w:rPr>
          <w:i/>
          <w:spacing w:val="-6"/>
          <w:u w:val="single"/>
          <w:lang w:val="es-ES_tradnl"/>
        </w:rPr>
      </w:pPr>
      <w:r>
        <w:rPr>
          <w:i/>
          <w:spacing w:val="-6"/>
          <w:u w:val="single"/>
          <w:lang w:val="es-ES_tradnl"/>
        </w:rPr>
        <w:lastRenderedPageBreak/>
        <w:t xml:space="preserve">Deterioro en </w:t>
      </w:r>
      <w:r w:rsidR="002E16E4">
        <w:rPr>
          <w:i/>
          <w:spacing w:val="-6"/>
          <w:u w:val="single"/>
          <w:lang w:val="es-ES_tradnl"/>
        </w:rPr>
        <w:t>el balance primario</w:t>
      </w:r>
    </w:p>
    <w:p w:rsidR="00CF19AB" w:rsidRDefault="00CF19AB" w:rsidP="00CF19AB">
      <w:pPr>
        <w:pStyle w:val="Paragraph"/>
        <w:numPr>
          <w:ilvl w:val="0"/>
          <w:numId w:val="0"/>
        </w:numPr>
        <w:outlineLvl w:val="9"/>
        <w:rPr>
          <w:spacing w:val="-6"/>
          <w:lang w:val="es-ES_tradnl"/>
        </w:rPr>
      </w:pPr>
      <w:r>
        <w:rPr>
          <w:spacing w:val="-6"/>
          <w:lang w:val="es-ES_tradnl"/>
        </w:rPr>
        <w:t>Si se asume un deterioro en las cuentas públicas y un balance primario igual a cero</w:t>
      </w:r>
      <w:r w:rsidR="00A47B80">
        <w:rPr>
          <w:spacing w:val="-6"/>
          <w:lang w:val="es-ES_tradnl"/>
        </w:rPr>
        <w:t xml:space="preserve"> a partir de 2015</w:t>
      </w:r>
      <w:r>
        <w:rPr>
          <w:spacing w:val="-6"/>
          <w:lang w:val="es-ES_tradnl"/>
        </w:rPr>
        <w:t xml:space="preserve">, las necesidades de financiamiento serían considerablemente mayores y llegarían a </w:t>
      </w:r>
      <w:r w:rsidRPr="00BC7829">
        <w:rPr>
          <w:spacing w:val="-6"/>
          <w:lang w:val="es-ES_tradnl"/>
        </w:rPr>
        <w:t>US$3</w:t>
      </w:r>
      <w:r>
        <w:rPr>
          <w:spacing w:val="-6"/>
          <w:lang w:val="es-ES_tradnl"/>
        </w:rPr>
        <w:t>.</w:t>
      </w:r>
      <w:r w:rsidR="00A47B80">
        <w:rPr>
          <w:spacing w:val="-6"/>
          <w:lang w:val="es-ES_tradnl"/>
        </w:rPr>
        <w:t>434</w:t>
      </w:r>
      <w:r>
        <w:rPr>
          <w:spacing w:val="-6"/>
          <w:lang w:val="es-ES_tradnl"/>
        </w:rPr>
        <w:t xml:space="preserve"> </w:t>
      </w:r>
      <w:r w:rsidRPr="00BC7829">
        <w:rPr>
          <w:spacing w:val="-6"/>
          <w:lang w:val="es-ES_tradnl"/>
        </w:rPr>
        <w:t>millones</w:t>
      </w:r>
      <w:r>
        <w:rPr>
          <w:spacing w:val="-6"/>
          <w:lang w:val="es-ES_tradnl"/>
        </w:rPr>
        <w:t>.</w:t>
      </w:r>
    </w:p>
    <w:p w:rsidR="00705162" w:rsidRDefault="00705162" w:rsidP="00705162">
      <w:pPr>
        <w:pStyle w:val="Paragraph"/>
        <w:numPr>
          <w:ilvl w:val="0"/>
          <w:numId w:val="0"/>
        </w:numPr>
        <w:outlineLvl w:val="9"/>
        <w:rPr>
          <w:i/>
          <w:spacing w:val="-6"/>
          <w:u w:val="single"/>
          <w:lang w:val="es-ES_tradnl"/>
        </w:rPr>
      </w:pPr>
      <w:r>
        <w:rPr>
          <w:i/>
          <w:spacing w:val="-6"/>
          <w:u w:val="single"/>
          <w:lang w:val="es-ES_tradnl"/>
        </w:rPr>
        <w:t xml:space="preserve">Menor crecimiento en el </w:t>
      </w:r>
      <w:r w:rsidR="00942560">
        <w:rPr>
          <w:i/>
          <w:spacing w:val="-6"/>
          <w:u w:val="single"/>
          <w:lang w:val="es-ES_tradnl"/>
        </w:rPr>
        <w:t xml:space="preserve">largo </w:t>
      </w:r>
      <w:r>
        <w:rPr>
          <w:i/>
          <w:spacing w:val="-6"/>
          <w:u w:val="single"/>
          <w:lang w:val="es-ES_tradnl"/>
        </w:rPr>
        <w:t>plazo</w:t>
      </w:r>
    </w:p>
    <w:p w:rsidR="00FD2EA2" w:rsidRDefault="00705162" w:rsidP="00FD2EA2">
      <w:pPr>
        <w:pStyle w:val="Paragraph"/>
        <w:numPr>
          <w:ilvl w:val="0"/>
          <w:numId w:val="0"/>
        </w:numPr>
        <w:outlineLvl w:val="9"/>
        <w:rPr>
          <w:spacing w:val="-6"/>
          <w:lang w:val="es-ES_tradnl"/>
        </w:rPr>
      </w:pPr>
      <w:r>
        <w:rPr>
          <w:spacing w:val="-6"/>
          <w:lang w:val="es-ES_tradnl"/>
        </w:rPr>
        <w:t xml:space="preserve">Bajo el supuesto de un crecimiento de largo plazo de 2% a partir de 2016 (y no 4% como en el escenario base), las necesidades de financiamiento serían de </w:t>
      </w:r>
      <w:r w:rsidRPr="003C2B41">
        <w:rPr>
          <w:spacing w:val="-6"/>
          <w:lang w:val="es-ES_tradnl"/>
        </w:rPr>
        <w:t>US$</w:t>
      </w:r>
      <w:r w:rsidR="0041665B">
        <w:rPr>
          <w:spacing w:val="-6"/>
          <w:lang w:val="es-ES_tradnl"/>
        </w:rPr>
        <w:t>2.862</w:t>
      </w:r>
      <w:r w:rsidRPr="003C2B41">
        <w:rPr>
          <w:spacing w:val="-6"/>
          <w:lang w:val="es-ES_tradnl"/>
        </w:rPr>
        <w:t xml:space="preserve"> millones</w:t>
      </w:r>
      <w:r>
        <w:rPr>
          <w:spacing w:val="-6"/>
          <w:lang w:val="es-ES_tradnl"/>
        </w:rPr>
        <w:t>. Sin embargo, en este escenario se mantiene el supuesto que el balance primario alcanza el 1% del PBI a partir de 2017. Para ver los efectos de un resultado más adverso en el balance primario, los resultados serían similares al segundo escenario.</w:t>
      </w:r>
    </w:p>
    <w:p w:rsidR="00FD2EA2" w:rsidRDefault="00FD2EA2" w:rsidP="00FD2EA2">
      <w:pPr>
        <w:pStyle w:val="Paragraph"/>
        <w:numPr>
          <w:ilvl w:val="0"/>
          <w:numId w:val="0"/>
        </w:numPr>
        <w:outlineLvl w:val="9"/>
        <w:rPr>
          <w:i/>
          <w:spacing w:val="-6"/>
          <w:u w:val="single"/>
          <w:lang w:val="es-ES_tradnl"/>
        </w:rPr>
      </w:pPr>
      <w:r>
        <w:rPr>
          <w:i/>
          <w:spacing w:val="-6"/>
          <w:u w:val="single"/>
          <w:lang w:val="es-ES_tradnl"/>
        </w:rPr>
        <w:t>Mayores tasas de interés</w:t>
      </w:r>
    </w:p>
    <w:p w:rsidR="00FD2EA2" w:rsidRDefault="00FD2EA2" w:rsidP="00FD2EA2">
      <w:pPr>
        <w:pStyle w:val="Paragraph"/>
        <w:numPr>
          <w:ilvl w:val="0"/>
          <w:numId w:val="0"/>
        </w:numPr>
        <w:outlineLvl w:val="9"/>
        <w:rPr>
          <w:spacing w:val="-6"/>
          <w:lang w:val="es-ES_tradnl"/>
        </w:rPr>
      </w:pPr>
      <w:r>
        <w:rPr>
          <w:spacing w:val="-6"/>
          <w:lang w:val="es-ES_tradnl"/>
        </w:rPr>
        <w:t xml:space="preserve">En un escenario donde las tasas de interés fueran 100bps mayores al escenario base a partir de 2016, las necesidades de financiamiento ascenderían a </w:t>
      </w:r>
      <w:r w:rsidRPr="00FA6F4F">
        <w:rPr>
          <w:spacing w:val="-6"/>
          <w:lang w:val="es-ES_tradnl"/>
        </w:rPr>
        <w:t>US$</w:t>
      </w:r>
      <w:r w:rsidR="0041665B">
        <w:rPr>
          <w:spacing w:val="-6"/>
          <w:lang w:val="es-ES_tradnl"/>
        </w:rPr>
        <w:t>2.879</w:t>
      </w:r>
      <w:r>
        <w:rPr>
          <w:spacing w:val="-6"/>
          <w:lang w:val="es-ES_tradnl"/>
        </w:rPr>
        <w:t xml:space="preserve"> </w:t>
      </w:r>
      <w:r w:rsidRPr="00FA6F4F">
        <w:rPr>
          <w:spacing w:val="-6"/>
          <w:lang w:val="es-ES_tradnl"/>
        </w:rPr>
        <w:t xml:space="preserve">millones </w:t>
      </w:r>
      <w:r>
        <w:rPr>
          <w:spacing w:val="-6"/>
          <w:lang w:val="es-ES_tradnl"/>
        </w:rPr>
        <w:t>al año.</w:t>
      </w:r>
    </w:p>
    <w:p w:rsidR="00FD2EA2" w:rsidRDefault="00FD2EA2" w:rsidP="00FD2EA2">
      <w:pPr>
        <w:pStyle w:val="Paragraph"/>
        <w:numPr>
          <w:ilvl w:val="0"/>
          <w:numId w:val="0"/>
        </w:numPr>
        <w:outlineLvl w:val="9"/>
        <w:rPr>
          <w:i/>
          <w:spacing w:val="-6"/>
          <w:u w:val="single"/>
          <w:lang w:val="es-ES_tradnl"/>
        </w:rPr>
      </w:pPr>
      <w:r>
        <w:rPr>
          <w:i/>
          <w:spacing w:val="-6"/>
          <w:u w:val="single"/>
          <w:lang w:val="es-ES_tradnl"/>
        </w:rPr>
        <w:t>Mayor tipo de cambio</w:t>
      </w:r>
    </w:p>
    <w:p w:rsidR="00FD2EA2" w:rsidRPr="001956A3" w:rsidRDefault="00B5254C" w:rsidP="00FD2EA2">
      <w:pPr>
        <w:pStyle w:val="Paragraph"/>
        <w:numPr>
          <w:ilvl w:val="0"/>
          <w:numId w:val="0"/>
        </w:numPr>
        <w:outlineLvl w:val="9"/>
        <w:rPr>
          <w:spacing w:val="-6"/>
          <w:lang w:val="es-ES_tradnl"/>
        </w:rPr>
      </w:pPr>
      <w:r>
        <w:rPr>
          <w:spacing w:val="-6"/>
          <w:lang w:val="es-ES_tradnl"/>
        </w:rPr>
        <w:t xml:space="preserve">Bajo el supuesto de un </w:t>
      </w:r>
      <w:r w:rsidR="00FD2EA2">
        <w:rPr>
          <w:spacing w:val="-6"/>
          <w:lang w:val="es-ES_tradnl"/>
        </w:rPr>
        <w:t xml:space="preserve">tipo de cambio mayor al </w:t>
      </w:r>
      <w:r>
        <w:rPr>
          <w:spacing w:val="-6"/>
          <w:lang w:val="es-ES_tradnl"/>
        </w:rPr>
        <w:t xml:space="preserve">del </w:t>
      </w:r>
      <w:r w:rsidR="00FD2EA2">
        <w:rPr>
          <w:spacing w:val="-6"/>
          <w:lang w:val="es-ES_tradnl"/>
        </w:rPr>
        <w:t>escenario base, las necesidades de financiamiento se verían afectadas directamente</w:t>
      </w:r>
      <w:r w:rsidR="00FD2EA2">
        <w:rPr>
          <w:rStyle w:val="FootnoteReference"/>
          <w:spacing w:val="-6"/>
          <w:lang w:val="es-ES_tradnl"/>
        </w:rPr>
        <w:footnoteReference w:id="2"/>
      </w:r>
      <w:r w:rsidR="00FD2EA2">
        <w:rPr>
          <w:spacing w:val="-6"/>
          <w:lang w:val="es-ES_tradnl"/>
        </w:rPr>
        <w:t xml:space="preserve"> en dos sentidos contrarios. Primero, a través de un menor resultado primario medido en dólares. Segundo, a través de un menor pago de intereses y amortizaciones expresados en dólares para la deuda en moneda nacional. En este escenario se consideran solamente el primer efecto y no el segundo. Se asume que el tipo de cambio es 2% y 4% mayor al escenario base en 2014 y 2015, respectivamente, lo cual llevaría a que las necesidades de financiamiento sean de </w:t>
      </w:r>
      <w:r w:rsidR="00FD2EA2" w:rsidRPr="007F4DCC">
        <w:rPr>
          <w:spacing w:val="-6"/>
          <w:lang w:val="es-ES_tradnl"/>
        </w:rPr>
        <w:t>US$</w:t>
      </w:r>
      <w:r w:rsidR="00665DF5">
        <w:rPr>
          <w:spacing w:val="-6"/>
          <w:lang w:val="es-ES_tradnl"/>
        </w:rPr>
        <w:t>2.852</w:t>
      </w:r>
      <w:r w:rsidR="00FD2EA2" w:rsidRPr="007F4DCC">
        <w:rPr>
          <w:spacing w:val="-6"/>
          <w:lang w:val="es-ES_tradnl"/>
        </w:rPr>
        <w:t xml:space="preserve"> millones al año.</w:t>
      </w:r>
      <w:r w:rsidR="00FD2EA2">
        <w:rPr>
          <w:spacing w:val="-6"/>
          <w:lang w:val="es-ES_tradnl"/>
        </w:rPr>
        <w:t xml:space="preserve"> El efecto de una mayor devaluación de la moneda a través del pago de intereses y amortizaciones haría que estas necesidades fueran menores.</w:t>
      </w:r>
    </w:p>
    <w:p w:rsidR="00582908" w:rsidRDefault="00582908" w:rsidP="00973C09">
      <w:pPr>
        <w:pStyle w:val="Paragraph"/>
        <w:numPr>
          <w:ilvl w:val="0"/>
          <w:numId w:val="0"/>
        </w:numPr>
        <w:outlineLvl w:val="9"/>
        <w:rPr>
          <w:spacing w:val="-6"/>
          <w:lang w:val="es-ES_tradnl"/>
        </w:rPr>
      </w:pPr>
      <w:r>
        <w:rPr>
          <w:spacing w:val="-6"/>
          <w:lang w:val="es-ES_tradnl"/>
        </w:rPr>
        <w:t>En el gráfico 1 se presenta la evolución temporal de las necesidades de financiamiento bajo los distintos supuestos.</w:t>
      </w:r>
    </w:p>
    <w:bookmarkEnd w:id="0"/>
    <w:bookmarkEnd w:id="1"/>
    <w:bookmarkEnd w:id="2"/>
    <w:bookmarkEnd w:id="3"/>
    <w:bookmarkEnd w:id="4"/>
    <w:p w:rsidR="0026591A" w:rsidRDefault="00582908" w:rsidP="00725752">
      <w:pPr>
        <w:pStyle w:val="Paragraph"/>
        <w:numPr>
          <w:ilvl w:val="0"/>
          <w:numId w:val="0"/>
        </w:numPr>
        <w:spacing w:before="0" w:after="0"/>
        <w:jc w:val="center"/>
        <w:outlineLvl w:val="9"/>
        <w:rPr>
          <w:b/>
          <w:spacing w:val="-6"/>
          <w:sz w:val="20"/>
          <w:lang w:val="es-ES_tradnl"/>
        </w:rPr>
      </w:pPr>
      <w:r>
        <w:rPr>
          <w:b/>
          <w:spacing w:val="-6"/>
          <w:sz w:val="20"/>
          <w:lang w:val="es-ES_tradnl"/>
        </w:rPr>
        <w:t>Gráfico</w:t>
      </w:r>
      <w:r w:rsidR="00313A9F">
        <w:rPr>
          <w:b/>
          <w:spacing w:val="-6"/>
          <w:sz w:val="20"/>
          <w:lang w:val="es-ES_tradnl"/>
        </w:rPr>
        <w:t xml:space="preserve"> 1: Necesidades de financiamiento </w:t>
      </w:r>
      <w:r>
        <w:rPr>
          <w:b/>
          <w:spacing w:val="-6"/>
          <w:sz w:val="20"/>
          <w:lang w:val="es-ES_tradnl"/>
        </w:rPr>
        <w:t>bajo supuestos alternativos</w:t>
      </w:r>
    </w:p>
    <w:p w:rsidR="0031423C" w:rsidRDefault="00E66490" w:rsidP="00E73579">
      <w:pPr>
        <w:pStyle w:val="Paragraph"/>
        <w:numPr>
          <w:ilvl w:val="0"/>
          <w:numId w:val="0"/>
        </w:numPr>
        <w:jc w:val="center"/>
        <w:outlineLvl w:val="9"/>
        <w:rPr>
          <w:spacing w:val="-6"/>
          <w:sz w:val="20"/>
          <w:lang w:val="es-ES_tradnl"/>
        </w:rPr>
      </w:pPr>
      <w:r>
        <w:rPr>
          <w:noProof/>
          <w:spacing w:val="-6"/>
          <w:sz w:val="20"/>
        </w:rPr>
        <w:drawing>
          <wp:inline distT="0" distB="0" distL="0" distR="0" wp14:anchorId="54A6409C" wp14:editId="0909835B">
            <wp:extent cx="3351910" cy="212299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225" cy="2129532"/>
                    </a:xfrm>
                    <a:prstGeom prst="rect">
                      <a:avLst/>
                    </a:prstGeom>
                    <a:noFill/>
                  </pic:spPr>
                </pic:pic>
              </a:graphicData>
            </a:graphic>
          </wp:inline>
        </w:drawing>
      </w:r>
    </w:p>
    <w:p w:rsidR="00313A9F" w:rsidRPr="00CE2BB8" w:rsidRDefault="00E73579" w:rsidP="0069344B">
      <w:pPr>
        <w:pStyle w:val="Paragraph"/>
        <w:numPr>
          <w:ilvl w:val="0"/>
          <w:numId w:val="0"/>
        </w:numPr>
        <w:ind w:left="1440"/>
        <w:outlineLvl w:val="9"/>
        <w:rPr>
          <w:b/>
          <w:spacing w:val="-6"/>
          <w:sz w:val="20"/>
          <w:lang w:val="es-ES_tradnl"/>
        </w:rPr>
      </w:pPr>
      <w:r>
        <w:rPr>
          <w:spacing w:val="-6"/>
          <w:sz w:val="20"/>
          <w:lang w:val="es-ES_tradnl"/>
        </w:rPr>
        <w:t xml:space="preserve">        </w:t>
      </w:r>
      <w:r w:rsidR="0031423C" w:rsidRPr="003508B9">
        <w:rPr>
          <w:spacing w:val="-6"/>
          <w:sz w:val="20"/>
          <w:lang w:val="es-ES_tradnl"/>
        </w:rPr>
        <w:t>Fuente:</w:t>
      </w:r>
      <w:r w:rsidR="0031423C">
        <w:rPr>
          <w:spacing w:val="-6"/>
          <w:sz w:val="20"/>
          <w:lang w:val="es-ES_tradnl"/>
        </w:rPr>
        <w:t xml:space="preserve"> Elaboración Propia.</w:t>
      </w:r>
    </w:p>
    <w:sectPr w:rsidR="00313A9F" w:rsidRPr="00CE2BB8" w:rsidSect="00725752">
      <w:headerReference w:type="default" r:id="rId11"/>
      <w:pgSz w:w="12240" w:h="15840"/>
      <w:pgMar w:top="1440" w:right="1800" w:bottom="12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44" w:rsidRDefault="007B5044">
      <w:r>
        <w:separator/>
      </w:r>
    </w:p>
  </w:endnote>
  <w:endnote w:type="continuationSeparator" w:id="0">
    <w:p w:rsidR="007B5044" w:rsidRDefault="007B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44" w:rsidRDefault="007B5044">
      <w:r>
        <w:separator/>
      </w:r>
    </w:p>
  </w:footnote>
  <w:footnote w:type="continuationSeparator" w:id="0">
    <w:p w:rsidR="007B5044" w:rsidRDefault="007B5044">
      <w:r>
        <w:continuationSeparator/>
      </w:r>
    </w:p>
  </w:footnote>
  <w:footnote w:type="continuationNotice" w:id="1">
    <w:p w:rsidR="007B5044" w:rsidRDefault="007B5044"/>
  </w:footnote>
  <w:footnote w:id="2">
    <w:p w:rsidR="00FD2EA2" w:rsidRPr="00ED6D1A" w:rsidRDefault="00FD2EA2" w:rsidP="00FD2EA2">
      <w:pPr>
        <w:pStyle w:val="FootnoteText"/>
        <w:rPr>
          <w:lang w:val="es-ES"/>
        </w:rPr>
      </w:pPr>
      <w:r w:rsidRPr="00ED6D1A">
        <w:rPr>
          <w:rStyle w:val="FootnoteReference"/>
          <w:lang w:val="es-ES"/>
        </w:rPr>
        <w:footnoteRef/>
      </w:r>
      <w:r w:rsidRPr="00ED6D1A">
        <w:rPr>
          <w:lang w:val="es-ES"/>
        </w:rPr>
        <w:t xml:space="preserve"> No se consideran efectos indirectos sobre el </w:t>
      </w:r>
      <w:r>
        <w:rPr>
          <w:lang w:val="es-ES"/>
        </w:rPr>
        <w:t>resultado primario debido a cambios en la recaudación o gastos.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75" w:rsidRDefault="004E1275">
    <w:pPr>
      <w:pStyle w:val="Header"/>
      <w:jc w:val="right"/>
      <w:rPr>
        <w:rFonts w:ascii="Times New Roman Bold" w:hAnsi="Times New Roman Bold"/>
        <w:b/>
        <w:small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39D"/>
    <w:multiLevelType w:val="hybridMultilevel"/>
    <w:tmpl w:val="70EA2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71223"/>
    <w:multiLevelType w:val="hybridMultilevel"/>
    <w:tmpl w:val="F2DE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9533A"/>
    <w:multiLevelType w:val="multilevel"/>
    <w:tmpl w:val="7F7666BA"/>
    <w:lvl w:ilvl="0">
      <w:start w:val="1"/>
      <w:numFmt w:val="upperLetter"/>
      <w:lvlText w:val="%1."/>
      <w:lvlJc w:val="left"/>
      <w:pPr>
        <w:tabs>
          <w:tab w:val="num" w:pos="360"/>
        </w:tabs>
        <w:ind w:left="360" w:hanging="36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23F05538"/>
    <w:multiLevelType w:val="hybridMultilevel"/>
    <w:tmpl w:val="CE2603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860144A"/>
    <w:multiLevelType w:val="hybridMultilevel"/>
    <w:tmpl w:val="1F60F9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EA153B"/>
    <w:multiLevelType w:val="hybridMultilevel"/>
    <w:tmpl w:val="2CDA26F6"/>
    <w:lvl w:ilvl="0" w:tplc="7E305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04787"/>
    <w:multiLevelType w:val="multilevel"/>
    <w:tmpl w:val="66682D4E"/>
    <w:lvl w:ilvl="0">
      <w:start w:val="1"/>
      <w:numFmt w:val="upperRoman"/>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sz w:val="24"/>
        <w:lang w:val="en-US"/>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nsid w:val="354B47B5"/>
    <w:multiLevelType w:val="hybridMultilevel"/>
    <w:tmpl w:val="5F3CD7FA"/>
    <w:lvl w:ilvl="0" w:tplc="3796F57E">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545C0"/>
    <w:multiLevelType w:val="multilevel"/>
    <w:tmpl w:val="BFEA0A48"/>
    <w:lvl w:ilvl="0">
      <w:start w:val="1"/>
      <w:numFmt w:val="upperRoman"/>
      <w:pStyle w:val="MSAstyletitles"/>
      <w:lvlText w:val="%1."/>
      <w:lvlJc w:val="right"/>
      <w:pPr>
        <w:ind w:left="720" w:hanging="360"/>
      </w:pPr>
      <w:rPr>
        <w:rFonts w:hint="default"/>
      </w:rPr>
    </w:lvl>
    <w:lvl w:ilvl="1">
      <w:start w:val="1"/>
      <w:numFmt w:val="decimal"/>
      <w:isLgl/>
      <w:lvlText w:val="%1.%2"/>
      <w:lvlJc w:val="left"/>
      <w:pPr>
        <w:ind w:left="720" w:hanging="360"/>
      </w:pPr>
      <w:rPr>
        <w:rFonts w:ascii="Garamond" w:hAnsi="Garamond"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D92233D"/>
    <w:multiLevelType w:val="hybridMultilevel"/>
    <w:tmpl w:val="53148996"/>
    <w:lvl w:ilvl="0" w:tplc="7E305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F6551"/>
    <w:multiLevelType w:val="hybridMultilevel"/>
    <w:tmpl w:val="7C1CB04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5F73F99"/>
    <w:multiLevelType w:val="hybridMultilevel"/>
    <w:tmpl w:val="968E7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C2B36"/>
    <w:multiLevelType w:val="hybridMultilevel"/>
    <w:tmpl w:val="2FC27E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F25B68"/>
    <w:multiLevelType w:val="hybridMultilevel"/>
    <w:tmpl w:val="1E2A953A"/>
    <w:lvl w:ilvl="0" w:tplc="9A321D4A">
      <w:start w:val="1"/>
      <w:numFmt w:val="decimal"/>
      <w:pStyle w:val="Julietita"/>
      <w:lvlText w:val="%1."/>
      <w:lvlJc w:val="left"/>
      <w:pPr>
        <w:tabs>
          <w:tab w:val="num" w:pos="644"/>
        </w:tabs>
        <w:ind w:left="644" w:hanging="360"/>
      </w:pPr>
      <w:rPr>
        <w:b w:val="0"/>
        <w:bCs w:val="0"/>
      </w:rPr>
    </w:lvl>
    <w:lvl w:ilvl="1" w:tplc="04090019">
      <w:start w:val="1"/>
      <w:numFmt w:val="bullet"/>
      <w:lvlText w:val=""/>
      <w:lvlJc w:val="left"/>
      <w:pPr>
        <w:tabs>
          <w:tab w:val="num" w:pos="1440"/>
        </w:tabs>
        <w:ind w:left="1440" w:hanging="360"/>
      </w:pPr>
      <w:rPr>
        <w:rFonts w:ascii="Symbol" w:hAnsi="Symbol" w:cs="Symbol"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286773C"/>
    <w:multiLevelType w:val="hybridMultilevel"/>
    <w:tmpl w:val="4114FA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4668E9"/>
    <w:multiLevelType w:val="hybridMultilevel"/>
    <w:tmpl w:val="E4007D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9E82EE2"/>
    <w:multiLevelType w:val="hybridMultilevel"/>
    <w:tmpl w:val="3E9EC37C"/>
    <w:lvl w:ilvl="0" w:tplc="08D08636">
      <w:start w:val="1"/>
      <w:numFmt w:val="decimal"/>
      <w:lvlText w:val="%1."/>
      <w:lvlJc w:val="left"/>
      <w:pPr>
        <w:ind w:left="45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85658"/>
    <w:multiLevelType w:val="hybridMultilevel"/>
    <w:tmpl w:val="D6AAE602"/>
    <w:lvl w:ilvl="0" w:tplc="276CDBB2">
      <w:start w:val="1"/>
      <w:numFmt w:val="upperRoman"/>
      <w:lvlText w:val="%1."/>
      <w:lvlJc w:val="right"/>
      <w:pPr>
        <w:ind w:left="720" w:hanging="360"/>
      </w:pPr>
    </w:lvl>
    <w:lvl w:ilvl="1" w:tplc="04090019">
      <w:start w:val="1"/>
      <w:numFmt w:val="lowerLetter"/>
      <w:lvlText w:val="%2."/>
      <w:lvlJc w:val="left"/>
      <w:pPr>
        <w:ind w:left="1440" w:hanging="360"/>
      </w:pPr>
    </w:lvl>
    <w:lvl w:ilvl="2" w:tplc="7E30595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nsid w:val="7FE30505"/>
    <w:multiLevelType w:val="hybridMultilevel"/>
    <w:tmpl w:val="51280274"/>
    <w:lvl w:ilvl="0" w:tplc="9222CEA2">
      <w:start w:val="1"/>
      <w:numFmt w:val="bullet"/>
      <w:pStyle w:val="Bulletwospace"/>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19"/>
  </w:num>
  <w:num w:numId="3">
    <w:abstractNumId w:val="6"/>
  </w:num>
  <w:num w:numId="4">
    <w:abstractNumId w:val="2"/>
  </w:num>
  <w:num w:numId="5">
    <w:abstractNumId w:val="13"/>
  </w:num>
  <w:num w:numId="6">
    <w:abstractNumId w:val="16"/>
  </w:num>
  <w:num w:numId="7">
    <w:abstractNumId w:val="8"/>
  </w:num>
  <w:num w:numId="8">
    <w:abstractNumId w:val="17"/>
  </w:num>
  <w:num w:numId="9">
    <w:abstractNumId w:val="12"/>
  </w:num>
  <w:num w:numId="10">
    <w:abstractNumId w:val="14"/>
  </w:num>
  <w:num w:numId="11">
    <w:abstractNumId w:val="4"/>
  </w:num>
  <w:num w:numId="12">
    <w:abstractNumId w:val="6"/>
  </w:num>
  <w:num w:numId="13">
    <w:abstractNumId w:val="11"/>
  </w:num>
  <w:num w:numId="14">
    <w:abstractNumId w:val="5"/>
  </w:num>
  <w:num w:numId="15">
    <w:abstractNumId w:val="1"/>
  </w:num>
  <w:num w:numId="16">
    <w:abstractNumId w:val="0"/>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1"/>
    </w:lvlOverride>
  </w:num>
  <w:num w:numId="24">
    <w:abstractNumId w:val="15"/>
  </w:num>
  <w:num w:numId="25">
    <w:abstractNumId w:val="10"/>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029" w:vendorID="64" w:dllVersion="131078" w:nlCheck="1" w:checkStyle="1"/>
  <w:activeWritingStyle w:appName="MSWord" w:lang="en-CA" w:vendorID="64" w:dllVersion="131077" w:nlCheck="1" w:checkStyle="1"/>
  <w:activeWritingStyle w:appName="MSWord" w:lang="en-CA"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BO"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Y"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stroke="f">
      <v:stroke on="f"/>
      <o:colormru v:ext="edit" colors="#ddd,#eaeaea"/>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F3"/>
    <w:rsid w:val="000021A2"/>
    <w:rsid w:val="000021CC"/>
    <w:rsid w:val="000025D3"/>
    <w:rsid w:val="00003593"/>
    <w:rsid w:val="00004053"/>
    <w:rsid w:val="00010B37"/>
    <w:rsid w:val="00012F2B"/>
    <w:rsid w:val="00013B98"/>
    <w:rsid w:val="00014B80"/>
    <w:rsid w:val="00017433"/>
    <w:rsid w:val="0001765D"/>
    <w:rsid w:val="00022DB9"/>
    <w:rsid w:val="00022FC9"/>
    <w:rsid w:val="00023154"/>
    <w:rsid w:val="000233D1"/>
    <w:rsid w:val="000241D5"/>
    <w:rsid w:val="0002457E"/>
    <w:rsid w:val="00024C00"/>
    <w:rsid w:val="00025DA4"/>
    <w:rsid w:val="00025F72"/>
    <w:rsid w:val="000302E8"/>
    <w:rsid w:val="000315C0"/>
    <w:rsid w:val="00034452"/>
    <w:rsid w:val="000345A6"/>
    <w:rsid w:val="000358C5"/>
    <w:rsid w:val="00037D2F"/>
    <w:rsid w:val="000406E0"/>
    <w:rsid w:val="00040B46"/>
    <w:rsid w:val="00040FD2"/>
    <w:rsid w:val="00041E82"/>
    <w:rsid w:val="00042C45"/>
    <w:rsid w:val="00043313"/>
    <w:rsid w:val="000437A4"/>
    <w:rsid w:val="000447A2"/>
    <w:rsid w:val="000451ED"/>
    <w:rsid w:val="00045717"/>
    <w:rsid w:val="00047D35"/>
    <w:rsid w:val="00047DEB"/>
    <w:rsid w:val="0005036B"/>
    <w:rsid w:val="000518DF"/>
    <w:rsid w:val="000524C4"/>
    <w:rsid w:val="00054E12"/>
    <w:rsid w:val="00060732"/>
    <w:rsid w:val="00061A8A"/>
    <w:rsid w:val="00061D6A"/>
    <w:rsid w:val="00061E49"/>
    <w:rsid w:val="00063342"/>
    <w:rsid w:val="00063854"/>
    <w:rsid w:val="000640DB"/>
    <w:rsid w:val="0006646A"/>
    <w:rsid w:val="000673EC"/>
    <w:rsid w:val="00070962"/>
    <w:rsid w:val="00072124"/>
    <w:rsid w:val="00072396"/>
    <w:rsid w:val="0007446D"/>
    <w:rsid w:val="000754AC"/>
    <w:rsid w:val="00076536"/>
    <w:rsid w:val="000778B1"/>
    <w:rsid w:val="00077E67"/>
    <w:rsid w:val="000823BF"/>
    <w:rsid w:val="000829A2"/>
    <w:rsid w:val="00090071"/>
    <w:rsid w:val="00091AB4"/>
    <w:rsid w:val="0009275C"/>
    <w:rsid w:val="00093A5D"/>
    <w:rsid w:val="00093B54"/>
    <w:rsid w:val="00095635"/>
    <w:rsid w:val="00097336"/>
    <w:rsid w:val="000A0033"/>
    <w:rsid w:val="000A0D8A"/>
    <w:rsid w:val="000A0DA4"/>
    <w:rsid w:val="000A22EE"/>
    <w:rsid w:val="000A257C"/>
    <w:rsid w:val="000A4C67"/>
    <w:rsid w:val="000A4E2D"/>
    <w:rsid w:val="000A65DF"/>
    <w:rsid w:val="000B0DA4"/>
    <w:rsid w:val="000B1280"/>
    <w:rsid w:val="000B29FA"/>
    <w:rsid w:val="000B301E"/>
    <w:rsid w:val="000B4E24"/>
    <w:rsid w:val="000B63E0"/>
    <w:rsid w:val="000C1E2B"/>
    <w:rsid w:val="000C6A63"/>
    <w:rsid w:val="000D0160"/>
    <w:rsid w:val="000D0C7D"/>
    <w:rsid w:val="000D0E9C"/>
    <w:rsid w:val="000D1859"/>
    <w:rsid w:val="000D18A8"/>
    <w:rsid w:val="000D1B5C"/>
    <w:rsid w:val="000D23DB"/>
    <w:rsid w:val="000D2BFE"/>
    <w:rsid w:val="000D34A5"/>
    <w:rsid w:val="000D3BE0"/>
    <w:rsid w:val="000D496A"/>
    <w:rsid w:val="000D643E"/>
    <w:rsid w:val="000D7A12"/>
    <w:rsid w:val="000E1EC6"/>
    <w:rsid w:val="000E3225"/>
    <w:rsid w:val="000E35C6"/>
    <w:rsid w:val="000E377A"/>
    <w:rsid w:val="000E401B"/>
    <w:rsid w:val="000E44D3"/>
    <w:rsid w:val="000E7B20"/>
    <w:rsid w:val="000E7EB7"/>
    <w:rsid w:val="000F561A"/>
    <w:rsid w:val="000F58C5"/>
    <w:rsid w:val="000F5CF1"/>
    <w:rsid w:val="000F5FF3"/>
    <w:rsid w:val="000F630C"/>
    <w:rsid w:val="000F6437"/>
    <w:rsid w:val="000F7C57"/>
    <w:rsid w:val="00100025"/>
    <w:rsid w:val="00100135"/>
    <w:rsid w:val="001003C9"/>
    <w:rsid w:val="001026C9"/>
    <w:rsid w:val="0010272C"/>
    <w:rsid w:val="00103620"/>
    <w:rsid w:val="00104317"/>
    <w:rsid w:val="00104782"/>
    <w:rsid w:val="00104FEA"/>
    <w:rsid w:val="00105351"/>
    <w:rsid w:val="00105DF4"/>
    <w:rsid w:val="0010602D"/>
    <w:rsid w:val="00106A83"/>
    <w:rsid w:val="00106B9C"/>
    <w:rsid w:val="00107249"/>
    <w:rsid w:val="001103AB"/>
    <w:rsid w:val="001107A5"/>
    <w:rsid w:val="00111CFB"/>
    <w:rsid w:val="00111F5B"/>
    <w:rsid w:val="00112B99"/>
    <w:rsid w:val="00115336"/>
    <w:rsid w:val="0011794C"/>
    <w:rsid w:val="00122503"/>
    <w:rsid w:val="00122B12"/>
    <w:rsid w:val="0012362C"/>
    <w:rsid w:val="0012482E"/>
    <w:rsid w:val="00125677"/>
    <w:rsid w:val="00125F62"/>
    <w:rsid w:val="00126CAC"/>
    <w:rsid w:val="00126FD7"/>
    <w:rsid w:val="00130E91"/>
    <w:rsid w:val="00131174"/>
    <w:rsid w:val="00132487"/>
    <w:rsid w:val="00136078"/>
    <w:rsid w:val="00136270"/>
    <w:rsid w:val="001375C7"/>
    <w:rsid w:val="00140D30"/>
    <w:rsid w:val="00147072"/>
    <w:rsid w:val="0014742C"/>
    <w:rsid w:val="00147782"/>
    <w:rsid w:val="00156674"/>
    <w:rsid w:val="00156962"/>
    <w:rsid w:val="00156B30"/>
    <w:rsid w:val="00156F1A"/>
    <w:rsid w:val="00160264"/>
    <w:rsid w:val="00160B0F"/>
    <w:rsid w:val="00160CC3"/>
    <w:rsid w:val="00160F6D"/>
    <w:rsid w:val="00161B24"/>
    <w:rsid w:val="00161CD0"/>
    <w:rsid w:val="00163C06"/>
    <w:rsid w:val="00165737"/>
    <w:rsid w:val="00167697"/>
    <w:rsid w:val="001709D1"/>
    <w:rsid w:val="00171102"/>
    <w:rsid w:val="0017133C"/>
    <w:rsid w:val="001739C3"/>
    <w:rsid w:val="0017525F"/>
    <w:rsid w:val="001762A8"/>
    <w:rsid w:val="001765DA"/>
    <w:rsid w:val="00177BC9"/>
    <w:rsid w:val="00177CDE"/>
    <w:rsid w:val="00177EA9"/>
    <w:rsid w:val="00181EF7"/>
    <w:rsid w:val="001826B6"/>
    <w:rsid w:val="00182AF8"/>
    <w:rsid w:val="00183099"/>
    <w:rsid w:val="001832FA"/>
    <w:rsid w:val="001835B8"/>
    <w:rsid w:val="00187327"/>
    <w:rsid w:val="00190D91"/>
    <w:rsid w:val="00192814"/>
    <w:rsid w:val="001937BF"/>
    <w:rsid w:val="001956A3"/>
    <w:rsid w:val="001959A8"/>
    <w:rsid w:val="001963CC"/>
    <w:rsid w:val="00196514"/>
    <w:rsid w:val="001974B8"/>
    <w:rsid w:val="001A00A7"/>
    <w:rsid w:val="001A08FC"/>
    <w:rsid w:val="001A15AC"/>
    <w:rsid w:val="001B0C72"/>
    <w:rsid w:val="001B1F3F"/>
    <w:rsid w:val="001B3915"/>
    <w:rsid w:val="001B3991"/>
    <w:rsid w:val="001B52B0"/>
    <w:rsid w:val="001B6419"/>
    <w:rsid w:val="001B6BD6"/>
    <w:rsid w:val="001C0899"/>
    <w:rsid w:val="001C4197"/>
    <w:rsid w:val="001C5FE8"/>
    <w:rsid w:val="001C60FD"/>
    <w:rsid w:val="001C6D97"/>
    <w:rsid w:val="001C7251"/>
    <w:rsid w:val="001C73B2"/>
    <w:rsid w:val="001D1DF0"/>
    <w:rsid w:val="001D2C49"/>
    <w:rsid w:val="001D5412"/>
    <w:rsid w:val="001D689B"/>
    <w:rsid w:val="001E076A"/>
    <w:rsid w:val="001E0CA3"/>
    <w:rsid w:val="001E1C71"/>
    <w:rsid w:val="001E23D0"/>
    <w:rsid w:val="001E33B0"/>
    <w:rsid w:val="001E50D3"/>
    <w:rsid w:val="001E57F4"/>
    <w:rsid w:val="001E5F42"/>
    <w:rsid w:val="001E7556"/>
    <w:rsid w:val="001F2DE7"/>
    <w:rsid w:val="001F33DE"/>
    <w:rsid w:val="001F3769"/>
    <w:rsid w:val="001F419B"/>
    <w:rsid w:val="001F4A92"/>
    <w:rsid w:val="001F75DC"/>
    <w:rsid w:val="00201D62"/>
    <w:rsid w:val="00203927"/>
    <w:rsid w:val="0020459D"/>
    <w:rsid w:val="00204A0D"/>
    <w:rsid w:val="00207973"/>
    <w:rsid w:val="00210214"/>
    <w:rsid w:val="00212360"/>
    <w:rsid w:val="002124E9"/>
    <w:rsid w:val="00212F0A"/>
    <w:rsid w:val="0021412F"/>
    <w:rsid w:val="00214BBE"/>
    <w:rsid w:val="00215CC6"/>
    <w:rsid w:val="002165CC"/>
    <w:rsid w:val="00216691"/>
    <w:rsid w:val="0021734A"/>
    <w:rsid w:val="00220E79"/>
    <w:rsid w:val="00221AA7"/>
    <w:rsid w:val="002228CB"/>
    <w:rsid w:val="00224384"/>
    <w:rsid w:val="00224FC4"/>
    <w:rsid w:val="00225220"/>
    <w:rsid w:val="00225795"/>
    <w:rsid w:val="00225CE7"/>
    <w:rsid w:val="0022779D"/>
    <w:rsid w:val="002315F7"/>
    <w:rsid w:val="002317AA"/>
    <w:rsid w:val="00231ADE"/>
    <w:rsid w:val="00231BF1"/>
    <w:rsid w:val="00232786"/>
    <w:rsid w:val="00233290"/>
    <w:rsid w:val="00236532"/>
    <w:rsid w:val="002369BA"/>
    <w:rsid w:val="00240749"/>
    <w:rsid w:val="002422CC"/>
    <w:rsid w:val="00242707"/>
    <w:rsid w:val="0024356B"/>
    <w:rsid w:val="002445FC"/>
    <w:rsid w:val="00246F03"/>
    <w:rsid w:val="00247304"/>
    <w:rsid w:val="002508C4"/>
    <w:rsid w:val="00251771"/>
    <w:rsid w:val="00251E4B"/>
    <w:rsid w:val="00253594"/>
    <w:rsid w:val="0025424C"/>
    <w:rsid w:val="00255332"/>
    <w:rsid w:val="0025567C"/>
    <w:rsid w:val="002570DF"/>
    <w:rsid w:val="002574FB"/>
    <w:rsid w:val="002576CE"/>
    <w:rsid w:val="0026081A"/>
    <w:rsid w:val="00261918"/>
    <w:rsid w:val="00261946"/>
    <w:rsid w:val="00261E40"/>
    <w:rsid w:val="0026432A"/>
    <w:rsid w:val="0026591A"/>
    <w:rsid w:val="00265F4A"/>
    <w:rsid w:val="0027005C"/>
    <w:rsid w:val="002712D9"/>
    <w:rsid w:val="00272304"/>
    <w:rsid w:val="00273259"/>
    <w:rsid w:val="002744B1"/>
    <w:rsid w:val="00275945"/>
    <w:rsid w:val="00282A0B"/>
    <w:rsid w:val="00282FED"/>
    <w:rsid w:val="00283716"/>
    <w:rsid w:val="00283BC2"/>
    <w:rsid w:val="002840B3"/>
    <w:rsid w:val="00284528"/>
    <w:rsid w:val="002853A3"/>
    <w:rsid w:val="00285BC4"/>
    <w:rsid w:val="002860A6"/>
    <w:rsid w:val="00287613"/>
    <w:rsid w:val="00287F5F"/>
    <w:rsid w:val="00290263"/>
    <w:rsid w:val="00291E7A"/>
    <w:rsid w:val="0029210F"/>
    <w:rsid w:val="0029240F"/>
    <w:rsid w:val="00292486"/>
    <w:rsid w:val="0029401E"/>
    <w:rsid w:val="00296910"/>
    <w:rsid w:val="00296911"/>
    <w:rsid w:val="002977EF"/>
    <w:rsid w:val="002A21B4"/>
    <w:rsid w:val="002A30EA"/>
    <w:rsid w:val="002A41EE"/>
    <w:rsid w:val="002A5C02"/>
    <w:rsid w:val="002A5D67"/>
    <w:rsid w:val="002A6BCC"/>
    <w:rsid w:val="002A73DF"/>
    <w:rsid w:val="002A73FB"/>
    <w:rsid w:val="002B1CDE"/>
    <w:rsid w:val="002B2757"/>
    <w:rsid w:val="002B3D52"/>
    <w:rsid w:val="002B54EB"/>
    <w:rsid w:val="002B5C08"/>
    <w:rsid w:val="002B5E2C"/>
    <w:rsid w:val="002B6235"/>
    <w:rsid w:val="002C091C"/>
    <w:rsid w:val="002C17F1"/>
    <w:rsid w:val="002C4510"/>
    <w:rsid w:val="002D2626"/>
    <w:rsid w:val="002D28EA"/>
    <w:rsid w:val="002D2A86"/>
    <w:rsid w:val="002D2DF9"/>
    <w:rsid w:val="002D32BB"/>
    <w:rsid w:val="002D3D33"/>
    <w:rsid w:val="002D4077"/>
    <w:rsid w:val="002D4195"/>
    <w:rsid w:val="002D42B2"/>
    <w:rsid w:val="002D4D9A"/>
    <w:rsid w:val="002D5A2E"/>
    <w:rsid w:val="002D5DF9"/>
    <w:rsid w:val="002D60E9"/>
    <w:rsid w:val="002D7AD7"/>
    <w:rsid w:val="002E0A42"/>
    <w:rsid w:val="002E16E4"/>
    <w:rsid w:val="002E428A"/>
    <w:rsid w:val="002E59E6"/>
    <w:rsid w:val="002E78D6"/>
    <w:rsid w:val="002E78E2"/>
    <w:rsid w:val="002F3478"/>
    <w:rsid w:val="002F5945"/>
    <w:rsid w:val="002F764C"/>
    <w:rsid w:val="002F768F"/>
    <w:rsid w:val="0030137D"/>
    <w:rsid w:val="003015BE"/>
    <w:rsid w:val="00301612"/>
    <w:rsid w:val="0030324A"/>
    <w:rsid w:val="00303500"/>
    <w:rsid w:val="003035A3"/>
    <w:rsid w:val="00304407"/>
    <w:rsid w:val="00304E3E"/>
    <w:rsid w:val="00305F9C"/>
    <w:rsid w:val="00306F67"/>
    <w:rsid w:val="00307A3D"/>
    <w:rsid w:val="003106F6"/>
    <w:rsid w:val="003107EC"/>
    <w:rsid w:val="00312551"/>
    <w:rsid w:val="0031279A"/>
    <w:rsid w:val="00313A9F"/>
    <w:rsid w:val="0031423C"/>
    <w:rsid w:val="0031684D"/>
    <w:rsid w:val="0031715C"/>
    <w:rsid w:val="003200B4"/>
    <w:rsid w:val="003209CC"/>
    <w:rsid w:val="003229C5"/>
    <w:rsid w:val="003232F2"/>
    <w:rsid w:val="00324245"/>
    <w:rsid w:val="00324667"/>
    <w:rsid w:val="00324F64"/>
    <w:rsid w:val="003252C4"/>
    <w:rsid w:val="00325AE6"/>
    <w:rsid w:val="00330D7E"/>
    <w:rsid w:val="00331037"/>
    <w:rsid w:val="00331523"/>
    <w:rsid w:val="003344C2"/>
    <w:rsid w:val="0033450A"/>
    <w:rsid w:val="00334B8A"/>
    <w:rsid w:val="003354A9"/>
    <w:rsid w:val="003356DF"/>
    <w:rsid w:val="00337354"/>
    <w:rsid w:val="003378F8"/>
    <w:rsid w:val="00342121"/>
    <w:rsid w:val="00342D02"/>
    <w:rsid w:val="00342F27"/>
    <w:rsid w:val="00342F29"/>
    <w:rsid w:val="003444FF"/>
    <w:rsid w:val="0034513F"/>
    <w:rsid w:val="00345183"/>
    <w:rsid w:val="00345B8F"/>
    <w:rsid w:val="0034651C"/>
    <w:rsid w:val="003508B9"/>
    <w:rsid w:val="0035179D"/>
    <w:rsid w:val="0035182E"/>
    <w:rsid w:val="00352FB0"/>
    <w:rsid w:val="0035348F"/>
    <w:rsid w:val="00353F41"/>
    <w:rsid w:val="003549A2"/>
    <w:rsid w:val="00354B5B"/>
    <w:rsid w:val="00354D8A"/>
    <w:rsid w:val="003555DD"/>
    <w:rsid w:val="00357C33"/>
    <w:rsid w:val="003607F2"/>
    <w:rsid w:val="003609E5"/>
    <w:rsid w:val="00362769"/>
    <w:rsid w:val="00362EA4"/>
    <w:rsid w:val="00363873"/>
    <w:rsid w:val="00363D3A"/>
    <w:rsid w:val="00366AAF"/>
    <w:rsid w:val="00371632"/>
    <w:rsid w:val="0037230C"/>
    <w:rsid w:val="00373BEB"/>
    <w:rsid w:val="0037409F"/>
    <w:rsid w:val="003759F1"/>
    <w:rsid w:val="0037645D"/>
    <w:rsid w:val="00380362"/>
    <w:rsid w:val="00381592"/>
    <w:rsid w:val="00381C5E"/>
    <w:rsid w:val="00382338"/>
    <w:rsid w:val="00382F8A"/>
    <w:rsid w:val="00382FC0"/>
    <w:rsid w:val="00383D1E"/>
    <w:rsid w:val="00386C02"/>
    <w:rsid w:val="00386FF4"/>
    <w:rsid w:val="00387E25"/>
    <w:rsid w:val="00391502"/>
    <w:rsid w:val="0039242B"/>
    <w:rsid w:val="00393AF6"/>
    <w:rsid w:val="0039430F"/>
    <w:rsid w:val="0039531B"/>
    <w:rsid w:val="003953FC"/>
    <w:rsid w:val="003955A0"/>
    <w:rsid w:val="00396056"/>
    <w:rsid w:val="0039778D"/>
    <w:rsid w:val="00397C71"/>
    <w:rsid w:val="00397D9D"/>
    <w:rsid w:val="003A21FF"/>
    <w:rsid w:val="003A2B36"/>
    <w:rsid w:val="003A3941"/>
    <w:rsid w:val="003A4A01"/>
    <w:rsid w:val="003A6DB7"/>
    <w:rsid w:val="003B09AC"/>
    <w:rsid w:val="003B1681"/>
    <w:rsid w:val="003B173A"/>
    <w:rsid w:val="003B1AD6"/>
    <w:rsid w:val="003B2282"/>
    <w:rsid w:val="003B40B6"/>
    <w:rsid w:val="003B415C"/>
    <w:rsid w:val="003B57F4"/>
    <w:rsid w:val="003C1189"/>
    <w:rsid w:val="003C1F65"/>
    <w:rsid w:val="003C2B41"/>
    <w:rsid w:val="003C2F51"/>
    <w:rsid w:val="003C470C"/>
    <w:rsid w:val="003C4B50"/>
    <w:rsid w:val="003C5394"/>
    <w:rsid w:val="003C5CB3"/>
    <w:rsid w:val="003C646D"/>
    <w:rsid w:val="003C64BF"/>
    <w:rsid w:val="003D1166"/>
    <w:rsid w:val="003D147B"/>
    <w:rsid w:val="003D198E"/>
    <w:rsid w:val="003D1CD7"/>
    <w:rsid w:val="003D20EF"/>
    <w:rsid w:val="003D374C"/>
    <w:rsid w:val="003D6431"/>
    <w:rsid w:val="003D6475"/>
    <w:rsid w:val="003D6494"/>
    <w:rsid w:val="003D711D"/>
    <w:rsid w:val="003D78E8"/>
    <w:rsid w:val="003D7B41"/>
    <w:rsid w:val="003E09AA"/>
    <w:rsid w:val="003E28D6"/>
    <w:rsid w:val="003E4D34"/>
    <w:rsid w:val="003E596E"/>
    <w:rsid w:val="003E7E8C"/>
    <w:rsid w:val="003F1EBE"/>
    <w:rsid w:val="003F20E9"/>
    <w:rsid w:val="003F3460"/>
    <w:rsid w:val="003F3A0A"/>
    <w:rsid w:val="003F4208"/>
    <w:rsid w:val="003F44DF"/>
    <w:rsid w:val="003F533E"/>
    <w:rsid w:val="003F558A"/>
    <w:rsid w:val="003F5E44"/>
    <w:rsid w:val="003F677E"/>
    <w:rsid w:val="003F6C50"/>
    <w:rsid w:val="003F72D8"/>
    <w:rsid w:val="0040125F"/>
    <w:rsid w:val="00401354"/>
    <w:rsid w:val="00401D15"/>
    <w:rsid w:val="00401E59"/>
    <w:rsid w:val="004029A0"/>
    <w:rsid w:val="00402D05"/>
    <w:rsid w:val="00402DC9"/>
    <w:rsid w:val="004033DF"/>
    <w:rsid w:val="0040361E"/>
    <w:rsid w:val="00404478"/>
    <w:rsid w:val="0040504F"/>
    <w:rsid w:val="004052FC"/>
    <w:rsid w:val="00407E44"/>
    <w:rsid w:val="0041207A"/>
    <w:rsid w:val="004125A0"/>
    <w:rsid w:val="00412796"/>
    <w:rsid w:val="004146B5"/>
    <w:rsid w:val="0041665B"/>
    <w:rsid w:val="0041727A"/>
    <w:rsid w:val="0041799E"/>
    <w:rsid w:val="00420098"/>
    <w:rsid w:val="00420D67"/>
    <w:rsid w:val="00422A10"/>
    <w:rsid w:val="00423DCB"/>
    <w:rsid w:val="00423E82"/>
    <w:rsid w:val="004260F1"/>
    <w:rsid w:val="0042783C"/>
    <w:rsid w:val="00427D82"/>
    <w:rsid w:val="00431088"/>
    <w:rsid w:val="00432F5C"/>
    <w:rsid w:val="00433C01"/>
    <w:rsid w:val="00433E09"/>
    <w:rsid w:val="00433E19"/>
    <w:rsid w:val="004373D0"/>
    <w:rsid w:val="0044364F"/>
    <w:rsid w:val="00444CBC"/>
    <w:rsid w:val="00446672"/>
    <w:rsid w:val="00446AF2"/>
    <w:rsid w:val="00447861"/>
    <w:rsid w:val="00447AD9"/>
    <w:rsid w:val="0045099E"/>
    <w:rsid w:val="00451394"/>
    <w:rsid w:val="004542A2"/>
    <w:rsid w:val="00456298"/>
    <w:rsid w:val="00456D34"/>
    <w:rsid w:val="00461DCF"/>
    <w:rsid w:val="00463933"/>
    <w:rsid w:val="0046420F"/>
    <w:rsid w:val="004655AB"/>
    <w:rsid w:val="0046568D"/>
    <w:rsid w:val="00466A4A"/>
    <w:rsid w:val="00466FB7"/>
    <w:rsid w:val="00471467"/>
    <w:rsid w:val="0047229B"/>
    <w:rsid w:val="004728B6"/>
    <w:rsid w:val="00474A65"/>
    <w:rsid w:val="00474C5F"/>
    <w:rsid w:val="00475221"/>
    <w:rsid w:val="004753CB"/>
    <w:rsid w:val="0047621F"/>
    <w:rsid w:val="00476F0B"/>
    <w:rsid w:val="00477E19"/>
    <w:rsid w:val="00477EA3"/>
    <w:rsid w:val="004812E3"/>
    <w:rsid w:val="00482241"/>
    <w:rsid w:val="00482C68"/>
    <w:rsid w:val="00483D84"/>
    <w:rsid w:val="00485263"/>
    <w:rsid w:val="00486DE0"/>
    <w:rsid w:val="0048703F"/>
    <w:rsid w:val="00487ED9"/>
    <w:rsid w:val="0049090C"/>
    <w:rsid w:val="004950AD"/>
    <w:rsid w:val="00495577"/>
    <w:rsid w:val="004971B9"/>
    <w:rsid w:val="00497A83"/>
    <w:rsid w:val="004A0810"/>
    <w:rsid w:val="004A0B5C"/>
    <w:rsid w:val="004A0E4D"/>
    <w:rsid w:val="004A1260"/>
    <w:rsid w:val="004A2BA3"/>
    <w:rsid w:val="004A44CC"/>
    <w:rsid w:val="004A4727"/>
    <w:rsid w:val="004A4DC1"/>
    <w:rsid w:val="004A5677"/>
    <w:rsid w:val="004A5CE6"/>
    <w:rsid w:val="004A5D52"/>
    <w:rsid w:val="004A7B16"/>
    <w:rsid w:val="004B0922"/>
    <w:rsid w:val="004B17E6"/>
    <w:rsid w:val="004B230F"/>
    <w:rsid w:val="004B2A52"/>
    <w:rsid w:val="004B343C"/>
    <w:rsid w:val="004B5552"/>
    <w:rsid w:val="004B5777"/>
    <w:rsid w:val="004B7272"/>
    <w:rsid w:val="004B7A12"/>
    <w:rsid w:val="004B7B1A"/>
    <w:rsid w:val="004C11FD"/>
    <w:rsid w:val="004C2257"/>
    <w:rsid w:val="004C2CE6"/>
    <w:rsid w:val="004C58B9"/>
    <w:rsid w:val="004C62CD"/>
    <w:rsid w:val="004C7053"/>
    <w:rsid w:val="004D0400"/>
    <w:rsid w:val="004D1FA6"/>
    <w:rsid w:val="004D23B6"/>
    <w:rsid w:val="004D244A"/>
    <w:rsid w:val="004D24CE"/>
    <w:rsid w:val="004D33BB"/>
    <w:rsid w:val="004D3CE0"/>
    <w:rsid w:val="004D4CB8"/>
    <w:rsid w:val="004D5691"/>
    <w:rsid w:val="004D6D0C"/>
    <w:rsid w:val="004D710D"/>
    <w:rsid w:val="004D7825"/>
    <w:rsid w:val="004D7913"/>
    <w:rsid w:val="004E04AC"/>
    <w:rsid w:val="004E1275"/>
    <w:rsid w:val="004E160D"/>
    <w:rsid w:val="004E1DB7"/>
    <w:rsid w:val="004E2253"/>
    <w:rsid w:val="004E4683"/>
    <w:rsid w:val="004E52BB"/>
    <w:rsid w:val="004E59B3"/>
    <w:rsid w:val="004E6906"/>
    <w:rsid w:val="004E6FD1"/>
    <w:rsid w:val="004E7749"/>
    <w:rsid w:val="004F1223"/>
    <w:rsid w:val="004F295D"/>
    <w:rsid w:val="004F47F3"/>
    <w:rsid w:val="004F49FE"/>
    <w:rsid w:val="004F5932"/>
    <w:rsid w:val="004F6F13"/>
    <w:rsid w:val="004F7354"/>
    <w:rsid w:val="004F7980"/>
    <w:rsid w:val="00501DBC"/>
    <w:rsid w:val="0050231E"/>
    <w:rsid w:val="00503BA4"/>
    <w:rsid w:val="00504544"/>
    <w:rsid w:val="00504A6E"/>
    <w:rsid w:val="00504DAA"/>
    <w:rsid w:val="00505788"/>
    <w:rsid w:val="0050633C"/>
    <w:rsid w:val="005063E1"/>
    <w:rsid w:val="005072AE"/>
    <w:rsid w:val="00510862"/>
    <w:rsid w:val="005109AD"/>
    <w:rsid w:val="00510F84"/>
    <w:rsid w:val="00511A80"/>
    <w:rsid w:val="0051221D"/>
    <w:rsid w:val="00512288"/>
    <w:rsid w:val="0051246B"/>
    <w:rsid w:val="00513463"/>
    <w:rsid w:val="005143E4"/>
    <w:rsid w:val="00516036"/>
    <w:rsid w:val="00516EA4"/>
    <w:rsid w:val="00517183"/>
    <w:rsid w:val="00517C01"/>
    <w:rsid w:val="00517D67"/>
    <w:rsid w:val="00517DDE"/>
    <w:rsid w:val="005200A0"/>
    <w:rsid w:val="0052089A"/>
    <w:rsid w:val="00523107"/>
    <w:rsid w:val="005234A8"/>
    <w:rsid w:val="0052375A"/>
    <w:rsid w:val="00524124"/>
    <w:rsid w:val="00524F81"/>
    <w:rsid w:val="0052743A"/>
    <w:rsid w:val="00527D40"/>
    <w:rsid w:val="00531D5B"/>
    <w:rsid w:val="005324FE"/>
    <w:rsid w:val="00533305"/>
    <w:rsid w:val="005345CB"/>
    <w:rsid w:val="0053496F"/>
    <w:rsid w:val="005352FD"/>
    <w:rsid w:val="00536840"/>
    <w:rsid w:val="00537D1E"/>
    <w:rsid w:val="00541C41"/>
    <w:rsid w:val="00542A99"/>
    <w:rsid w:val="005467CE"/>
    <w:rsid w:val="005477F4"/>
    <w:rsid w:val="00550128"/>
    <w:rsid w:val="005518BA"/>
    <w:rsid w:val="00551A7E"/>
    <w:rsid w:val="00551AC5"/>
    <w:rsid w:val="00551C58"/>
    <w:rsid w:val="005534DA"/>
    <w:rsid w:val="005535E0"/>
    <w:rsid w:val="00555966"/>
    <w:rsid w:val="00557225"/>
    <w:rsid w:val="00557688"/>
    <w:rsid w:val="00557D79"/>
    <w:rsid w:val="0056091B"/>
    <w:rsid w:val="00561C33"/>
    <w:rsid w:val="00562DCA"/>
    <w:rsid w:val="00563B8A"/>
    <w:rsid w:val="0056575E"/>
    <w:rsid w:val="00565CBE"/>
    <w:rsid w:val="005669D5"/>
    <w:rsid w:val="005701C8"/>
    <w:rsid w:val="0057038B"/>
    <w:rsid w:val="00571AAB"/>
    <w:rsid w:val="00571D00"/>
    <w:rsid w:val="0057260E"/>
    <w:rsid w:val="005732C0"/>
    <w:rsid w:val="00577358"/>
    <w:rsid w:val="00577E6B"/>
    <w:rsid w:val="00581057"/>
    <w:rsid w:val="00582908"/>
    <w:rsid w:val="005842AA"/>
    <w:rsid w:val="005846C7"/>
    <w:rsid w:val="00584A12"/>
    <w:rsid w:val="00584BFA"/>
    <w:rsid w:val="00584EE6"/>
    <w:rsid w:val="00585026"/>
    <w:rsid w:val="005874C6"/>
    <w:rsid w:val="005908C2"/>
    <w:rsid w:val="00591093"/>
    <w:rsid w:val="005937F5"/>
    <w:rsid w:val="005967A9"/>
    <w:rsid w:val="0059690B"/>
    <w:rsid w:val="005A0505"/>
    <w:rsid w:val="005A140E"/>
    <w:rsid w:val="005A161E"/>
    <w:rsid w:val="005A1B9D"/>
    <w:rsid w:val="005A249D"/>
    <w:rsid w:val="005A343D"/>
    <w:rsid w:val="005A6140"/>
    <w:rsid w:val="005A6693"/>
    <w:rsid w:val="005A7F51"/>
    <w:rsid w:val="005B25A6"/>
    <w:rsid w:val="005B4F64"/>
    <w:rsid w:val="005B5680"/>
    <w:rsid w:val="005B6A7C"/>
    <w:rsid w:val="005B70FC"/>
    <w:rsid w:val="005C0438"/>
    <w:rsid w:val="005C1873"/>
    <w:rsid w:val="005C1BF3"/>
    <w:rsid w:val="005C4ED0"/>
    <w:rsid w:val="005C7A20"/>
    <w:rsid w:val="005D1122"/>
    <w:rsid w:val="005D157F"/>
    <w:rsid w:val="005D1EBE"/>
    <w:rsid w:val="005D2CDF"/>
    <w:rsid w:val="005D427A"/>
    <w:rsid w:val="005D589C"/>
    <w:rsid w:val="005D74F2"/>
    <w:rsid w:val="005E0BBE"/>
    <w:rsid w:val="005E1025"/>
    <w:rsid w:val="005E1736"/>
    <w:rsid w:val="005E305C"/>
    <w:rsid w:val="005E5C3F"/>
    <w:rsid w:val="005E7741"/>
    <w:rsid w:val="005F097B"/>
    <w:rsid w:val="005F0A48"/>
    <w:rsid w:val="005F0B42"/>
    <w:rsid w:val="005F13E5"/>
    <w:rsid w:val="005F4151"/>
    <w:rsid w:val="005F4F18"/>
    <w:rsid w:val="005F52C4"/>
    <w:rsid w:val="005F5711"/>
    <w:rsid w:val="005F5FC6"/>
    <w:rsid w:val="005F76D1"/>
    <w:rsid w:val="005F7B7E"/>
    <w:rsid w:val="005F7F99"/>
    <w:rsid w:val="00600AA4"/>
    <w:rsid w:val="006010B3"/>
    <w:rsid w:val="006010DA"/>
    <w:rsid w:val="0060306D"/>
    <w:rsid w:val="00605587"/>
    <w:rsid w:val="0060665A"/>
    <w:rsid w:val="00606714"/>
    <w:rsid w:val="00606C84"/>
    <w:rsid w:val="006074DE"/>
    <w:rsid w:val="00610B41"/>
    <w:rsid w:val="006133A9"/>
    <w:rsid w:val="006136D8"/>
    <w:rsid w:val="006175B6"/>
    <w:rsid w:val="00620421"/>
    <w:rsid w:val="006206AE"/>
    <w:rsid w:val="00620926"/>
    <w:rsid w:val="00620CBB"/>
    <w:rsid w:val="006219E4"/>
    <w:rsid w:val="00623C6E"/>
    <w:rsid w:val="0062516D"/>
    <w:rsid w:val="006260E3"/>
    <w:rsid w:val="00626A84"/>
    <w:rsid w:val="00626C8F"/>
    <w:rsid w:val="0062709C"/>
    <w:rsid w:val="006309C4"/>
    <w:rsid w:val="00632C54"/>
    <w:rsid w:val="00634B39"/>
    <w:rsid w:val="006372C6"/>
    <w:rsid w:val="006374D3"/>
    <w:rsid w:val="0064012D"/>
    <w:rsid w:val="00642772"/>
    <w:rsid w:val="0064282F"/>
    <w:rsid w:val="00643BE5"/>
    <w:rsid w:val="006454FA"/>
    <w:rsid w:val="00645953"/>
    <w:rsid w:val="006459F2"/>
    <w:rsid w:val="0064683F"/>
    <w:rsid w:val="00646A69"/>
    <w:rsid w:val="00647235"/>
    <w:rsid w:val="00651BC5"/>
    <w:rsid w:val="00653528"/>
    <w:rsid w:val="006545EA"/>
    <w:rsid w:val="006551D5"/>
    <w:rsid w:val="00655ACE"/>
    <w:rsid w:val="0065648F"/>
    <w:rsid w:val="00657F32"/>
    <w:rsid w:val="00660470"/>
    <w:rsid w:val="00660D9D"/>
    <w:rsid w:val="00662572"/>
    <w:rsid w:val="00662769"/>
    <w:rsid w:val="006647BA"/>
    <w:rsid w:val="00665DF5"/>
    <w:rsid w:val="00670144"/>
    <w:rsid w:val="006701D7"/>
    <w:rsid w:val="00671529"/>
    <w:rsid w:val="006717BC"/>
    <w:rsid w:val="00673834"/>
    <w:rsid w:val="006738ED"/>
    <w:rsid w:val="00675497"/>
    <w:rsid w:val="00675D77"/>
    <w:rsid w:val="006775B1"/>
    <w:rsid w:val="00677768"/>
    <w:rsid w:val="00682A57"/>
    <w:rsid w:val="0068359E"/>
    <w:rsid w:val="006843FA"/>
    <w:rsid w:val="0068544F"/>
    <w:rsid w:val="00686158"/>
    <w:rsid w:val="006868C7"/>
    <w:rsid w:val="00690D74"/>
    <w:rsid w:val="006913B3"/>
    <w:rsid w:val="006919C1"/>
    <w:rsid w:val="006926BC"/>
    <w:rsid w:val="00692964"/>
    <w:rsid w:val="006932A3"/>
    <w:rsid w:val="0069344B"/>
    <w:rsid w:val="006937E1"/>
    <w:rsid w:val="0069460D"/>
    <w:rsid w:val="00695338"/>
    <w:rsid w:val="006961AA"/>
    <w:rsid w:val="00697167"/>
    <w:rsid w:val="006A03D3"/>
    <w:rsid w:val="006A0646"/>
    <w:rsid w:val="006A0B4F"/>
    <w:rsid w:val="006A1993"/>
    <w:rsid w:val="006A1AC1"/>
    <w:rsid w:val="006A242D"/>
    <w:rsid w:val="006A2EC7"/>
    <w:rsid w:val="006A300A"/>
    <w:rsid w:val="006A31A3"/>
    <w:rsid w:val="006A4B61"/>
    <w:rsid w:val="006A6AEB"/>
    <w:rsid w:val="006A77CD"/>
    <w:rsid w:val="006B0BE5"/>
    <w:rsid w:val="006B1E5E"/>
    <w:rsid w:val="006B201C"/>
    <w:rsid w:val="006B718F"/>
    <w:rsid w:val="006B71D8"/>
    <w:rsid w:val="006C0002"/>
    <w:rsid w:val="006C112C"/>
    <w:rsid w:val="006C1E9D"/>
    <w:rsid w:val="006C20C2"/>
    <w:rsid w:val="006C2823"/>
    <w:rsid w:val="006C35C1"/>
    <w:rsid w:val="006C43E7"/>
    <w:rsid w:val="006D029E"/>
    <w:rsid w:val="006D2D3E"/>
    <w:rsid w:val="006D55D8"/>
    <w:rsid w:val="006D57BC"/>
    <w:rsid w:val="006D5B68"/>
    <w:rsid w:val="006E12A0"/>
    <w:rsid w:val="006E1825"/>
    <w:rsid w:val="006E194B"/>
    <w:rsid w:val="006E2617"/>
    <w:rsid w:val="006E376C"/>
    <w:rsid w:val="006E4387"/>
    <w:rsid w:val="006E4636"/>
    <w:rsid w:val="006E65CA"/>
    <w:rsid w:val="006F0FD0"/>
    <w:rsid w:val="006F15D7"/>
    <w:rsid w:val="006F1B29"/>
    <w:rsid w:val="006F1FC3"/>
    <w:rsid w:val="006F4428"/>
    <w:rsid w:val="00700FF8"/>
    <w:rsid w:val="0070253A"/>
    <w:rsid w:val="00702894"/>
    <w:rsid w:val="00703D17"/>
    <w:rsid w:val="00705162"/>
    <w:rsid w:val="00705908"/>
    <w:rsid w:val="00706E68"/>
    <w:rsid w:val="0070735D"/>
    <w:rsid w:val="00707DDA"/>
    <w:rsid w:val="00710042"/>
    <w:rsid w:val="00712F07"/>
    <w:rsid w:val="00713DAD"/>
    <w:rsid w:val="0071435D"/>
    <w:rsid w:val="00714473"/>
    <w:rsid w:val="00715479"/>
    <w:rsid w:val="00723A1B"/>
    <w:rsid w:val="00723B23"/>
    <w:rsid w:val="00725752"/>
    <w:rsid w:val="0072643F"/>
    <w:rsid w:val="007269AD"/>
    <w:rsid w:val="00727635"/>
    <w:rsid w:val="0073057C"/>
    <w:rsid w:val="007316CD"/>
    <w:rsid w:val="00731B7A"/>
    <w:rsid w:val="007337FB"/>
    <w:rsid w:val="00733B1C"/>
    <w:rsid w:val="00734478"/>
    <w:rsid w:val="0073492C"/>
    <w:rsid w:val="00735BD0"/>
    <w:rsid w:val="00737D26"/>
    <w:rsid w:val="00740BB1"/>
    <w:rsid w:val="00740D05"/>
    <w:rsid w:val="00740D46"/>
    <w:rsid w:val="00741500"/>
    <w:rsid w:val="00741D7B"/>
    <w:rsid w:val="00743A24"/>
    <w:rsid w:val="007452C5"/>
    <w:rsid w:val="00750AA1"/>
    <w:rsid w:val="00751459"/>
    <w:rsid w:val="007515AD"/>
    <w:rsid w:val="00751742"/>
    <w:rsid w:val="00753DE2"/>
    <w:rsid w:val="007562D6"/>
    <w:rsid w:val="007574B5"/>
    <w:rsid w:val="00760200"/>
    <w:rsid w:val="007614A2"/>
    <w:rsid w:val="00761EAB"/>
    <w:rsid w:val="00762E47"/>
    <w:rsid w:val="007635CD"/>
    <w:rsid w:val="00765016"/>
    <w:rsid w:val="007660DB"/>
    <w:rsid w:val="00766D71"/>
    <w:rsid w:val="00770666"/>
    <w:rsid w:val="007759BD"/>
    <w:rsid w:val="007762D9"/>
    <w:rsid w:val="0077703C"/>
    <w:rsid w:val="00777D76"/>
    <w:rsid w:val="00782E2D"/>
    <w:rsid w:val="00783540"/>
    <w:rsid w:val="007840F9"/>
    <w:rsid w:val="007849E3"/>
    <w:rsid w:val="00785239"/>
    <w:rsid w:val="007863E0"/>
    <w:rsid w:val="007866F2"/>
    <w:rsid w:val="00787CA8"/>
    <w:rsid w:val="007902DA"/>
    <w:rsid w:val="00791310"/>
    <w:rsid w:val="00791846"/>
    <w:rsid w:val="00794A7B"/>
    <w:rsid w:val="00794D14"/>
    <w:rsid w:val="00795D3A"/>
    <w:rsid w:val="007967D3"/>
    <w:rsid w:val="00796F10"/>
    <w:rsid w:val="007A321D"/>
    <w:rsid w:val="007A3F18"/>
    <w:rsid w:val="007A535A"/>
    <w:rsid w:val="007A5DBE"/>
    <w:rsid w:val="007A6FD6"/>
    <w:rsid w:val="007A71E9"/>
    <w:rsid w:val="007B00B9"/>
    <w:rsid w:val="007B211C"/>
    <w:rsid w:val="007B39EA"/>
    <w:rsid w:val="007B3E27"/>
    <w:rsid w:val="007B3ED9"/>
    <w:rsid w:val="007B5044"/>
    <w:rsid w:val="007B5267"/>
    <w:rsid w:val="007B57A4"/>
    <w:rsid w:val="007B5BE6"/>
    <w:rsid w:val="007B5CB1"/>
    <w:rsid w:val="007B5E49"/>
    <w:rsid w:val="007B695D"/>
    <w:rsid w:val="007B6E9E"/>
    <w:rsid w:val="007B7297"/>
    <w:rsid w:val="007C0B38"/>
    <w:rsid w:val="007C1E9B"/>
    <w:rsid w:val="007C3455"/>
    <w:rsid w:val="007C4194"/>
    <w:rsid w:val="007C5127"/>
    <w:rsid w:val="007C5222"/>
    <w:rsid w:val="007C6686"/>
    <w:rsid w:val="007D0507"/>
    <w:rsid w:val="007D1F64"/>
    <w:rsid w:val="007D330D"/>
    <w:rsid w:val="007D61AF"/>
    <w:rsid w:val="007D62EC"/>
    <w:rsid w:val="007D6634"/>
    <w:rsid w:val="007D7DD8"/>
    <w:rsid w:val="007E290C"/>
    <w:rsid w:val="007E36EB"/>
    <w:rsid w:val="007E3EBE"/>
    <w:rsid w:val="007E5E19"/>
    <w:rsid w:val="007E73C7"/>
    <w:rsid w:val="007E746C"/>
    <w:rsid w:val="007F016D"/>
    <w:rsid w:val="007F0416"/>
    <w:rsid w:val="007F09C3"/>
    <w:rsid w:val="007F1243"/>
    <w:rsid w:val="007F3BFF"/>
    <w:rsid w:val="007F4557"/>
    <w:rsid w:val="007F4842"/>
    <w:rsid w:val="007F4DCC"/>
    <w:rsid w:val="007F50A1"/>
    <w:rsid w:val="007F783D"/>
    <w:rsid w:val="00801335"/>
    <w:rsid w:val="00802040"/>
    <w:rsid w:val="00807D2F"/>
    <w:rsid w:val="00810AAC"/>
    <w:rsid w:val="00811A61"/>
    <w:rsid w:val="008120C9"/>
    <w:rsid w:val="008120DB"/>
    <w:rsid w:val="00812494"/>
    <w:rsid w:val="008128EC"/>
    <w:rsid w:val="008206AE"/>
    <w:rsid w:val="00820784"/>
    <w:rsid w:val="008214BA"/>
    <w:rsid w:val="00821959"/>
    <w:rsid w:val="00821D4B"/>
    <w:rsid w:val="00825481"/>
    <w:rsid w:val="00825934"/>
    <w:rsid w:val="0083048A"/>
    <w:rsid w:val="00830603"/>
    <w:rsid w:val="0083081A"/>
    <w:rsid w:val="008308D0"/>
    <w:rsid w:val="00831008"/>
    <w:rsid w:val="00831651"/>
    <w:rsid w:val="00831F21"/>
    <w:rsid w:val="008328B1"/>
    <w:rsid w:val="0083338D"/>
    <w:rsid w:val="008343B3"/>
    <w:rsid w:val="008345DB"/>
    <w:rsid w:val="00836569"/>
    <w:rsid w:val="00837333"/>
    <w:rsid w:val="00837552"/>
    <w:rsid w:val="00841470"/>
    <w:rsid w:val="00841B54"/>
    <w:rsid w:val="008422F4"/>
    <w:rsid w:val="00842A12"/>
    <w:rsid w:val="00843E22"/>
    <w:rsid w:val="00844728"/>
    <w:rsid w:val="00846149"/>
    <w:rsid w:val="00847A4A"/>
    <w:rsid w:val="00847E3F"/>
    <w:rsid w:val="008510EB"/>
    <w:rsid w:val="00854924"/>
    <w:rsid w:val="00855D3B"/>
    <w:rsid w:val="00856298"/>
    <w:rsid w:val="00857E51"/>
    <w:rsid w:val="00861979"/>
    <w:rsid w:val="00861DF0"/>
    <w:rsid w:val="00862D63"/>
    <w:rsid w:val="00863094"/>
    <w:rsid w:val="0086696E"/>
    <w:rsid w:val="0087048A"/>
    <w:rsid w:val="0087079F"/>
    <w:rsid w:val="00870E10"/>
    <w:rsid w:val="00870FB3"/>
    <w:rsid w:val="00872899"/>
    <w:rsid w:val="008739CA"/>
    <w:rsid w:val="00873ED8"/>
    <w:rsid w:val="0087451A"/>
    <w:rsid w:val="00874695"/>
    <w:rsid w:val="0087622E"/>
    <w:rsid w:val="00876587"/>
    <w:rsid w:val="00880E37"/>
    <w:rsid w:val="008810D6"/>
    <w:rsid w:val="00882556"/>
    <w:rsid w:val="0088476E"/>
    <w:rsid w:val="008866C5"/>
    <w:rsid w:val="00891C99"/>
    <w:rsid w:val="00894B4F"/>
    <w:rsid w:val="00894EA5"/>
    <w:rsid w:val="008960BA"/>
    <w:rsid w:val="0089720B"/>
    <w:rsid w:val="0089784A"/>
    <w:rsid w:val="00897E84"/>
    <w:rsid w:val="008A0C33"/>
    <w:rsid w:val="008A27B9"/>
    <w:rsid w:val="008A47E0"/>
    <w:rsid w:val="008A497C"/>
    <w:rsid w:val="008A4C04"/>
    <w:rsid w:val="008A60DD"/>
    <w:rsid w:val="008A7B49"/>
    <w:rsid w:val="008A7DA4"/>
    <w:rsid w:val="008B3361"/>
    <w:rsid w:val="008B3E7A"/>
    <w:rsid w:val="008B449E"/>
    <w:rsid w:val="008B4948"/>
    <w:rsid w:val="008B4AD3"/>
    <w:rsid w:val="008C05A8"/>
    <w:rsid w:val="008C157A"/>
    <w:rsid w:val="008C21BE"/>
    <w:rsid w:val="008C22F3"/>
    <w:rsid w:val="008C3EC5"/>
    <w:rsid w:val="008C44EF"/>
    <w:rsid w:val="008C6CFD"/>
    <w:rsid w:val="008C71C7"/>
    <w:rsid w:val="008C7694"/>
    <w:rsid w:val="008D02E8"/>
    <w:rsid w:val="008D0B10"/>
    <w:rsid w:val="008D1DF7"/>
    <w:rsid w:val="008D1E0E"/>
    <w:rsid w:val="008D2DD9"/>
    <w:rsid w:val="008D49E3"/>
    <w:rsid w:val="008D522F"/>
    <w:rsid w:val="008D7EB3"/>
    <w:rsid w:val="008E0C49"/>
    <w:rsid w:val="008E22DE"/>
    <w:rsid w:val="008E3353"/>
    <w:rsid w:val="008E3502"/>
    <w:rsid w:val="008E4272"/>
    <w:rsid w:val="008E6E71"/>
    <w:rsid w:val="008F1FB2"/>
    <w:rsid w:val="008F2EF2"/>
    <w:rsid w:val="008F61D9"/>
    <w:rsid w:val="008F7212"/>
    <w:rsid w:val="008F7916"/>
    <w:rsid w:val="008F79CC"/>
    <w:rsid w:val="00900013"/>
    <w:rsid w:val="00900797"/>
    <w:rsid w:val="00901778"/>
    <w:rsid w:val="0090209B"/>
    <w:rsid w:val="009048D5"/>
    <w:rsid w:val="0090624F"/>
    <w:rsid w:val="009100E8"/>
    <w:rsid w:val="009117AC"/>
    <w:rsid w:val="00911A16"/>
    <w:rsid w:val="00912541"/>
    <w:rsid w:val="0091268B"/>
    <w:rsid w:val="00912915"/>
    <w:rsid w:val="00913710"/>
    <w:rsid w:val="009164B7"/>
    <w:rsid w:val="00922FD4"/>
    <w:rsid w:val="00924252"/>
    <w:rsid w:val="00924AF9"/>
    <w:rsid w:val="00925972"/>
    <w:rsid w:val="00925D45"/>
    <w:rsid w:val="009266A0"/>
    <w:rsid w:val="00926F94"/>
    <w:rsid w:val="00927280"/>
    <w:rsid w:val="009272F2"/>
    <w:rsid w:val="00927DD0"/>
    <w:rsid w:val="00930DD1"/>
    <w:rsid w:val="00930E35"/>
    <w:rsid w:val="00932C13"/>
    <w:rsid w:val="00933904"/>
    <w:rsid w:val="00935ED5"/>
    <w:rsid w:val="00936047"/>
    <w:rsid w:val="00936059"/>
    <w:rsid w:val="0093636A"/>
    <w:rsid w:val="009377D5"/>
    <w:rsid w:val="0094084D"/>
    <w:rsid w:val="00940F8A"/>
    <w:rsid w:val="00942560"/>
    <w:rsid w:val="00942C1C"/>
    <w:rsid w:val="0094513F"/>
    <w:rsid w:val="009462E8"/>
    <w:rsid w:val="009469FB"/>
    <w:rsid w:val="009479E2"/>
    <w:rsid w:val="009542D5"/>
    <w:rsid w:val="00955110"/>
    <w:rsid w:val="00956740"/>
    <w:rsid w:val="009604F8"/>
    <w:rsid w:val="009609AD"/>
    <w:rsid w:val="00961610"/>
    <w:rsid w:val="00961E77"/>
    <w:rsid w:val="00962113"/>
    <w:rsid w:val="00962B0F"/>
    <w:rsid w:val="0096327D"/>
    <w:rsid w:val="00964271"/>
    <w:rsid w:val="00967B36"/>
    <w:rsid w:val="00967EFB"/>
    <w:rsid w:val="00970FC9"/>
    <w:rsid w:val="00971CDB"/>
    <w:rsid w:val="00973585"/>
    <w:rsid w:val="00973966"/>
    <w:rsid w:val="00973AB8"/>
    <w:rsid w:val="00973C09"/>
    <w:rsid w:val="009740AF"/>
    <w:rsid w:val="00974D29"/>
    <w:rsid w:val="009753CC"/>
    <w:rsid w:val="00976A6F"/>
    <w:rsid w:val="00977728"/>
    <w:rsid w:val="00980C74"/>
    <w:rsid w:val="009818F3"/>
    <w:rsid w:val="00983576"/>
    <w:rsid w:val="00983FB3"/>
    <w:rsid w:val="0098419A"/>
    <w:rsid w:val="00984291"/>
    <w:rsid w:val="00985F93"/>
    <w:rsid w:val="00987591"/>
    <w:rsid w:val="00990930"/>
    <w:rsid w:val="00992201"/>
    <w:rsid w:val="0099262D"/>
    <w:rsid w:val="009946E9"/>
    <w:rsid w:val="00995559"/>
    <w:rsid w:val="009A0434"/>
    <w:rsid w:val="009A09A0"/>
    <w:rsid w:val="009A0C53"/>
    <w:rsid w:val="009A12B9"/>
    <w:rsid w:val="009A142C"/>
    <w:rsid w:val="009A2FEB"/>
    <w:rsid w:val="009A343F"/>
    <w:rsid w:val="009A3D65"/>
    <w:rsid w:val="009A7047"/>
    <w:rsid w:val="009A781F"/>
    <w:rsid w:val="009A7C2A"/>
    <w:rsid w:val="009B25A9"/>
    <w:rsid w:val="009B2EF5"/>
    <w:rsid w:val="009B3FB4"/>
    <w:rsid w:val="009B75DF"/>
    <w:rsid w:val="009C0D19"/>
    <w:rsid w:val="009C0E49"/>
    <w:rsid w:val="009C1519"/>
    <w:rsid w:val="009C1599"/>
    <w:rsid w:val="009C30EF"/>
    <w:rsid w:val="009D0D62"/>
    <w:rsid w:val="009D0FD7"/>
    <w:rsid w:val="009D5ED3"/>
    <w:rsid w:val="009D6755"/>
    <w:rsid w:val="009E005F"/>
    <w:rsid w:val="009E44A3"/>
    <w:rsid w:val="009E4C71"/>
    <w:rsid w:val="009E5766"/>
    <w:rsid w:val="009E57A9"/>
    <w:rsid w:val="009E5AC1"/>
    <w:rsid w:val="009E7516"/>
    <w:rsid w:val="009E7600"/>
    <w:rsid w:val="009F068F"/>
    <w:rsid w:val="009F0DCC"/>
    <w:rsid w:val="009F1420"/>
    <w:rsid w:val="009F165F"/>
    <w:rsid w:val="009F2F2C"/>
    <w:rsid w:val="009F3261"/>
    <w:rsid w:val="009F3729"/>
    <w:rsid w:val="009F3DC8"/>
    <w:rsid w:val="009F4FC8"/>
    <w:rsid w:val="009F57E4"/>
    <w:rsid w:val="009F701C"/>
    <w:rsid w:val="009F79F8"/>
    <w:rsid w:val="00A00183"/>
    <w:rsid w:val="00A05997"/>
    <w:rsid w:val="00A05EAB"/>
    <w:rsid w:val="00A061BC"/>
    <w:rsid w:val="00A11FFA"/>
    <w:rsid w:val="00A120F7"/>
    <w:rsid w:val="00A124FD"/>
    <w:rsid w:val="00A15FBC"/>
    <w:rsid w:val="00A16126"/>
    <w:rsid w:val="00A1647E"/>
    <w:rsid w:val="00A24A26"/>
    <w:rsid w:val="00A25609"/>
    <w:rsid w:val="00A25D96"/>
    <w:rsid w:val="00A27FB4"/>
    <w:rsid w:val="00A30573"/>
    <w:rsid w:val="00A30768"/>
    <w:rsid w:val="00A309F6"/>
    <w:rsid w:val="00A3102E"/>
    <w:rsid w:val="00A31A96"/>
    <w:rsid w:val="00A327A7"/>
    <w:rsid w:val="00A33525"/>
    <w:rsid w:val="00A33742"/>
    <w:rsid w:val="00A35A52"/>
    <w:rsid w:val="00A35CA0"/>
    <w:rsid w:val="00A35D21"/>
    <w:rsid w:val="00A3676B"/>
    <w:rsid w:val="00A36EFE"/>
    <w:rsid w:val="00A37E9F"/>
    <w:rsid w:val="00A40917"/>
    <w:rsid w:val="00A42285"/>
    <w:rsid w:val="00A4288B"/>
    <w:rsid w:val="00A47B80"/>
    <w:rsid w:val="00A50E5F"/>
    <w:rsid w:val="00A51AC7"/>
    <w:rsid w:val="00A51C70"/>
    <w:rsid w:val="00A5213A"/>
    <w:rsid w:val="00A55C1E"/>
    <w:rsid w:val="00A560E6"/>
    <w:rsid w:val="00A56249"/>
    <w:rsid w:val="00A604BE"/>
    <w:rsid w:val="00A60E19"/>
    <w:rsid w:val="00A63D38"/>
    <w:rsid w:val="00A65361"/>
    <w:rsid w:val="00A65F87"/>
    <w:rsid w:val="00A6661B"/>
    <w:rsid w:val="00A67861"/>
    <w:rsid w:val="00A67AFF"/>
    <w:rsid w:val="00A70194"/>
    <w:rsid w:val="00A70DFE"/>
    <w:rsid w:val="00A70F35"/>
    <w:rsid w:val="00A72222"/>
    <w:rsid w:val="00A730EC"/>
    <w:rsid w:val="00A74851"/>
    <w:rsid w:val="00A748CE"/>
    <w:rsid w:val="00A74B0F"/>
    <w:rsid w:val="00A76B67"/>
    <w:rsid w:val="00A76F2E"/>
    <w:rsid w:val="00A775DE"/>
    <w:rsid w:val="00A803C8"/>
    <w:rsid w:val="00A807A4"/>
    <w:rsid w:val="00A80A8B"/>
    <w:rsid w:val="00A80B1F"/>
    <w:rsid w:val="00A81ED8"/>
    <w:rsid w:val="00A82381"/>
    <w:rsid w:val="00A8261E"/>
    <w:rsid w:val="00A8436C"/>
    <w:rsid w:val="00A846F0"/>
    <w:rsid w:val="00A84701"/>
    <w:rsid w:val="00A848CE"/>
    <w:rsid w:val="00A8552D"/>
    <w:rsid w:val="00A8594C"/>
    <w:rsid w:val="00A85D18"/>
    <w:rsid w:val="00A85DD6"/>
    <w:rsid w:val="00A86336"/>
    <w:rsid w:val="00A86B2B"/>
    <w:rsid w:val="00A86CB9"/>
    <w:rsid w:val="00A87C76"/>
    <w:rsid w:val="00A907A2"/>
    <w:rsid w:val="00A9091D"/>
    <w:rsid w:val="00A91529"/>
    <w:rsid w:val="00A925A9"/>
    <w:rsid w:val="00A93346"/>
    <w:rsid w:val="00A93FCE"/>
    <w:rsid w:val="00A9499B"/>
    <w:rsid w:val="00A97B63"/>
    <w:rsid w:val="00A97D89"/>
    <w:rsid w:val="00AA09BE"/>
    <w:rsid w:val="00AA19BA"/>
    <w:rsid w:val="00AA1D29"/>
    <w:rsid w:val="00AA1E23"/>
    <w:rsid w:val="00AA1F65"/>
    <w:rsid w:val="00AA2F51"/>
    <w:rsid w:val="00AA4F08"/>
    <w:rsid w:val="00AA4FC1"/>
    <w:rsid w:val="00AB0387"/>
    <w:rsid w:val="00AB1032"/>
    <w:rsid w:val="00AB19C4"/>
    <w:rsid w:val="00AB289C"/>
    <w:rsid w:val="00AB2AA3"/>
    <w:rsid w:val="00AB2F1A"/>
    <w:rsid w:val="00AB5248"/>
    <w:rsid w:val="00AB66DA"/>
    <w:rsid w:val="00AB68C4"/>
    <w:rsid w:val="00AB7D48"/>
    <w:rsid w:val="00AC1C50"/>
    <w:rsid w:val="00AC1E90"/>
    <w:rsid w:val="00AC39EF"/>
    <w:rsid w:val="00AC4E11"/>
    <w:rsid w:val="00AC67E8"/>
    <w:rsid w:val="00AC7BA7"/>
    <w:rsid w:val="00AD009F"/>
    <w:rsid w:val="00AD09BD"/>
    <w:rsid w:val="00AD0C7E"/>
    <w:rsid w:val="00AD147E"/>
    <w:rsid w:val="00AD320E"/>
    <w:rsid w:val="00AD35AA"/>
    <w:rsid w:val="00AD3A03"/>
    <w:rsid w:val="00AD431B"/>
    <w:rsid w:val="00AD5280"/>
    <w:rsid w:val="00AD55CC"/>
    <w:rsid w:val="00AD5C30"/>
    <w:rsid w:val="00AD5ED5"/>
    <w:rsid w:val="00AD6EAE"/>
    <w:rsid w:val="00AE073E"/>
    <w:rsid w:val="00AE2EBA"/>
    <w:rsid w:val="00AE691C"/>
    <w:rsid w:val="00AE6A4C"/>
    <w:rsid w:val="00AE7C33"/>
    <w:rsid w:val="00AF0458"/>
    <w:rsid w:val="00AF0607"/>
    <w:rsid w:val="00AF0BEB"/>
    <w:rsid w:val="00AF195E"/>
    <w:rsid w:val="00AF3401"/>
    <w:rsid w:val="00AF3910"/>
    <w:rsid w:val="00AF491D"/>
    <w:rsid w:val="00AF6939"/>
    <w:rsid w:val="00AF7D61"/>
    <w:rsid w:val="00B00070"/>
    <w:rsid w:val="00B00DAC"/>
    <w:rsid w:val="00B019E0"/>
    <w:rsid w:val="00B02702"/>
    <w:rsid w:val="00B03BE1"/>
    <w:rsid w:val="00B044B6"/>
    <w:rsid w:val="00B14BF5"/>
    <w:rsid w:val="00B1529A"/>
    <w:rsid w:val="00B15756"/>
    <w:rsid w:val="00B15CCC"/>
    <w:rsid w:val="00B15D97"/>
    <w:rsid w:val="00B16691"/>
    <w:rsid w:val="00B16A50"/>
    <w:rsid w:val="00B16DE7"/>
    <w:rsid w:val="00B16EC5"/>
    <w:rsid w:val="00B16F21"/>
    <w:rsid w:val="00B21BF0"/>
    <w:rsid w:val="00B2232B"/>
    <w:rsid w:val="00B24FD9"/>
    <w:rsid w:val="00B2637C"/>
    <w:rsid w:val="00B26C9D"/>
    <w:rsid w:val="00B27200"/>
    <w:rsid w:val="00B302D2"/>
    <w:rsid w:val="00B31388"/>
    <w:rsid w:val="00B314F5"/>
    <w:rsid w:val="00B31D78"/>
    <w:rsid w:val="00B3208D"/>
    <w:rsid w:val="00B325F8"/>
    <w:rsid w:val="00B32902"/>
    <w:rsid w:val="00B3572B"/>
    <w:rsid w:val="00B437DA"/>
    <w:rsid w:val="00B43E49"/>
    <w:rsid w:val="00B44F4F"/>
    <w:rsid w:val="00B44FCC"/>
    <w:rsid w:val="00B512E1"/>
    <w:rsid w:val="00B51D56"/>
    <w:rsid w:val="00B51E83"/>
    <w:rsid w:val="00B5254C"/>
    <w:rsid w:val="00B5274D"/>
    <w:rsid w:val="00B535F3"/>
    <w:rsid w:val="00B53D0E"/>
    <w:rsid w:val="00B54473"/>
    <w:rsid w:val="00B544E0"/>
    <w:rsid w:val="00B55313"/>
    <w:rsid w:val="00B55A33"/>
    <w:rsid w:val="00B55DB5"/>
    <w:rsid w:val="00B565C5"/>
    <w:rsid w:val="00B57B21"/>
    <w:rsid w:val="00B57EC6"/>
    <w:rsid w:val="00B60277"/>
    <w:rsid w:val="00B60989"/>
    <w:rsid w:val="00B63793"/>
    <w:rsid w:val="00B6457B"/>
    <w:rsid w:val="00B6541F"/>
    <w:rsid w:val="00B70B4E"/>
    <w:rsid w:val="00B72ED5"/>
    <w:rsid w:val="00B74F0F"/>
    <w:rsid w:val="00B7636A"/>
    <w:rsid w:val="00B76C7C"/>
    <w:rsid w:val="00B77577"/>
    <w:rsid w:val="00B775C5"/>
    <w:rsid w:val="00B77A27"/>
    <w:rsid w:val="00B8036D"/>
    <w:rsid w:val="00B80EFF"/>
    <w:rsid w:val="00B824FA"/>
    <w:rsid w:val="00B8295F"/>
    <w:rsid w:val="00B83629"/>
    <w:rsid w:val="00B83C57"/>
    <w:rsid w:val="00B87379"/>
    <w:rsid w:val="00B87DBA"/>
    <w:rsid w:val="00B90101"/>
    <w:rsid w:val="00B916BD"/>
    <w:rsid w:val="00B91AB0"/>
    <w:rsid w:val="00B94722"/>
    <w:rsid w:val="00B94904"/>
    <w:rsid w:val="00B9521C"/>
    <w:rsid w:val="00B96B61"/>
    <w:rsid w:val="00BA0F73"/>
    <w:rsid w:val="00BA1FA3"/>
    <w:rsid w:val="00BA66BF"/>
    <w:rsid w:val="00BA71F3"/>
    <w:rsid w:val="00BB1823"/>
    <w:rsid w:val="00BB3283"/>
    <w:rsid w:val="00BB40B0"/>
    <w:rsid w:val="00BB4619"/>
    <w:rsid w:val="00BB4713"/>
    <w:rsid w:val="00BB5197"/>
    <w:rsid w:val="00BB5719"/>
    <w:rsid w:val="00BB5993"/>
    <w:rsid w:val="00BB698D"/>
    <w:rsid w:val="00BB78CF"/>
    <w:rsid w:val="00BB7913"/>
    <w:rsid w:val="00BC1188"/>
    <w:rsid w:val="00BC13CA"/>
    <w:rsid w:val="00BC159A"/>
    <w:rsid w:val="00BC1D28"/>
    <w:rsid w:val="00BC2D3B"/>
    <w:rsid w:val="00BC391D"/>
    <w:rsid w:val="00BC39E5"/>
    <w:rsid w:val="00BC3BA7"/>
    <w:rsid w:val="00BC42AD"/>
    <w:rsid w:val="00BC47E8"/>
    <w:rsid w:val="00BC4DCA"/>
    <w:rsid w:val="00BC5979"/>
    <w:rsid w:val="00BC7829"/>
    <w:rsid w:val="00BD1A2D"/>
    <w:rsid w:val="00BD1FC0"/>
    <w:rsid w:val="00BD25DC"/>
    <w:rsid w:val="00BD2E78"/>
    <w:rsid w:val="00BD3A9E"/>
    <w:rsid w:val="00BD5B14"/>
    <w:rsid w:val="00BD6FC7"/>
    <w:rsid w:val="00BD75D3"/>
    <w:rsid w:val="00BD7C8C"/>
    <w:rsid w:val="00BE103C"/>
    <w:rsid w:val="00BE1EF3"/>
    <w:rsid w:val="00BE26A0"/>
    <w:rsid w:val="00BE4BD3"/>
    <w:rsid w:val="00BE4F08"/>
    <w:rsid w:val="00BE5D1B"/>
    <w:rsid w:val="00BE7461"/>
    <w:rsid w:val="00BF056F"/>
    <w:rsid w:val="00BF104C"/>
    <w:rsid w:val="00BF2A7F"/>
    <w:rsid w:val="00BF3C25"/>
    <w:rsid w:val="00BF44C2"/>
    <w:rsid w:val="00BF464C"/>
    <w:rsid w:val="00BF5D08"/>
    <w:rsid w:val="00BF7DD6"/>
    <w:rsid w:val="00C01003"/>
    <w:rsid w:val="00C01F96"/>
    <w:rsid w:val="00C03389"/>
    <w:rsid w:val="00C04F6E"/>
    <w:rsid w:val="00C05937"/>
    <w:rsid w:val="00C05EDD"/>
    <w:rsid w:val="00C075EA"/>
    <w:rsid w:val="00C078A3"/>
    <w:rsid w:val="00C07901"/>
    <w:rsid w:val="00C10550"/>
    <w:rsid w:val="00C10BCE"/>
    <w:rsid w:val="00C12969"/>
    <w:rsid w:val="00C12CA5"/>
    <w:rsid w:val="00C13447"/>
    <w:rsid w:val="00C1595B"/>
    <w:rsid w:val="00C164F3"/>
    <w:rsid w:val="00C16E27"/>
    <w:rsid w:val="00C16E53"/>
    <w:rsid w:val="00C20543"/>
    <w:rsid w:val="00C21A13"/>
    <w:rsid w:val="00C23594"/>
    <w:rsid w:val="00C237DB"/>
    <w:rsid w:val="00C2445E"/>
    <w:rsid w:val="00C24DB3"/>
    <w:rsid w:val="00C252AD"/>
    <w:rsid w:val="00C271C4"/>
    <w:rsid w:val="00C274ED"/>
    <w:rsid w:val="00C27507"/>
    <w:rsid w:val="00C275F8"/>
    <w:rsid w:val="00C32065"/>
    <w:rsid w:val="00C36D9B"/>
    <w:rsid w:val="00C40ADF"/>
    <w:rsid w:val="00C40FF4"/>
    <w:rsid w:val="00C4125A"/>
    <w:rsid w:val="00C41B8C"/>
    <w:rsid w:val="00C43C1B"/>
    <w:rsid w:val="00C444EE"/>
    <w:rsid w:val="00C4590D"/>
    <w:rsid w:val="00C45E66"/>
    <w:rsid w:val="00C46C3E"/>
    <w:rsid w:val="00C502AD"/>
    <w:rsid w:val="00C50CAB"/>
    <w:rsid w:val="00C50DBD"/>
    <w:rsid w:val="00C511DB"/>
    <w:rsid w:val="00C52B94"/>
    <w:rsid w:val="00C55122"/>
    <w:rsid w:val="00C55719"/>
    <w:rsid w:val="00C564B8"/>
    <w:rsid w:val="00C5730B"/>
    <w:rsid w:val="00C57388"/>
    <w:rsid w:val="00C60173"/>
    <w:rsid w:val="00C61D64"/>
    <w:rsid w:val="00C61F25"/>
    <w:rsid w:val="00C628BE"/>
    <w:rsid w:val="00C63104"/>
    <w:rsid w:val="00C64611"/>
    <w:rsid w:val="00C650E1"/>
    <w:rsid w:val="00C65320"/>
    <w:rsid w:val="00C66E70"/>
    <w:rsid w:val="00C709F5"/>
    <w:rsid w:val="00C71DDB"/>
    <w:rsid w:val="00C72E97"/>
    <w:rsid w:val="00C747FF"/>
    <w:rsid w:val="00C75C1B"/>
    <w:rsid w:val="00C7659F"/>
    <w:rsid w:val="00C7741C"/>
    <w:rsid w:val="00C80E7D"/>
    <w:rsid w:val="00C8132D"/>
    <w:rsid w:val="00C81A46"/>
    <w:rsid w:val="00C829B4"/>
    <w:rsid w:val="00C82DEE"/>
    <w:rsid w:val="00C82FA8"/>
    <w:rsid w:val="00C837A1"/>
    <w:rsid w:val="00C83DE2"/>
    <w:rsid w:val="00C84F0E"/>
    <w:rsid w:val="00C862FE"/>
    <w:rsid w:val="00C86AE0"/>
    <w:rsid w:val="00C86D3E"/>
    <w:rsid w:val="00C8708C"/>
    <w:rsid w:val="00C9029F"/>
    <w:rsid w:val="00C91566"/>
    <w:rsid w:val="00C9245A"/>
    <w:rsid w:val="00C94868"/>
    <w:rsid w:val="00C9596C"/>
    <w:rsid w:val="00C95ABF"/>
    <w:rsid w:val="00C96380"/>
    <w:rsid w:val="00C9652C"/>
    <w:rsid w:val="00CA15FA"/>
    <w:rsid w:val="00CA332F"/>
    <w:rsid w:val="00CA4E2D"/>
    <w:rsid w:val="00CA6B77"/>
    <w:rsid w:val="00CA73EE"/>
    <w:rsid w:val="00CA7DE6"/>
    <w:rsid w:val="00CB04E9"/>
    <w:rsid w:val="00CB1DAC"/>
    <w:rsid w:val="00CB1E03"/>
    <w:rsid w:val="00CB2050"/>
    <w:rsid w:val="00CB21FD"/>
    <w:rsid w:val="00CB4239"/>
    <w:rsid w:val="00CB554B"/>
    <w:rsid w:val="00CB59C2"/>
    <w:rsid w:val="00CB5B9D"/>
    <w:rsid w:val="00CB6433"/>
    <w:rsid w:val="00CB64AE"/>
    <w:rsid w:val="00CB6C06"/>
    <w:rsid w:val="00CC0088"/>
    <w:rsid w:val="00CC1005"/>
    <w:rsid w:val="00CC139E"/>
    <w:rsid w:val="00CC2188"/>
    <w:rsid w:val="00CC3712"/>
    <w:rsid w:val="00CC423C"/>
    <w:rsid w:val="00CC4A45"/>
    <w:rsid w:val="00CC64B9"/>
    <w:rsid w:val="00CC6DAD"/>
    <w:rsid w:val="00CC7ADE"/>
    <w:rsid w:val="00CD0332"/>
    <w:rsid w:val="00CD1229"/>
    <w:rsid w:val="00CD2351"/>
    <w:rsid w:val="00CD2D2F"/>
    <w:rsid w:val="00CD39F0"/>
    <w:rsid w:val="00CD5BF8"/>
    <w:rsid w:val="00CD7873"/>
    <w:rsid w:val="00CD7FBB"/>
    <w:rsid w:val="00CE09D0"/>
    <w:rsid w:val="00CE0D52"/>
    <w:rsid w:val="00CE121D"/>
    <w:rsid w:val="00CE1D4F"/>
    <w:rsid w:val="00CE2817"/>
    <w:rsid w:val="00CE2BB8"/>
    <w:rsid w:val="00CE3269"/>
    <w:rsid w:val="00CE34B5"/>
    <w:rsid w:val="00CE3D42"/>
    <w:rsid w:val="00CE45CE"/>
    <w:rsid w:val="00CE4958"/>
    <w:rsid w:val="00CE4D45"/>
    <w:rsid w:val="00CE5E96"/>
    <w:rsid w:val="00CE5EC0"/>
    <w:rsid w:val="00CE6DE0"/>
    <w:rsid w:val="00CE7219"/>
    <w:rsid w:val="00CE7770"/>
    <w:rsid w:val="00CF0AFC"/>
    <w:rsid w:val="00CF19AB"/>
    <w:rsid w:val="00CF22E7"/>
    <w:rsid w:val="00CF2FA4"/>
    <w:rsid w:val="00CF35CC"/>
    <w:rsid w:val="00CF3A91"/>
    <w:rsid w:val="00CF3F30"/>
    <w:rsid w:val="00CF4023"/>
    <w:rsid w:val="00CF46D1"/>
    <w:rsid w:val="00CF49F7"/>
    <w:rsid w:val="00CF51FA"/>
    <w:rsid w:val="00CF5B34"/>
    <w:rsid w:val="00CF61E0"/>
    <w:rsid w:val="00CF6349"/>
    <w:rsid w:val="00CF7D76"/>
    <w:rsid w:val="00D01907"/>
    <w:rsid w:val="00D02370"/>
    <w:rsid w:val="00D0251A"/>
    <w:rsid w:val="00D02EDA"/>
    <w:rsid w:val="00D03064"/>
    <w:rsid w:val="00D0403C"/>
    <w:rsid w:val="00D043EA"/>
    <w:rsid w:val="00D051F8"/>
    <w:rsid w:val="00D05352"/>
    <w:rsid w:val="00D0604E"/>
    <w:rsid w:val="00D100C1"/>
    <w:rsid w:val="00D11926"/>
    <w:rsid w:val="00D11CD1"/>
    <w:rsid w:val="00D11ECF"/>
    <w:rsid w:val="00D123FD"/>
    <w:rsid w:val="00D12710"/>
    <w:rsid w:val="00D12787"/>
    <w:rsid w:val="00D135A6"/>
    <w:rsid w:val="00D148F2"/>
    <w:rsid w:val="00D15CB6"/>
    <w:rsid w:val="00D160D5"/>
    <w:rsid w:val="00D16B1C"/>
    <w:rsid w:val="00D17FF7"/>
    <w:rsid w:val="00D211BD"/>
    <w:rsid w:val="00D21F51"/>
    <w:rsid w:val="00D22283"/>
    <w:rsid w:val="00D24BA2"/>
    <w:rsid w:val="00D258A6"/>
    <w:rsid w:val="00D30662"/>
    <w:rsid w:val="00D319E1"/>
    <w:rsid w:val="00D32736"/>
    <w:rsid w:val="00D33DC4"/>
    <w:rsid w:val="00D34CD3"/>
    <w:rsid w:val="00D3730E"/>
    <w:rsid w:val="00D43107"/>
    <w:rsid w:val="00D43E22"/>
    <w:rsid w:val="00D440EC"/>
    <w:rsid w:val="00D442B7"/>
    <w:rsid w:val="00D45280"/>
    <w:rsid w:val="00D45915"/>
    <w:rsid w:val="00D46072"/>
    <w:rsid w:val="00D502A9"/>
    <w:rsid w:val="00D5248A"/>
    <w:rsid w:val="00D52581"/>
    <w:rsid w:val="00D53412"/>
    <w:rsid w:val="00D54093"/>
    <w:rsid w:val="00D55705"/>
    <w:rsid w:val="00D5585C"/>
    <w:rsid w:val="00D55C61"/>
    <w:rsid w:val="00D55CD5"/>
    <w:rsid w:val="00D56C65"/>
    <w:rsid w:val="00D57257"/>
    <w:rsid w:val="00D57967"/>
    <w:rsid w:val="00D601FE"/>
    <w:rsid w:val="00D62568"/>
    <w:rsid w:val="00D62D59"/>
    <w:rsid w:val="00D638BF"/>
    <w:rsid w:val="00D673D1"/>
    <w:rsid w:val="00D67AAF"/>
    <w:rsid w:val="00D710EB"/>
    <w:rsid w:val="00D71368"/>
    <w:rsid w:val="00D719A8"/>
    <w:rsid w:val="00D723A4"/>
    <w:rsid w:val="00D7396C"/>
    <w:rsid w:val="00D744BD"/>
    <w:rsid w:val="00D74586"/>
    <w:rsid w:val="00D8242A"/>
    <w:rsid w:val="00D83E16"/>
    <w:rsid w:val="00D84525"/>
    <w:rsid w:val="00D85260"/>
    <w:rsid w:val="00D858C3"/>
    <w:rsid w:val="00D9159C"/>
    <w:rsid w:val="00D91905"/>
    <w:rsid w:val="00D91D5F"/>
    <w:rsid w:val="00DA0BD1"/>
    <w:rsid w:val="00DA1437"/>
    <w:rsid w:val="00DA2FBF"/>
    <w:rsid w:val="00DA4101"/>
    <w:rsid w:val="00DA5E09"/>
    <w:rsid w:val="00DA5FC9"/>
    <w:rsid w:val="00DA73B2"/>
    <w:rsid w:val="00DA7714"/>
    <w:rsid w:val="00DB12D7"/>
    <w:rsid w:val="00DB141C"/>
    <w:rsid w:val="00DB2F99"/>
    <w:rsid w:val="00DB2F9A"/>
    <w:rsid w:val="00DB30BA"/>
    <w:rsid w:val="00DB3111"/>
    <w:rsid w:val="00DB3148"/>
    <w:rsid w:val="00DB38CC"/>
    <w:rsid w:val="00DB580F"/>
    <w:rsid w:val="00DB5B66"/>
    <w:rsid w:val="00DB6640"/>
    <w:rsid w:val="00DB6A34"/>
    <w:rsid w:val="00DB7208"/>
    <w:rsid w:val="00DC124F"/>
    <w:rsid w:val="00DC3385"/>
    <w:rsid w:val="00DC3B49"/>
    <w:rsid w:val="00DC568C"/>
    <w:rsid w:val="00DD01A1"/>
    <w:rsid w:val="00DD0F8D"/>
    <w:rsid w:val="00DD568A"/>
    <w:rsid w:val="00DD6227"/>
    <w:rsid w:val="00DD6653"/>
    <w:rsid w:val="00DD66EB"/>
    <w:rsid w:val="00DE0DF9"/>
    <w:rsid w:val="00DE21F4"/>
    <w:rsid w:val="00DE2FFF"/>
    <w:rsid w:val="00DE3106"/>
    <w:rsid w:val="00DE3763"/>
    <w:rsid w:val="00DE50C5"/>
    <w:rsid w:val="00DE6968"/>
    <w:rsid w:val="00DE798E"/>
    <w:rsid w:val="00DF0B33"/>
    <w:rsid w:val="00DF2C7B"/>
    <w:rsid w:val="00DF31B6"/>
    <w:rsid w:val="00DF3FD0"/>
    <w:rsid w:val="00DF404E"/>
    <w:rsid w:val="00DF4701"/>
    <w:rsid w:val="00DF5AD7"/>
    <w:rsid w:val="00DF6389"/>
    <w:rsid w:val="00DF78CF"/>
    <w:rsid w:val="00E004A4"/>
    <w:rsid w:val="00E035A3"/>
    <w:rsid w:val="00E03753"/>
    <w:rsid w:val="00E0389C"/>
    <w:rsid w:val="00E042A8"/>
    <w:rsid w:val="00E0655E"/>
    <w:rsid w:val="00E07BD6"/>
    <w:rsid w:val="00E1113A"/>
    <w:rsid w:val="00E13BCE"/>
    <w:rsid w:val="00E14207"/>
    <w:rsid w:val="00E14319"/>
    <w:rsid w:val="00E16056"/>
    <w:rsid w:val="00E17583"/>
    <w:rsid w:val="00E17C36"/>
    <w:rsid w:val="00E2034A"/>
    <w:rsid w:val="00E208B8"/>
    <w:rsid w:val="00E20E44"/>
    <w:rsid w:val="00E24AE5"/>
    <w:rsid w:val="00E24FA2"/>
    <w:rsid w:val="00E2559A"/>
    <w:rsid w:val="00E25BD3"/>
    <w:rsid w:val="00E27177"/>
    <w:rsid w:val="00E276FE"/>
    <w:rsid w:val="00E309F6"/>
    <w:rsid w:val="00E31568"/>
    <w:rsid w:val="00E32132"/>
    <w:rsid w:val="00E33080"/>
    <w:rsid w:val="00E3311B"/>
    <w:rsid w:val="00E35CF2"/>
    <w:rsid w:val="00E364DC"/>
    <w:rsid w:val="00E375F8"/>
    <w:rsid w:val="00E408ED"/>
    <w:rsid w:val="00E414DC"/>
    <w:rsid w:val="00E42617"/>
    <w:rsid w:val="00E435A2"/>
    <w:rsid w:val="00E4385A"/>
    <w:rsid w:val="00E44BE6"/>
    <w:rsid w:val="00E469C4"/>
    <w:rsid w:val="00E46D36"/>
    <w:rsid w:val="00E47097"/>
    <w:rsid w:val="00E470D3"/>
    <w:rsid w:val="00E50041"/>
    <w:rsid w:val="00E52779"/>
    <w:rsid w:val="00E52D51"/>
    <w:rsid w:val="00E54B0B"/>
    <w:rsid w:val="00E55AF2"/>
    <w:rsid w:val="00E5697B"/>
    <w:rsid w:val="00E60E5E"/>
    <w:rsid w:val="00E63497"/>
    <w:rsid w:val="00E64CEA"/>
    <w:rsid w:val="00E6525A"/>
    <w:rsid w:val="00E65BE6"/>
    <w:rsid w:val="00E66490"/>
    <w:rsid w:val="00E703D1"/>
    <w:rsid w:val="00E705CC"/>
    <w:rsid w:val="00E707B9"/>
    <w:rsid w:val="00E708B2"/>
    <w:rsid w:val="00E722DF"/>
    <w:rsid w:val="00E7236F"/>
    <w:rsid w:val="00E73579"/>
    <w:rsid w:val="00E75684"/>
    <w:rsid w:val="00E75BDF"/>
    <w:rsid w:val="00E7750F"/>
    <w:rsid w:val="00E83182"/>
    <w:rsid w:val="00E83702"/>
    <w:rsid w:val="00E83EE8"/>
    <w:rsid w:val="00E84406"/>
    <w:rsid w:val="00E84735"/>
    <w:rsid w:val="00E850ED"/>
    <w:rsid w:val="00E85E48"/>
    <w:rsid w:val="00E862CE"/>
    <w:rsid w:val="00E90174"/>
    <w:rsid w:val="00E90398"/>
    <w:rsid w:val="00E90530"/>
    <w:rsid w:val="00E91F71"/>
    <w:rsid w:val="00E92AAA"/>
    <w:rsid w:val="00E92E38"/>
    <w:rsid w:val="00E937EC"/>
    <w:rsid w:val="00E9402C"/>
    <w:rsid w:val="00E94DE2"/>
    <w:rsid w:val="00E94E91"/>
    <w:rsid w:val="00EA1AE4"/>
    <w:rsid w:val="00EA2736"/>
    <w:rsid w:val="00EA39AD"/>
    <w:rsid w:val="00EA4884"/>
    <w:rsid w:val="00EA4D5A"/>
    <w:rsid w:val="00EA780E"/>
    <w:rsid w:val="00EA79AB"/>
    <w:rsid w:val="00EA7BB1"/>
    <w:rsid w:val="00EB0745"/>
    <w:rsid w:val="00EB0E60"/>
    <w:rsid w:val="00EB1CC6"/>
    <w:rsid w:val="00EB28B2"/>
    <w:rsid w:val="00EB2C18"/>
    <w:rsid w:val="00EB40AC"/>
    <w:rsid w:val="00EC00E0"/>
    <w:rsid w:val="00EC12D7"/>
    <w:rsid w:val="00EC1AC7"/>
    <w:rsid w:val="00EC1D97"/>
    <w:rsid w:val="00EC1DED"/>
    <w:rsid w:val="00EC246F"/>
    <w:rsid w:val="00EC655D"/>
    <w:rsid w:val="00EC7F2E"/>
    <w:rsid w:val="00ED1037"/>
    <w:rsid w:val="00ED25B6"/>
    <w:rsid w:val="00ED39B9"/>
    <w:rsid w:val="00ED529B"/>
    <w:rsid w:val="00ED55B7"/>
    <w:rsid w:val="00ED6D1A"/>
    <w:rsid w:val="00ED71C2"/>
    <w:rsid w:val="00EE0FEE"/>
    <w:rsid w:val="00EE10BC"/>
    <w:rsid w:val="00EE1168"/>
    <w:rsid w:val="00EE1AA8"/>
    <w:rsid w:val="00EE1C16"/>
    <w:rsid w:val="00EE3A1E"/>
    <w:rsid w:val="00EE414E"/>
    <w:rsid w:val="00EE5073"/>
    <w:rsid w:val="00EE52DB"/>
    <w:rsid w:val="00EE54D4"/>
    <w:rsid w:val="00EE566D"/>
    <w:rsid w:val="00EF105A"/>
    <w:rsid w:val="00EF1D92"/>
    <w:rsid w:val="00EF20A1"/>
    <w:rsid w:val="00EF34AB"/>
    <w:rsid w:val="00EF3E84"/>
    <w:rsid w:val="00EF3F51"/>
    <w:rsid w:val="00EF41FA"/>
    <w:rsid w:val="00EF443E"/>
    <w:rsid w:val="00EF6920"/>
    <w:rsid w:val="00EF6A14"/>
    <w:rsid w:val="00EF724C"/>
    <w:rsid w:val="00EF7D39"/>
    <w:rsid w:val="00F0021B"/>
    <w:rsid w:val="00F00E2C"/>
    <w:rsid w:val="00F01F0D"/>
    <w:rsid w:val="00F01F65"/>
    <w:rsid w:val="00F03828"/>
    <w:rsid w:val="00F03933"/>
    <w:rsid w:val="00F046CA"/>
    <w:rsid w:val="00F05FC5"/>
    <w:rsid w:val="00F06468"/>
    <w:rsid w:val="00F06554"/>
    <w:rsid w:val="00F074CB"/>
    <w:rsid w:val="00F07B86"/>
    <w:rsid w:val="00F1020E"/>
    <w:rsid w:val="00F10FC4"/>
    <w:rsid w:val="00F114E4"/>
    <w:rsid w:val="00F14D73"/>
    <w:rsid w:val="00F1614D"/>
    <w:rsid w:val="00F16163"/>
    <w:rsid w:val="00F1680F"/>
    <w:rsid w:val="00F174A7"/>
    <w:rsid w:val="00F1794F"/>
    <w:rsid w:val="00F17B24"/>
    <w:rsid w:val="00F17B2B"/>
    <w:rsid w:val="00F2155D"/>
    <w:rsid w:val="00F21588"/>
    <w:rsid w:val="00F21C4E"/>
    <w:rsid w:val="00F21CB0"/>
    <w:rsid w:val="00F22720"/>
    <w:rsid w:val="00F231D1"/>
    <w:rsid w:val="00F239CB"/>
    <w:rsid w:val="00F241CD"/>
    <w:rsid w:val="00F2463D"/>
    <w:rsid w:val="00F246F4"/>
    <w:rsid w:val="00F2474B"/>
    <w:rsid w:val="00F26ADE"/>
    <w:rsid w:val="00F30343"/>
    <w:rsid w:val="00F319EB"/>
    <w:rsid w:val="00F323AA"/>
    <w:rsid w:val="00F32D52"/>
    <w:rsid w:val="00F347AE"/>
    <w:rsid w:val="00F35638"/>
    <w:rsid w:val="00F357A1"/>
    <w:rsid w:val="00F358F5"/>
    <w:rsid w:val="00F41F6B"/>
    <w:rsid w:val="00F42912"/>
    <w:rsid w:val="00F43150"/>
    <w:rsid w:val="00F445B3"/>
    <w:rsid w:val="00F446C0"/>
    <w:rsid w:val="00F50847"/>
    <w:rsid w:val="00F50881"/>
    <w:rsid w:val="00F5130D"/>
    <w:rsid w:val="00F51BFC"/>
    <w:rsid w:val="00F51D17"/>
    <w:rsid w:val="00F52071"/>
    <w:rsid w:val="00F5295B"/>
    <w:rsid w:val="00F52E0E"/>
    <w:rsid w:val="00F536ED"/>
    <w:rsid w:val="00F538F0"/>
    <w:rsid w:val="00F55260"/>
    <w:rsid w:val="00F57260"/>
    <w:rsid w:val="00F61FE0"/>
    <w:rsid w:val="00F62656"/>
    <w:rsid w:val="00F63443"/>
    <w:rsid w:val="00F646BB"/>
    <w:rsid w:val="00F65A7E"/>
    <w:rsid w:val="00F65E14"/>
    <w:rsid w:val="00F661ED"/>
    <w:rsid w:val="00F668FB"/>
    <w:rsid w:val="00F66DAB"/>
    <w:rsid w:val="00F67481"/>
    <w:rsid w:val="00F70160"/>
    <w:rsid w:val="00F70ED7"/>
    <w:rsid w:val="00F713AF"/>
    <w:rsid w:val="00F73604"/>
    <w:rsid w:val="00F73D21"/>
    <w:rsid w:val="00F73E16"/>
    <w:rsid w:val="00F758C6"/>
    <w:rsid w:val="00F7758E"/>
    <w:rsid w:val="00F80171"/>
    <w:rsid w:val="00F81752"/>
    <w:rsid w:val="00F838D3"/>
    <w:rsid w:val="00F8690C"/>
    <w:rsid w:val="00F901F2"/>
    <w:rsid w:val="00F90AEF"/>
    <w:rsid w:val="00F914E5"/>
    <w:rsid w:val="00F91B72"/>
    <w:rsid w:val="00F92404"/>
    <w:rsid w:val="00F95066"/>
    <w:rsid w:val="00F95142"/>
    <w:rsid w:val="00F95B20"/>
    <w:rsid w:val="00F95BC2"/>
    <w:rsid w:val="00F96C63"/>
    <w:rsid w:val="00F96CB7"/>
    <w:rsid w:val="00F97C6B"/>
    <w:rsid w:val="00FA257D"/>
    <w:rsid w:val="00FA2A85"/>
    <w:rsid w:val="00FA5D3A"/>
    <w:rsid w:val="00FA6F16"/>
    <w:rsid w:val="00FA6F42"/>
    <w:rsid w:val="00FA6F4F"/>
    <w:rsid w:val="00FA797B"/>
    <w:rsid w:val="00FB1603"/>
    <w:rsid w:val="00FB1BF3"/>
    <w:rsid w:val="00FB1C69"/>
    <w:rsid w:val="00FB204D"/>
    <w:rsid w:val="00FB20F2"/>
    <w:rsid w:val="00FB58C7"/>
    <w:rsid w:val="00FC034F"/>
    <w:rsid w:val="00FC0A91"/>
    <w:rsid w:val="00FC1F47"/>
    <w:rsid w:val="00FC2804"/>
    <w:rsid w:val="00FC2EE1"/>
    <w:rsid w:val="00FC3B3C"/>
    <w:rsid w:val="00FC3F58"/>
    <w:rsid w:val="00FC4B5C"/>
    <w:rsid w:val="00FC52BD"/>
    <w:rsid w:val="00FD11EA"/>
    <w:rsid w:val="00FD11F8"/>
    <w:rsid w:val="00FD25CE"/>
    <w:rsid w:val="00FD2EA2"/>
    <w:rsid w:val="00FD4B04"/>
    <w:rsid w:val="00FD591E"/>
    <w:rsid w:val="00FD7846"/>
    <w:rsid w:val="00FE1C43"/>
    <w:rsid w:val="00FE23BC"/>
    <w:rsid w:val="00FE3D59"/>
    <w:rsid w:val="00FE419F"/>
    <w:rsid w:val="00FE4422"/>
    <w:rsid w:val="00FE44E6"/>
    <w:rsid w:val="00FE4B1A"/>
    <w:rsid w:val="00FE5D14"/>
    <w:rsid w:val="00FE630B"/>
    <w:rsid w:val="00FF0136"/>
    <w:rsid w:val="00FF0909"/>
    <w:rsid w:val="00FF1687"/>
    <w:rsid w:val="00FF2D2E"/>
    <w:rsid w:val="00FF30CA"/>
    <w:rsid w:val="00FF3135"/>
    <w:rsid w:val="00FF3ECE"/>
    <w:rsid w:val="00FF4DC9"/>
    <w:rsid w:val="00FF56C9"/>
    <w:rsid w:val="00FF6EE3"/>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Pr>
      <w:caps/>
    </w:rPr>
  </w:style>
  <w:style w:type="paragraph" w:customStyle="1" w:styleId="ABBR">
    <w:name w:val="ABBR"/>
    <w:basedOn w:val="Annex"/>
  </w:style>
  <w:style w:type="paragraph" w:customStyle="1" w:styleId="AbbrDesc">
    <w:name w:val="AbbrDesc"/>
    <w:basedOn w:val="Normal"/>
    <w:pPr>
      <w:tabs>
        <w:tab w:val="left" w:pos="3060"/>
      </w:tabs>
      <w:jc w:val="both"/>
    </w:pPr>
  </w:style>
  <w:style w:type="paragraph" w:styleId="BodyText">
    <w:name w:val="Body Text"/>
    <w:basedOn w:val="Normal"/>
    <w:link w:val="BodyTextChar"/>
    <w:uiPriority w:val="99"/>
    <w:pPr>
      <w:tabs>
        <w:tab w:val="left" w:pos="3060"/>
      </w:tabs>
      <w:jc w:val="center"/>
    </w:pPr>
  </w:style>
  <w:style w:type="paragraph" w:styleId="BodyTextIndent">
    <w:name w:val="Body Text Indent"/>
    <w:basedOn w:val="Normal"/>
    <w:link w:val="BodyTextIndentChar"/>
    <w:uiPriority w:val="99"/>
    <w:pPr>
      <w:spacing w:after="120"/>
      <w:ind w:left="360"/>
    </w:pPr>
  </w:style>
  <w:style w:type="paragraph" w:styleId="BodyTextIndent3">
    <w:name w:val="Body Text Indent 3"/>
    <w:basedOn w:val="Normal"/>
    <w:link w:val="BodyTextIndent3Char"/>
    <w:uiPriority w:val="99"/>
    <w:pPr>
      <w:spacing w:after="120"/>
      <w:ind w:left="360"/>
    </w:pPr>
    <w:rPr>
      <w:sz w:val="16"/>
    </w:rPr>
  </w:style>
  <w:style w:type="paragraph" w:customStyle="1" w:styleId="Chapter">
    <w:name w:val="Chapter"/>
    <w:basedOn w:val="Normal"/>
    <w:next w:val="Normal"/>
    <w:link w:val="ChapterChar"/>
    <w:autoRedefine/>
    <w:rsid w:val="00973C09"/>
    <w:pPr>
      <w:tabs>
        <w:tab w:val="left" w:pos="1440"/>
      </w:tabs>
      <w:spacing w:after="120"/>
      <w:ind w:left="720"/>
      <w:jc w:val="center"/>
    </w:pPr>
    <w:rPr>
      <w:b/>
      <w:smallCaps/>
      <w:noProof/>
      <w:lang w:val="es-ES_tradnl"/>
    </w:rPr>
  </w:style>
  <w:style w:type="paragraph" w:styleId="DocumentMap">
    <w:name w:val="Document Map"/>
    <w:basedOn w:val="Normal"/>
    <w:semiHidden/>
    <w:pPr>
      <w:shd w:val="clear" w:color="auto" w:fill="000080"/>
    </w:pPr>
    <w:rPr>
      <w:rFonts w:ascii="Tahoma" w:hAnsi="Tahoma"/>
    </w:rPr>
  </w:style>
  <w:style w:type="paragraph" w:customStyle="1" w:styleId="FirstHeading">
    <w:name w:val="FirstHeading"/>
    <w:basedOn w:val="Normal"/>
    <w:link w:val="FirstHeadingChar"/>
    <w:pPr>
      <w:keepNext/>
      <w:tabs>
        <w:tab w:val="left" w:pos="0"/>
        <w:tab w:val="left" w:pos="90"/>
      </w:tabs>
      <w:spacing w:before="120" w:after="120"/>
    </w:pPr>
    <w:rPr>
      <w:b/>
      <w:noProof/>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DB,footnote,single space,fn,FOOTNOTES,Footnote Text Char Char,Footnote Text Char,footnote text"/>
    <w:basedOn w:val="Normal"/>
    <w:link w:val="FootnoteTextChar1"/>
    <w:pPr>
      <w:tabs>
        <w:tab w:val="left" w:pos="360"/>
      </w:tabs>
    </w:pPr>
    <w:rPr>
      <w:sz w:val="18"/>
    </w:rPr>
  </w:style>
  <w:style w:type="paragraph" w:styleId="Header">
    <w:name w:val="header"/>
    <w:basedOn w:val="Normal"/>
    <w:link w:val="HeaderChar"/>
    <w:uiPriority w:val="99"/>
    <w:pPr>
      <w:tabs>
        <w:tab w:val="center" w:pos="4320"/>
        <w:tab w:val="right" w:pos="8640"/>
      </w:tabs>
    </w:pPr>
  </w:style>
  <w:style w:type="character" w:styleId="LineNumber">
    <w:name w:val="line number"/>
    <w:basedOn w:val="DefaultParagraphFont"/>
  </w:style>
  <w:style w:type="paragraph" w:customStyle="1" w:styleId="MasterSourceText">
    <w:name w:val="Master_SourceText"/>
    <w:basedOn w:val="Normal"/>
    <w:pPr>
      <w:tabs>
        <w:tab w:val="left" w:pos="1440"/>
      </w:tabs>
      <w:ind w:left="1440" w:hanging="720"/>
      <w:jc w:val="both"/>
    </w:pPr>
  </w:style>
  <w:style w:type="paragraph" w:customStyle="1" w:styleId="Newpage">
    <w:name w:val="Newpage"/>
    <w:basedOn w:val="Chapter"/>
    <w:pPr>
      <w:tabs>
        <w:tab w:val="left" w:pos="3060"/>
      </w:tabs>
      <w:spacing w:after="0"/>
      <w:ind w:left="0"/>
    </w:pPr>
    <w:rPr>
      <w:noProof w:val="0"/>
    </w:rPr>
  </w:style>
  <w:style w:type="character" w:styleId="PageNumber">
    <w:name w:val="page number"/>
    <w:basedOn w:val="DefaultParagraphFont"/>
  </w:style>
  <w:style w:type="paragraph" w:customStyle="1" w:styleId="Paragraph">
    <w:name w:val="Paragraph"/>
    <w:basedOn w:val="BodyTextIndent"/>
    <w:link w:val="ParagraphChar"/>
    <w:pPr>
      <w:numPr>
        <w:ilvl w:val="1"/>
        <w:numId w:val="3"/>
      </w:numPr>
      <w:spacing w:before="120"/>
      <w:jc w:val="both"/>
      <w:outlineLvl w:val="1"/>
    </w:pPr>
  </w:style>
  <w:style w:type="paragraph" w:customStyle="1" w:styleId="RegheadTab">
    <w:name w:val="RegheadTab"/>
    <w:basedOn w:val="FirstHeading"/>
    <w:pPr>
      <w:tabs>
        <w:tab w:val="num" w:pos="504"/>
      </w:tabs>
      <w:spacing w:after="0"/>
      <w:ind w:left="504" w:hanging="504"/>
      <w:jc w:val="center"/>
    </w:pPr>
  </w:style>
  <w:style w:type="paragraph" w:customStyle="1" w:styleId="SecHeading">
    <w:name w:val="SecHeading"/>
    <w:basedOn w:val="Normal"/>
    <w:next w:val="Paragraph"/>
    <w:link w:val="SecHeadingChar"/>
    <w:pPr>
      <w:keepNext/>
      <w:numPr>
        <w:ilvl w:val="1"/>
        <w:numId w:val="4"/>
      </w:numPr>
      <w:spacing w:before="120" w:after="120"/>
    </w:pPr>
    <w:rPr>
      <w:b/>
    </w:rPr>
  </w:style>
  <w:style w:type="paragraph" w:customStyle="1" w:styleId="SubHeading1">
    <w:name w:val="SubHeading1"/>
    <w:basedOn w:val="SecHeading"/>
    <w:link w:val="SubHeading1Char"/>
    <w:pPr>
      <w:numPr>
        <w:ilvl w:val="2"/>
      </w:numPr>
    </w:pPr>
  </w:style>
  <w:style w:type="paragraph" w:customStyle="1" w:styleId="Subheading2">
    <w:name w:val="Subheading2"/>
    <w:basedOn w:val="SecHeading"/>
    <w:link w:val="Subheading2Char"/>
    <w:pPr>
      <w:numPr>
        <w:ilvl w:val="3"/>
      </w:numPr>
    </w:pPr>
  </w:style>
  <w:style w:type="paragraph" w:customStyle="1" w:styleId="subpar">
    <w:name w:val="subpar"/>
    <w:basedOn w:val="BodyTextIndent3"/>
    <w:link w:val="subparChar"/>
    <w:pPr>
      <w:numPr>
        <w:ilvl w:val="2"/>
        <w:numId w:val="3"/>
      </w:numPr>
      <w:spacing w:before="120"/>
      <w:jc w:val="both"/>
      <w:outlineLvl w:val="2"/>
    </w:pPr>
    <w:rPr>
      <w:sz w:val="24"/>
    </w:rPr>
  </w:style>
  <w:style w:type="paragraph" w:customStyle="1" w:styleId="SubSubPar">
    <w:name w:val="SubSubPar"/>
    <w:basedOn w:val="subpar"/>
    <w:link w:val="SubSubParChar"/>
    <w:pPr>
      <w:numPr>
        <w:ilvl w:val="3"/>
      </w:numPr>
      <w:tabs>
        <w:tab w:val="left" w:pos="0"/>
      </w:tabs>
    </w:pPr>
  </w:style>
  <w:style w:type="paragraph" w:styleId="Title">
    <w:name w:val="Title"/>
    <w:basedOn w:val="Normal"/>
    <w:qFormat/>
    <w:pPr>
      <w:tabs>
        <w:tab w:val="left" w:pos="1440"/>
        <w:tab w:val="left" w:pos="3060"/>
      </w:tabs>
      <w:jc w:val="center"/>
      <w:outlineLvl w:val="0"/>
    </w:pPr>
  </w:style>
  <w:style w:type="paragraph" w:styleId="TOC1">
    <w:name w:val="toc 1"/>
    <w:basedOn w:val="Normal"/>
    <w:next w:val="Normal"/>
    <w:autoRedefine/>
    <w:uiPriority w:val="39"/>
    <w:qFormat/>
    <w:rsid w:val="00216691"/>
    <w:pPr>
      <w:tabs>
        <w:tab w:val="left" w:pos="547"/>
        <w:tab w:val="right" w:leader="dot" w:pos="9360"/>
      </w:tabs>
      <w:spacing w:before="240" w:after="240"/>
      <w:ind w:left="547" w:hanging="547"/>
    </w:pPr>
    <w:rPr>
      <w:smallCaps/>
      <w:noProof/>
    </w:rPr>
  </w:style>
  <w:style w:type="paragraph" w:styleId="TOC2">
    <w:name w:val="toc 2"/>
    <w:basedOn w:val="Normal"/>
    <w:next w:val="Normal"/>
    <w:autoRedefine/>
    <w:uiPriority w:val="39"/>
    <w:qFormat/>
    <w:rsid w:val="00812494"/>
    <w:pPr>
      <w:tabs>
        <w:tab w:val="left" w:pos="1152"/>
        <w:tab w:val="right" w:leader="dot" w:pos="9360"/>
      </w:tabs>
      <w:ind w:left="1167" w:hanging="605"/>
    </w:pPr>
    <w:rPr>
      <w:noProof/>
      <w:szCs w:val="24"/>
    </w:rPr>
  </w:style>
  <w:style w:type="paragraph" w:styleId="TOC3">
    <w:name w:val="toc 3"/>
    <w:basedOn w:val="Normal"/>
    <w:next w:val="Normal"/>
    <w:autoRedefine/>
    <w:uiPriority w:val="39"/>
    <w:qFormat/>
    <w:rsid w:val="008A7DA4"/>
    <w:pPr>
      <w:tabs>
        <w:tab w:val="left" w:pos="1714"/>
        <w:tab w:val="right" w:leader="dot" w:pos="9360"/>
      </w:tabs>
      <w:ind w:left="1714" w:hanging="562"/>
    </w:pPr>
    <w:rPr>
      <w:noProof/>
      <w:szCs w:val="24"/>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rPr>
      <w:color w:val="0000FF"/>
      <w:u w:val="single"/>
    </w:rPr>
  </w:style>
  <w:style w:type="paragraph" w:styleId="BodyText3">
    <w:name w:val="Body Text 3"/>
    <w:basedOn w:val="Normal"/>
    <w:pPr>
      <w:jc w:val="both"/>
    </w:pPr>
    <w:rPr>
      <w:i/>
      <w:sz w:val="22"/>
    </w:rPr>
  </w:style>
  <w:style w:type="character" w:styleId="FootnoteReference">
    <w:name w:val="footnote reference"/>
    <w:basedOn w:val="DefaultParagraphFont"/>
    <w:rPr>
      <w:rFonts w:ascii="Times New Roman" w:hAnsi="Times New Roman"/>
      <w:sz w:val="24"/>
      <w:vertAlign w:val="superscript"/>
    </w:rPr>
  </w:style>
  <w:style w:type="paragraph" w:styleId="BodyText2">
    <w:name w:val="Body Text 2"/>
    <w:basedOn w:val="Normal"/>
    <w:pPr>
      <w:jc w:val="both"/>
    </w:pPr>
    <w:rPr>
      <w:sz w:val="15"/>
    </w:rPr>
  </w:style>
  <w:style w:type="paragraph" w:styleId="Caption">
    <w:name w:val="caption"/>
    <w:basedOn w:val="Normal"/>
    <w:next w:val="Normal"/>
    <w:uiPriority w:val="35"/>
    <w:qFormat/>
    <w:pPr>
      <w:spacing w:before="120" w:after="120"/>
    </w:pPr>
    <w:rPr>
      <w:b/>
    </w:rPr>
  </w:style>
  <w:style w:type="paragraph" w:styleId="Subtitle">
    <w:name w:val="Subtitle"/>
    <w:basedOn w:val="Normal"/>
    <w:qFormat/>
    <w:pPr>
      <w:jc w:val="both"/>
    </w:pPr>
    <w:rPr>
      <w:b/>
      <w:sz w:val="22"/>
    </w:rPr>
  </w:style>
  <w:style w:type="paragraph" w:customStyle="1" w:styleId="StudyHeading1">
    <w:name w:val="Study Heading 1"/>
    <w:basedOn w:val="Normal"/>
    <w:next w:val="Normal"/>
    <w:autoRedefine/>
    <w:pPr>
      <w:spacing w:after="240"/>
      <w:jc w:val="center"/>
      <w:outlineLvl w:val="0"/>
    </w:pPr>
    <w:rPr>
      <w:b/>
      <w:iCs/>
      <w:caps/>
    </w:rPr>
  </w:style>
  <w:style w:type="paragraph" w:customStyle="1" w:styleId="BankNormal">
    <w:name w:val="BankNormal"/>
    <w:basedOn w:val="Normal"/>
    <w:pPr>
      <w:spacing w:after="240"/>
    </w:pPr>
  </w:style>
  <w:style w:type="paragraph" w:customStyle="1" w:styleId="Bulletwospace">
    <w:name w:val="Bullet (w/o space)"/>
    <w:basedOn w:val="Normal"/>
    <w:pPr>
      <w:numPr>
        <w:numId w:val="2"/>
      </w:numPr>
      <w:tabs>
        <w:tab w:val="clear" w:pos="360"/>
      </w:tabs>
      <w:ind w:left="720"/>
    </w:pPr>
    <w:rPr>
      <w:szCs w:val="24"/>
    </w:rPr>
  </w:style>
  <w:style w:type="paragraph" w:customStyle="1" w:styleId="xl24">
    <w:name w:val="xl24"/>
    <w:basedOn w:val="Normal"/>
    <w:pPr>
      <w:pBdr>
        <w:lef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9">
    <w:name w:val="xl29"/>
    <w:basedOn w:val="Normal"/>
    <w:pPr>
      <w:pBdr>
        <w:top w:val="single" w:sz="8" w:space="0" w:color="auto"/>
        <w:left w:val="single" w:sz="8"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0">
    <w:name w:val="xl30"/>
    <w:basedOn w:val="Normal"/>
    <w:pPr>
      <w:pBdr>
        <w:top w:val="single" w:sz="8"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1">
    <w:name w:val="xl31"/>
    <w:basedOn w:val="Normal"/>
    <w:pPr>
      <w:pBdr>
        <w:top w:val="single" w:sz="8" w:space="0" w:color="auto"/>
        <w:bottom w:val="single" w:sz="4" w:space="0" w:color="auto"/>
        <w:right w:val="single" w:sz="8"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3">
    <w:name w:val="xl33"/>
    <w:basedOn w:val="Normal"/>
    <w:pPr>
      <w:pBdr>
        <w:right w:val="single" w:sz="8"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4">
    <w:name w:val="xl34"/>
    <w:basedOn w:val="Normal"/>
    <w:pPr>
      <w:pBdr>
        <w:right w:val="single" w:sz="8"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
    <w:pPr>
      <w:pBdr>
        <w:right w:val="single" w:sz="8" w:space="0" w:color="auto"/>
      </w:pBdr>
      <w:spacing w:before="100" w:beforeAutospacing="1" w:after="100" w:afterAutospacing="1"/>
      <w:jc w:val="right"/>
    </w:pPr>
    <w:rPr>
      <w:rFonts w:ascii="Arial" w:eastAsia="Arial Unicode MS" w:hAnsi="Arial" w:cs="Arial"/>
      <w:szCs w:val="24"/>
    </w:rPr>
  </w:style>
  <w:style w:type="paragraph" w:customStyle="1" w:styleId="xl36">
    <w:name w:val="xl36"/>
    <w:basedOn w:val="Normal"/>
    <w:pPr>
      <w:spacing w:before="100" w:beforeAutospacing="1" w:after="100" w:afterAutospacing="1"/>
    </w:pPr>
    <w:rPr>
      <w:rFonts w:ascii="Arial" w:eastAsia="Arial Unicode MS" w:hAnsi="Arial" w:cs="Arial"/>
      <w:szCs w:val="24"/>
    </w:rPr>
  </w:style>
  <w:style w:type="paragraph" w:customStyle="1" w:styleId="xl37">
    <w:name w:val="xl37"/>
    <w:basedOn w:val="Normal"/>
    <w:pPr>
      <w:pBdr>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bottom w:val="single" w:sz="8" w:space="0" w:color="auto"/>
      </w:pBdr>
      <w:spacing w:before="100" w:beforeAutospacing="1" w:after="100" w:afterAutospacing="1"/>
    </w:pPr>
    <w:rPr>
      <w:rFonts w:ascii="Arial" w:eastAsia="Arial Unicode MS" w:hAnsi="Arial" w:cs="Arial"/>
      <w:szCs w:val="24"/>
    </w:rPr>
  </w:style>
  <w:style w:type="paragraph" w:customStyle="1" w:styleId="bull1">
    <w:name w:val="bull1"/>
    <w:basedOn w:val="Normal"/>
    <w:pPr>
      <w:tabs>
        <w:tab w:val="left" w:pos="720"/>
      </w:tabs>
      <w:overflowPunct w:val="0"/>
      <w:autoSpaceDE w:val="0"/>
      <w:autoSpaceDN w:val="0"/>
      <w:adjustRightInd w:val="0"/>
      <w:ind w:left="720" w:hanging="360"/>
      <w:textAlignment w:val="baseline"/>
    </w:pPr>
    <w:rPr>
      <w:lang w:val="es-CL"/>
    </w:rPr>
  </w:style>
  <w:style w:type="paragraph" w:customStyle="1" w:styleId="bull2">
    <w:name w:val="bull2"/>
    <w:basedOn w:val="bull1"/>
    <w:pPr>
      <w:tabs>
        <w:tab w:val="clear" w:pos="720"/>
        <w:tab w:val="left" w:pos="360"/>
      </w:tabs>
    </w:pPr>
    <w:rPr>
      <w:lang w:val="en-US"/>
    </w:rPr>
  </w:style>
  <w:style w:type="paragraph" w:styleId="BodyTextIndent2">
    <w:name w:val="Body Text Indent 2"/>
    <w:basedOn w:val="Normal"/>
    <w:pPr>
      <w:ind w:left="-360"/>
    </w:pPr>
  </w:style>
  <w:style w:type="paragraph" w:styleId="TableofFigures">
    <w:name w:val="table of figures"/>
    <w:basedOn w:val="Normal"/>
    <w:next w:val="Normal"/>
    <w:semiHidden/>
    <w:pPr>
      <w:ind w:left="480" w:hanging="48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small1">
    <w:name w:val="small1"/>
    <w:basedOn w:val="DefaultParagraphFont"/>
    <w:rPr>
      <w:rFonts w:ascii="Verdana" w:hAnsi="Verdana" w:hint="default"/>
      <w:sz w:val="18"/>
      <w:szCs w:val="18"/>
    </w:rPr>
  </w:style>
  <w:style w:type="character" w:customStyle="1" w:styleId="BodyTextChar">
    <w:name w:val="Body Text Char"/>
    <w:basedOn w:val="DefaultParagraphFont"/>
    <w:link w:val="BodyText"/>
    <w:uiPriority w:val="99"/>
    <w:rsid w:val="003F558A"/>
    <w:rPr>
      <w:sz w:val="24"/>
      <w:lang w:val="en-US" w:eastAsia="en-US" w:bidi="ar-SA"/>
    </w:rPr>
  </w:style>
  <w:style w:type="character" w:customStyle="1" w:styleId="FootnoteTextChar1">
    <w:name w:val="Footnote Text Char1"/>
    <w:aliases w:val="ADB Char,footnote Char,single space Char,fn Char,FOOTNOTES Char,Footnote Text Char Char Char,Footnote Text Char Char1,footnote text Char"/>
    <w:basedOn w:val="DefaultParagraphFont"/>
    <w:link w:val="FootnoteText"/>
    <w:semiHidden/>
    <w:rsid w:val="003F558A"/>
    <w:rPr>
      <w:sz w:val="18"/>
      <w:lang w:val="en-US" w:eastAsia="en-US" w:bidi="ar-SA"/>
    </w:rPr>
  </w:style>
  <w:style w:type="paragraph" w:customStyle="1" w:styleId="Julietita">
    <w:name w:val="Julietita"/>
    <w:basedOn w:val="Normal"/>
    <w:link w:val="JulietitaChar"/>
    <w:rsid w:val="003F558A"/>
    <w:pPr>
      <w:numPr>
        <w:numId w:val="5"/>
      </w:numPr>
      <w:spacing w:before="120" w:after="120" w:line="360" w:lineRule="auto"/>
    </w:pPr>
    <w:rPr>
      <w:rFonts w:ascii="Calibri" w:eastAsia="Calibri" w:hAnsi="Calibri" w:cs="Calibri"/>
      <w:b/>
      <w:bCs/>
      <w:szCs w:val="24"/>
    </w:rPr>
  </w:style>
  <w:style w:type="character" w:customStyle="1" w:styleId="JulietitaChar">
    <w:name w:val="Julietita Char"/>
    <w:basedOn w:val="DefaultParagraphFont"/>
    <w:link w:val="Julietita"/>
    <w:locked/>
    <w:rsid w:val="003F558A"/>
    <w:rPr>
      <w:rFonts w:ascii="Calibri" w:eastAsia="Calibri" w:hAnsi="Calibri" w:cs="Calibri"/>
      <w:b/>
      <w:bCs/>
      <w:sz w:val="24"/>
      <w:szCs w:val="24"/>
    </w:rPr>
  </w:style>
  <w:style w:type="paragraph" w:styleId="ListParagraph">
    <w:name w:val="List Paragraph"/>
    <w:basedOn w:val="Normal"/>
    <w:uiPriority w:val="34"/>
    <w:qFormat/>
    <w:rsid w:val="007D6634"/>
    <w:pPr>
      <w:ind w:left="720"/>
    </w:pPr>
  </w:style>
  <w:style w:type="character" w:customStyle="1" w:styleId="HeaderChar">
    <w:name w:val="Header Char"/>
    <w:basedOn w:val="DefaultParagraphFont"/>
    <w:link w:val="Header"/>
    <w:uiPriority w:val="99"/>
    <w:rsid w:val="00C63104"/>
    <w:rPr>
      <w:sz w:val="24"/>
    </w:rPr>
  </w:style>
  <w:style w:type="character" w:styleId="CommentReference">
    <w:name w:val="annotation reference"/>
    <w:basedOn w:val="DefaultParagraphFont"/>
    <w:uiPriority w:val="99"/>
    <w:rsid w:val="00041E82"/>
    <w:rPr>
      <w:sz w:val="16"/>
      <w:szCs w:val="16"/>
    </w:rPr>
  </w:style>
  <w:style w:type="paragraph" w:styleId="CommentText">
    <w:name w:val="annotation text"/>
    <w:basedOn w:val="Normal"/>
    <w:link w:val="CommentTextChar"/>
    <w:uiPriority w:val="99"/>
    <w:rsid w:val="00041E82"/>
    <w:rPr>
      <w:sz w:val="20"/>
    </w:rPr>
  </w:style>
  <w:style w:type="character" w:customStyle="1" w:styleId="CommentTextChar">
    <w:name w:val="Comment Text Char"/>
    <w:basedOn w:val="DefaultParagraphFont"/>
    <w:link w:val="CommentText"/>
    <w:uiPriority w:val="99"/>
    <w:rsid w:val="00041E82"/>
  </w:style>
  <w:style w:type="paragraph" w:styleId="CommentSubject">
    <w:name w:val="annotation subject"/>
    <w:basedOn w:val="CommentText"/>
    <w:next w:val="CommentText"/>
    <w:link w:val="CommentSubjectChar"/>
    <w:uiPriority w:val="99"/>
    <w:rsid w:val="00041E82"/>
    <w:rPr>
      <w:b/>
      <w:bCs/>
    </w:rPr>
  </w:style>
  <w:style w:type="character" w:customStyle="1" w:styleId="CommentSubjectChar">
    <w:name w:val="Comment Subject Char"/>
    <w:basedOn w:val="CommentTextChar"/>
    <w:link w:val="CommentSubject"/>
    <w:uiPriority w:val="99"/>
    <w:rsid w:val="00041E82"/>
    <w:rPr>
      <w:b/>
      <w:bCs/>
    </w:rPr>
  </w:style>
  <w:style w:type="table" w:styleId="TableGrid">
    <w:name w:val="Table Grid"/>
    <w:basedOn w:val="TableNormal"/>
    <w:uiPriority w:val="59"/>
    <w:rsid w:val="00485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styletitles">
    <w:name w:val="MSA style titles"/>
    <w:basedOn w:val="Heading1"/>
    <w:link w:val="MSAstyletitlesChar"/>
    <w:qFormat/>
    <w:rsid w:val="000E44D3"/>
    <w:pPr>
      <w:keepLines/>
      <w:numPr>
        <w:numId w:val="19"/>
      </w:numPr>
      <w:spacing w:before="480" w:after="0" w:line="276" w:lineRule="auto"/>
    </w:pPr>
    <w:rPr>
      <w:rFonts w:asciiTheme="majorHAnsi" w:eastAsiaTheme="majorEastAsia" w:hAnsiTheme="majorHAnsi" w:cstheme="majorBidi"/>
      <w:bCs/>
      <w:color w:val="000000" w:themeColor="text1"/>
      <w:kern w:val="0"/>
      <w:szCs w:val="28"/>
      <w:lang w:val="es-ES"/>
    </w:rPr>
  </w:style>
  <w:style w:type="character" w:customStyle="1" w:styleId="MSAstyletitlesChar">
    <w:name w:val="MSA style titles Char"/>
    <w:basedOn w:val="DefaultParagraphFont"/>
    <w:link w:val="MSAstyletitles"/>
    <w:rsid w:val="00C075EA"/>
    <w:rPr>
      <w:rFonts w:asciiTheme="majorHAnsi" w:eastAsiaTheme="majorEastAsia" w:hAnsiTheme="majorHAnsi" w:cstheme="majorBidi"/>
      <w:b/>
      <w:bCs/>
      <w:color w:val="000000" w:themeColor="text1"/>
      <w:sz w:val="28"/>
      <w:szCs w:val="28"/>
      <w:lang w:val="es-ES"/>
    </w:rPr>
  </w:style>
  <w:style w:type="paragraph" w:styleId="NormalWeb">
    <w:name w:val="Normal (Web)"/>
    <w:basedOn w:val="Normal"/>
    <w:uiPriority w:val="99"/>
    <w:unhideWhenUsed/>
    <w:rsid w:val="00D05352"/>
    <w:pPr>
      <w:spacing w:before="100" w:beforeAutospacing="1" w:after="100" w:afterAutospacing="1"/>
    </w:pPr>
    <w:rPr>
      <w:szCs w:val="24"/>
    </w:rPr>
  </w:style>
  <w:style w:type="paragraph" w:styleId="Revision">
    <w:name w:val="Revision"/>
    <w:hidden/>
    <w:uiPriority w:val="99"/>
    <w:semiHidden/>
    <w:rsid w:val="003D1CD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D1CD7"/>
    <w:rPr>
      <w:rFonts w:ascii="Tahoma" w:hAnsi="Tahoma" w:cs="Tahoma"/>
      <w:sz w:val="16"/>
      <w:szCs w:val="16"/>
    </w:rPr>
  </w:style>
  <w:style w:type="character" w:customStyle="1" w:styleId="Heading1Char">
    <w:name w:val="Heading 1 Char"/>
    <w:basedOn w:val="DefaultParagraphFont"/>
    <w:link w:val="Heading1"/>
    <w:rsid w:val="003D1CD7"/>
    <w:rPr>
      <w:rFonts w:ascii="Arial" w:hAnsi="Arial"/>
      <w:b/>
      <w:kern w:val="28"/>
      <w:sz w:val="28"/>
    </w:rPr>
  </w:style>
  <w:style w:type="character" w:customStyle="1" w:styleId="Heading2Char">
    <w:name w:val="Heading 2 Char"/>
    <w:basedOn w:val="DefaultParagraphFont"/>
    <w:link w:val="Heading2"/>
    <w:uiPriority w:val="9"/>
    <w:rsid w:val="003D1CD7"/>
    <w:rPr>
      <w:rFonts w:ascii="Arial" w:hAnsi="Arial"/>
      <w:b/>
      <w:i/>
      <w:sz w:val="24"/>
    </w:rPr>
  </w:style>
  <w:style w:type="character" w:customStyle="1" w:styleId="FooterChar">
    <w:name w:val="Footer Char"/>
    <w:basedOn w:val="DefaultParagraphFont"/>
    <w:link w:val="Footer"/>
    <w:uiPriority w:val="99"/>
    <w:rsid w:val="003D1CD7"/>
    <w:rPr>
      <w:sz w:val="24"/>
    </w:rPr>
  </w:style>
  <w:style w:type="character" w:customStyle="1" w:styleId="ChapterChar">
    <w:name w:val="Chapter Char"/>
    <w:basedOn w:val="DefaultParagraphFont"/>
    <w:link w:val="Chapter"/>
    <w:rsid w:val="00973C09"/>
    <w:rPr>
      <w:b/>
      <w:smallCaps/>
      <w:noProof/>
      <w:sz w:val="24"/>
      <w:lang w:val="es-ES_tradnl"/>
    </w:rPr>
  </w:style>
  <w:style w:type="character" w:customStyle="1" w:styleId="FirstHeadingChar">
    <w:name w:val="FirstHeading Char"/>
    <w:basedOn w:val="DefaultParagraphFont"/>
    <w:link w:val="FirstHeading"/>
    <w:rsid w:val="003D1CD7"/>
    <w:rPr>
      <w:b/>
      <w:noProof/>
      <w:sz w:val="24"/>
    </w:rPr>
  </w:style>
  <w:style w:type="character" w:customStyle="1" w:styleId="SecHeadingChar">
    <w:name w:val="SecHeading Char"/>
    <w:basedOn w:val="DefaultParagraphFont"/>
    <w:link w:val="SecHeading"/>
    <w:rsid w:val="003D1CD7"/>
    <w:rPr>
      <w:b/>
      <w:sz w:val="24"/>
    </w:rPr>
  </w:style>
  <w:style w:type="character" w:customStyle="1" w:styleId="SubHeading1Char">
    <w:name w:val="SubHeading1 Char"/>
    <w:basedOn w:val="DefaultParagraphFont"/>
    <w:link w:val="SubHeading1"/>
    <w:rsid w:val="003D1CD7"/>
    <w:rPr>
      <w:b/>
      <w:sz w:val="24"/>
    </w:rPr>
  </w:style>
  <w:style w:type="character" w:customStyle="1" w:styleId="Subheading2Char">
    <w:name w:val="Subheading2 Char"/>
    <w:basedOn w:val="DefaultParagraphFont"/>
    <w:link w:val="Subheading2"/>
    <w:rsid w:val="003D1CD7"/>
    <w:rPr>
      <w:b/>
      <w:sz w:val="24"/>
    </w:rPr>
  </w:style>
  <w:style w:type="character" w:customStyle="1" w:styleId="ParagraphChar">
    <w:name w:val="Paragraph Char"/>
    <w:basedOn w:val="DefaultParagraphFont"/>
    <w:link w:val="Paragraph"/>
    <w:rsid w:val="003D1CD7"/>
    <w:rPr>
      <w:sz w:val="24"/>
    </w:rPr>
  </w:style>
  <w:style w:type="character" w:customStyle="1" w:styleId="subparChar">
    <w:name w:val="subpar Char"/>
    <w:basedOn w:val="DefaultParagraphFont"/>
    <w:link w:val="subpar"/>
    <w:rsid w:val="003D1CD7"/>
    <w:rPr>
      <w:sz w:val="24"/>
    </w:rPr>
  </w:style>
  <w:style w:type="character" w:customStyle="1" w:styleId="SubSubParChar">
    <w:name w:val="SubSubPar Char"/>
    <w:basedOn w:val="DefaultParagraphFont"/>
    <w:link w:val="SubSubPar"/>
    <w:rsid w:val="003D1CD7"/>
    <w:rPr>
      <w:sz w:val="24"/>
    </w:rPr>
  </w:style>
  <w:style w:type="paragraph" w:customStyle="1" w:styleId="Regtable">
    <w:name w:val="Regtable"/>
    <w:basedOn w:val="Normal"/>
    <w:link w:val="RegtableChar"/>
    <w:rsid w:val="003D1CD7"/>
    <w:pPr>
      <w:keepLines/>
      <w:framePr w:wrap="around" w:vAnchor="text" w:hAnchor="text" w:y="1"/>
      <w:spacing w:before="20" w:after="20"/>
    </w:pPr>
    <w:rPr>
      <w:rFonts w:eastAsiaTheme="minorHAnsi"/>
      <w:sz w:val="20"/>
      <w:szCs w:val="22"/>
      <w:lang w:val="es-ES"/>
    </w:rPr>
  </w:style>
  <w:style w:type="character" w:customStyle="1" w:styleId="RegtableChar">
    <w:name w:val="Regtable Char"/>
    <w:basedOn w:val="DefaultParagraphFont"/>
    <w:link w:val="Regtable"/>
    <w:rsid w:val="003D1CD7"/>
    <w:rPr>
      <w:rFonts w:eastAsiaTheme="minorHAnsi"/>
      <w:szCs w:val="22"/>
      <w:lang w:val="es-ES"/>
    </w:rPr>
  </w:style>
  <w:style w:type="paragraph" w:customStyle="1" w:styleId="TableTitle">
    <w:name w:val="TableTitle"/>
    <w:basedOn w:val="Normal"/>
    <w:link w:val="TableTitleChar"/>
    <w:rsid w:val="003D1CD7"/>
    <w:pPr>
      <w:keepNext/>
      <w:framePr w:wrap="around" w:vAnchor="text" w:hAnchor="text" w:y="1"/>
      <w:spacing w:before="20" w:after="20"/>
      <w:jc w:val="center"/>
    </w:pPr>
    <w:rPr>
      <w:rFonts w:ascii="Times New Roman Bold" w:eastAsiaTheme="minorHAnsi" w:hAnsi="Times New Roman Bold" w:cstheme="minorBidi"/>
      <w:b/>
      <w:spacing w:val="-3"/>
      <w:sz w:val="20"/>
      <w:szCs w:val="22"/>
      <w:lang w:val="es-ES"/>
    </w:rPr>
  </w:style>
  <w:style w:type="character" w:customStyle="1" w:styleId="TableTitleChar">
    <w:name w:val="TableTitle Char"/>
    <w:basedOn w:val="DefaultParagraphFont"/>
    <w:link w:val="TableTitle"/>
    <w:rsid w:val="003D1CD7"/>
    <w:rPr>
      <w:rFonts w:ascii="Times New Roman Bold" w:eastAsiaTheme="minorHAnsi" w:hAnsi="Times New Roman Bold" w:cstheme="minorBidi"/>
      <w:b/>
      <w:spacing w:val="-3"/>
      <w:szCs w:val="22"/>
      <w:lang w:val="es-ES"/>
    </w:rPr>
  </w:style>
  <w:style w:type="character" w:customStyle="1" w:styleId="Heading3Char">
    <w:name w:val="Heading 3 Char"/>
    <w:basedOn w:val="DefaultParagraphFont"/>
    <w:link w:val="Heading3"/>
    <w:uiPriority w:val="9"/>
    <w:rsid w:val="003D1CD7"/>
    <w:rPr>
      <w:rFonts w:ascii="Arial" w:hAnsi="Arial"/>
      <w:sz w:val="24"/>
    </w:rPr>
  </w:style>
  <w:style w:type="character" w:customStyle="1" w:styleId="Heading4Char">
    <w:name w:val="Heading 4 Char"/>
    <w:basedOn w:val="DefaultParagraphFont"/>
    <w:link w:val="Heading4"/>
    <w:uiPriority w:val="9"/>
    <w:rsid w:val="003D1CD7"/>
    <w:rPr>
      <w:rFonts w:ascii="Arial" w:hAnsi="Arial"/>
      <w:b/>
      <w:sz w:val="24"/>
    </w:rPr>
  </w:style>
  <w:style w:type="character" w:customStyle="1" w:styleId="Heading5Char">
    <w:name w:val="Heading 5 Char"/>
    <w:basedOn w:val="DefaultParagraphFont"/>
    <w:link w:val="Heading5"/>
    <w:uiPriority w:val="9"/>
    <w:rsid w:val="003D1CD7"/>
    <w:rPr>
      <w:sz w:val="22"/>
    </w:rPr>
  </w:style>
  <w:style w:type="character" w:customStyle="1" w:styleId="Heading6Char">
    <w:name w:val="Heading 6 Char"/>
    <w:basedOn w:val="DefaultParagraphFont"/>
    <w:link w:val="Heading6"/>
    <w:uiPriority w:val="9"/>
    <w:rsid w:val="003D1CD7"/>
    <w:rPr>
      <w:i/>
      <w:sz w:val="22"/>
    </w:rPr>
  </w:style>
  <w:style w:type="character" w:customStyle="1" w:styleId="Heading7Char">
    <w:name w:val="Heading 7 Char"/>
    <w:basedOn w:val="DefaultParagraphFont"/>
    <w:link w:val="Heading7"/>
    <w:uiPriority w:val="9"/>
    <w:rsid w:val="003D1CD7"/>
    <w:rPr>
      <w:rFonts w:ascii="Arial" w:hAnsi="Arial"/>
      <w:sz w:val="24"/>
    </w:rPr>
  </w:style>
  <w:style w:type="character" w:customStyle="1" w:styleId="Heading8Char">
    <w:name w:val="Heading 8 Char"/>
    <w:basedOn w:val="DefaultParagraphFont"/>
    <w:link w:val="Heading8"/>
    <w:uiPriority w:val="9"/>
    <w:rsid w:val="003D1CD7"/>
    <w:rPr>
      <w:rFonts w:ascii="Arial" w:hAnsi="Arial"/>
      <w:i/>
      <w:sz w:val="24"/>
    </w:rPr>
  </w:style>
  <w:style w:type="character" w:customStyle="1" w:styleId="Heading9Char">
    <w:name w:val="Heading 9 Char"/>
    <w:basedOn w:val="DefaultParagraphFont"/>
    <w:link w:val="Heading9"/>
    <w:uiPriority w:val="9"/>
    <w:rsid w:val="003D1CD7"/>
    <w:rPr>
      <w:rFonts w:ascii="Arial" w:hAnsi="Arial"/>
      <w:b/>
      <w:i/>
      <w:sz w:val="18"/>
    </w:rPr>
  </w:style>
  <w:style w:type="character" w:customStyle="1" w:styleId="BodyTextIndentChar">
    <w:name w:val="Body Text Indent Char"/>
    <w:basedOn w:val="DefaultParagraphFont"/>
    <w:link w:val="BodyTextIndent"/>
    <w:uiPriority w:val="99"/>
    <w:rsid w:val="003D1CD7"/>
    <w:rPr>
      <w:sz w:val="24"/>
    </w:rPr>
  </w:style>
  <w:style w:type="character" w:customStyle="1" w:styleId="BodyTextIndent3Char">
    <w:name w:val="Body Text Indent 3 Char"/>
    <w:basedOn w:val="DefaultParagraphFont"/>
    <w:link w:val="BodyTextIndent3"/>
    <w:uiPriority w:val="99"/>
    <w:rsid w:val="003D1CD7"/>
    <w:rPr>
      <w:sz w:val="16"/>
    </w:rPr>
  </w:style>
  <w:style w:type="paragraph" w:styleId="TOCHeading">
    <w:name w:val="TOC Heading"/>
    <w:basedOn w:val="Heading1"/>
    <w:next w:val="Normal"/>
    <w:uiPriority w:val="39"/>
    <w:semiHidden/>
    <w:unhideWhenUsed/>
    <w:qFormat/>
    <w:rsid w:val="003D1CD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character" w:styleId="BookTitle">
    <w:name w:val="Book Title"/>
    <w:basedOn w:val="DefaultParagraphFont"/>
    <w:uiPriority w:val="33"/>
    <w:qFormat/>
    <w:rsid w:val="003D1CD7"/>
    <w:rPr>
      <w:b/>
      <w:bCs/>
      <w:smallCaps/>
      <w:spacing w:val="5"/>
    </w:rPr>
  </w:style>
  <w:style w:type="paragraph" w:customStyle="1" w:styleId="Default">
    <w:name w:val="Default"/>
    <w:rsid w:val="003D1CD7"/>
    <w:pPr>
      <w:autoSpaceDE w:val="0"/>
      <w:autoSpaceDN w:val="0"/>
      <w:adjustRightInd w:val="0"/>
    </w:pPr>
    <w:rPr>
      <w:rFonts w:ascii="Arial" w:eastAsiaTheme="minorHAnsi" w:hAnsi="Arial" w:cs="Arial"/>
      <w:color w:val="000000"/>
      <w:sz w:val="24"/>
      <w:szCs w:val="24"/>
    </w:rPr>
  </w:style>
  <w:style w:type="paragraph" w:styleId="PlainText">
    <w:name w:val="Plain Text"/>
    <w:basedOn w:val="Normal"/>
    <w:link w:val="PlainTextChar"/>
    <w:uiPriority w:val="99"/>
    <w:unhideWhenUsed/>
    <w:rsid w:val="003D1CD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1CD7"/>
    <w:rPr>
      <w:rFonts w:ascii="Consolas" w:eastAsiaTheme="minorHAnsi" w:hAnsi="Consolas" w:cstheme="minorBidi"/>
      <w:sz w:val="21"/>
      <w:szCs w:val="21"/>
    </w:rPr>
  </w:style>
  <w:style w:type="character" w:customStyle="1" w:styleId="ADBChar1">
    <w:name w:val="ADB Char1"/>
    <w:aliases w:val="footnote Char1,single space Char1,fn Char1,FOOTNOTES Char1,Footnote Text Char Char Char1,footnote text Char1"/>
    <w:basedOn w:val="DefaultParagraphFont"/>
    <w:rsid w:val="005D157F"/>
    <w:rPr>
      <w:rFonts w:ascii="Times New Roman" w:hAnsi="Times New Roman" w:cs="Times New Roman"/>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Body Text" w:uiPriority="99"/>
    <w:lsdException w:name="Body Text Indent" w:uiPriority="99"/>
    <w:lsdException w:name="Subtitle" w:qFormat="1"/>
    <w:lsdException w:name="Body Text Inden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Pr>
      <w:caps/>
    </w:rPr>
  </w:style>
  <w:style w:type="paragraph" w:customStyle="1" w:styleId="ABBR">
    <w:name w:val="ABBR"/>
    <w:basedOn w:val="Annex"/>
  </w:style>
  <w:style w:type="paragraph" w:customStyle="1" w:styleId="AbbrDesc">
    <w:name w:val="AbbrDesc"/>
    <w:basedOn w:val="Normal"/>
    <w:pPr>
      <w:tabs>
        <w:tab w:val="left" w:pos="3060"/>
      </w:tabs>
      <w:jc w:val="both"/>
    </w:pPr>
  </w:style>
  <w:style w:type="paragraph" w:styleId="BodyText">
    <w:name w:val="Body Text"/>
    <w:basedOn w:val="Normal"/>
    <w:link w:val="BodyTextChar"/>
    <w:uiPriority w:val="99"/>
    <w:pPr>
      <w:tabs>
        <w:tab w:val="left" w:pos="3060"/>
      </w:tabs>
      <w:jc w:val="center"/>
    </w:pPr>
  </w:style>
  <w:style w:type="paragraph" w:styleId="BodyTextIndent">
    <w:name w:val="Body Text Indent"/>
    <w:basedOn w:val="Normal"/>
    <w:link w:val="BodyTextIndentChar"/>
    <w:uiPriority w:val="99"/>
    <w:pPr>
      <w:spacing w:after="120"/>
      <w:ind w:left="360"/>
    </w:pPr>
  </w:style>
  <w:style w:type="paragraph" w:styleId="BodyTextIndent3">
    <w:name w:val="Body Text Indent 3"/>
    <w:basedOn w:val="Normal"/>
    <w:link w:val="BodyTextIndent3Char"/>
    <w:uiPriority w:val="99"/>
    <w:pPr>
      <w:spacing w:after="120"/>
      <w:ind w:left="360"/>
    </w:pPr>
    <w:rPr>
      <w:sz w:val="16"/>
    </w:rPr>
  </w:style>
  <w:style w:type="paragraph" w:customStyle="1" w:styleId="Chapter">
    <w:name w:val="Chapter"/>
    <w:basedOn w:val="Normal"/>
    <w:next w:val="Normal"/>
    <w:link w:val="ChapterChar"/>
    <w:autoRedefine/>
    <w:rsid w:val="00973C09"/>
    <w:pPr>
      <w:tabs>
        <w:tab w:val="left" w:pos="1440"/>
      </w:tabs>
      <w:spacing w:after="120"/>
      <w:ind w:left="720"/>
      <w:jc w:val="center"/>
    </w:pPr>
    <w:rPr>
      <w:b/>
      <w:smallCaps/>
      <w:noProof/>
      <w:lang w:val="es-ES_tradnl"/>
    </w:rPr>
  </w:style>
  <w:style w:type="paragraph" w:styleId="DocumentMap">
    <w:name w:val="Document Map"/>
    <w:basedOn w:val="Normal"/>
    <w:semiHidden/>
    <w:pPr>
      <w:shd w:val="clear" w:color="auto" w:fill="000080"/>
    </w:pPr>
    <w:rPr>
      <w:rFonts w:ascii="Tahoma" w:hAnsi="Tahoma"/>
    </w:rPr>
  </w:style>
  <w:style w:type="paragraph" w:customStyle="1" w:styleId="FirstHeading">
    <w:name w:val="FirstHeading"/>
    <w:basedOn w:val="Normal"/>
    <w:link w:val="FirstHeadingChar"/>
    <w:pPr>
      <w:keepNext/>
      <w:tabs>
        <w:tab w:val="left" w:pos="0"/>
        <w:tab w:val="left" w:pos="90"/>
      </w:tabs>
      <w:spacing w:before="120" w:after="120"/>
    </w:pPr>
    <w:rPr>
      <w:b/>
      <w:noProof/>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DB,footnote,single space,fn,FOOTNOTES,Footnote Text Char Char,Footnote Text Char,footnote text"/>
    <w:basedOn w:val="Normal"/>
    <w:link w:val="FootnoteTextChar1"/>
    <w:pPr>
      <w:tabs>
        <w:tab w:val="left" w:pos="360"/>
      </w:tabs>
    </w:pPr>
    <w:rPr>
      <w:sz w:val="18"/>
    </w:rPr>
  </w:style>
  <w:style w:type="paragraph" w:styleId="Header">
    <w:name w:val="header"/>
    <w:basedOn w:val="Normal"/>
    <w:link w:val="HeaderChar"/>
    <w:uiPriority w:val="99"/>
    <w:pPr>
      <w:tabs>
        <w:tab w:val="center" w:pos="4320"/>
        <w:tab w:val="right" w:pos="8640"/>
      </w:tabs>
    </w:pPr>
  </w:style>
  <w:style w:type="character" w:styleId="LineNumber">
    <w:name w:val="line number"/>
    <w:basedOn w:val="DefaultParagraphFont"/>
  </w:style>
  <w:style w:type="paragraph" w:customStyle="1" w:styleId="MasterSourceText">
    <w:name w:val="Master_SourceText"/>
    <w:basedOn w:val="Normal"/>
    <w:pPr>
      <w:tabs>
        <w:tab w:val="left" w:pos="1440"/>
      </w:tabs>
      <w:ind w:left="1440" w:hanging="720"/>
      <w:jc w:val="both"/>
    </w:pPr>
  </w:style>
  <w:style w:type="paragraph" w:customStyle="1" w:styleId="Newpage">
    <w:name w:val="Newpage"/>
    <w:basedOn w:val="Chapter"/>
    <w:pPr>
      <w:tabs>
        <w:tab w:val="left" w:pos="3060"/>
      </w:tabs>
      <w:spacing w:after="0"/>
      <w:ind w:left="0"/>
    </w:pPr>
    <w:rPr>
      <w:noProof w:val="0"/>
    </w:rPr>
  </w:style>
  <w:style w:type="character" w:styleId="PageNumber">
    <w:name w:val="page number"/>
    <w:basedOn w:val="DefaultParagraphFont"/>
  </w:style>
  <w:style w:type="paragraph" w:customStyle="1" w:styleId="Paragraph">
    <w:name w:val="Paragraph"/>
    <w:basedOn w:val="BodyTextIndent"/>
    <w:link w:val="ParagraphChar"/>
    <w:pPr>
      <w:numPr>
        <w:ilvl w:val="1"/>
        <w:numId w:val="3"/>
      </w:numPr>
      <w:spacing w:before="120"/>
      <w:jc w:val="both"/>
      <w:outlineLvl w:val="1"/>
    </w:pPr>
  </w:style>
  <w:style w:type="paragraph" w:customStyle="1" w:styleId="RegheadTab">
    <w:name w:val="RegheadTab"/>
    <w:basedOn w:val="FirstHeading"/>
    <w:pPr>
      <w:tabs>
        <w:tab w:val="num" w:pos="504"/>
      </w:tabs>
      <w:spacing w:after="0"/>
      <w:ind w:left="504" w:hanging="504"/>
      <w:jc w:val="center"/>
    </w:pPr>
  </w:style>
  <w:style w:type="paragraph" w:customStyle="1" w:styleId="SecHeading">
    <w:name w:val="SecHeading"/>
    <w:basedOn w:val="Normal"/>
    <w:next w:val="Paragraph"/>
    <w:link w:val="SecHeadingChar"/>
    <w:pPr>
      <w:keepNext/>
      <w:numPr>
        <w:ilvl w:val="1"/>
        <w:numId w:val="4"/>
      </w:numPr>
      <w:spacing w:before="120" w:after="120"/>
    </w:pPr>
    <w:rPr>
      <w:b/>
    </w:rPr>
  </w:style>
  <w:style w:type="paragraph" w:customStyle="1" w:styleId="SubHeading1">
    <w:name w:val="SubHeading1"/>
    <w:basedOn w:val="SecHeading"/>
    <w:link w:val="SubHeading1Char"/>
    <w:pPr>
      <w:numPr>
        <w:ilvl w:val="2"/>
      </w:numPr>
    </w:pPr>
  </w:style>
  <w:style w:type="paragraph" w:customStyle="1" w:styleId="Subheading2">
    <w:name w:val="Subheading2"/>
    <w:basedOn w:val="SecHeading"/>
    <w:link w:val="Subheading2Char"/>
    <w:pPr>
      <w:numPr>
        <w:ilvl w:val="3"/>
      </w:numPr>
    </w:pPr>
  </w:style>
  <w:style w:type="paragraph" w:customStyle="1" w:styleId="subpar">
    <w:name w:val="subpar"/>
    <w:basedOn w:val="BodyTextIndent3"/>
    <w:link w:val="subparChar"/>
    <w:pPr>
      <w:numPr>
        <w:ilvl w:val="2"/>
        <w:numId w:val="3"/>
      </w:numPr>
      <w:spacing w:before="120"/>
      <w:jc w:val="both"/>
      <w:outlineLvl w:val="2"/>
    </w:pPr>
    <w:rPr>
      <w:sz w:val="24"/>
    </w:rPr>
  </w:style>
  <w:style w:type="paragraph" w:customStyle="1" w:styleId="SubSubPar">
    <w:name w:val="SubSubPar"/>
    <w:basedOn w:val="subpar"/>
    <w:link w:val="SubSubParChar"/>
    <w:pPr>
      <w:numPr>
        <w:ilvl w:val="3"/>
      </w:numPr>
      <w:tabs>
        <w:tab w:val="left" w:pos="0"/>
      </w:tabs>
    </w:pPr>
  </w:style>
  <w:style w:type="paragraph" w:styleId="Title">
    <w:name w:val="Title"/>
    <w:basedOn w:val="Normal"/>
    <w:qFormat/>
    <w:pPr>
      <w:tabs>
        <w:tab w:val="left" w:pos="1440"/>
        <w:tab w:val="left" w:pos="3060"/>
      </w:tabs>
      <w:jc w:val="center"/>
      <w:outlineLvl w:val="0"/>
    </w:pPr>
  </w:style>
  <w:style w:type="paragraph" w:styleId="TOC1">
    <w:name w:val="toc 1"/>
    <w:basedOn w:val="Normal"/>
    <w:next w:val="Normal"/>
    <w:autoRedefine/>
    <w:uiPriority w:val="39"/>
    <w:qFormat/>
    <w:rsid w:val="00216691"/>
    <w:pPr>
      <w:tabs>
        <w:tab w:val="left" w:pos="547"/>
        <w:tab w:val="right" w:leader="dot" w:pos="9360"/>
      </w:tabs>
      <w:spacing w:before="240" w:after="240"/>
      <w:ind w:left="547" w:hanging="547"/>
    </w:pPr>
    <w:rPr>
      <w:smallCaps/>
      <w:noProof/>
    </w:rPr>
  </w:style>
  <w:style w:type="paragraph" w:styleId="TOC2">
    <w:name w:val="toc 2"/>
    <w:basedOn w:val="Normal"/>
    <w:next w:val="Normal"/>
    <w:autoRedefine/>
    <w:uiPriority w:val="39"/>
    <w:qFormat/>
    <w:rsid w:val="00812494"/>
    <w:pPr>
      <w:tabs>
        <w:tab w:val="left" w:pos="1152"/>
        <w:tab w:val="right" w:leader="dot" w:pos="9360"/>
      </w:tabs>
      <w:ind w:left="1167" w:hanging="605"/>
    </w:pPr>
    <w:rPr>
      <w:noProof/>
      <w:szCs w:val="24"/>
    </w:rPr>
  </w:style>
  <w:style w:type="paragraph" w:styleId="TOC3">
    <w:name w:val="toc 3"/>
    <w:basedOn w:val="Normal"/>
    <w:next w:val="Normal"/>
    <w:autoRedefine/>
    <w:uiPriority w:val="39"/>
    <w:qFormat/>
    <w:rsid w:val="008A7DA4"/>
    <w:pPr>
      <w:tabs>
        <w:tab w:val="left" w:pos="1714"/>
        <w:tab w:val="right" w:leader="dot" w:pos="9360"/>
      </w:tabs>
      <w:ind w:left="1714" w:hanging="562"/>
    </w:pPr>
    <w:rPr>
      <w:noProof/>
      <w:szCs w:val="24"/>
    </w:r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rPr>
      <w:color w:val="0000FF"/>
      <w:u w:val="single"/>
    </w:rPr>
  </w:style>
  <w:style w:type="paragraph" w:styleId="BodyText3">
    <w:name w:val="Body Text 3"/>
    <w:basedOn w:val="Normal"/>
    <w:pPr>
      <w:jc w:val="both"/>
    </w:pPr>
    <w:rPr>
      <w:i/>
      <w:sz w:val="22"/>
    </w:rPr>
  </w:style>
  <w:style w:type="character" w:styleId="FootnoteReference">
    <w:name w:val="footnote reference"/>
    <w:basedOn w:val="DefaultParagraphFont"/>
    <w:rPr>
      <w:rFonts w:ascii="Times New Roman" w:hAnsi="Times New Roman"/>
      <w:sz w:val="24"/>
      <w:vertAlign w:val="superscript"/>
    </w:rPr>
  </w:style>
  <w:style w:type="paragraph" w:styleId="BodyText2">
    <w:name w:val="Body Text 2"/>
    <w:basedOn w:val="Normal"/>
    <w:pPr>
      <w:jc w:val="both"/>
    </w:pPr>
    <w:rPr>
      <w:sz w:val="15"/>
    </w:rPr>
  </w:style>
  <w:style w:type="paragraph" w:styleId="Caption">
    <w:name w:val="caption"/>
    <w:basedOn w:val="Normal"/>
    <w:next w:val="Normal"/>
    <w:uiPriority w:val="35"/>
    <w:qFormat/>
    <w:pPr>
      <w:spacing w:before="120" w:after="120"/>
    </w:pPr>
    <w:rPr>
      <w:b/>
    </w:rPr>
  </w:style>
  <w:style w:type="paragraph" w:styleId="Subtitle">
    <w:name w:val="Subtitle"/>
    <w:basedOn w:val="Normal"/>
    <w:qFormat/>
    <w:pPr>
      <w:jc w:val="both"/>
    </w:pPr>
    <w:rPr>
      <w:b/>
      <w:sz w:val="22"/>
    </w:rPr>
  </w:style>
  <w:style w:type="paragraph" w:customStyle="1" w:styleId="StudyHeading1">
    <w:name w:val="Study Heading 1"/>
    <w:basedOn w:val="Normal"/>
    <w:next w:val="Normal"/>
    <w:autoRedefine/>
    <w:pPr>
      <w:spacing w:after="240"/>
      <w:jc w:val="center"/>
      <w:outlineLvl w:val="0"/>
    </w:pPr>
    <w:rPr>
      <w:b/>
      <w:iCs/>
      <w:caps/>
    </w:rPr>
  </w:style>
  <w:style w:type="paragraph" w:customStyle="1" w:styleId="BankNormal">
    <w:name w:val="BankNormal"/>
    <w:basedOn w:val="Normal"/>
    <w:pPr>
      <w:spacing w:after="240"/>
    </w:pPr>
  </w:style>
  <w:style w:type="paragraph" w:customStyle="1" w:styleId="Bulletwospace">
    <w:name w:val="Bullet (w/o space)"/>
    <w:basedOn w:val="Normal"/>
    <w:pPr>
      <w:numPr>
        <w:numId w:val="2"/>
      </w:numPr>
      <w:tabs>
        <w:tab w:val="clear" w:pos="360"/>
      </w:tabs>
      <w:ind w:left="720"/>
    </w:pPr>
    <w:rPr>
      <w:szCs w:val="24"/>
    </w:rPr>
  </w:style>
  <w:style w:type="paragraph" w:customStyle="1" w:styleId="xl24">
    <w:name w:val="xl24"/>
    <w:basedOn w:val="Normal"/>
    <w:pPr>
      <w:pBdr>
        <w:lef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b/>
      <w:bCs/>
      <w:sz w:val="18"/>
      <w:szCs w:val="18"/>
    </w:rPr>
  </w:style>
  <w:style w:type="paragraph" w:customStyle="1" w:styleId="xl29">
    <w:name w:val="xl29"/>
    <w:basedOn w:val="Normal"/>
    <w:pPr>
      <w:pBdr>
        <w:top w:val="single" w:sz="8" w:space="0" w:color="auto"/>
        <w:left w:val="single" w:sz="8"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0">
    <w:name w:val="xl30"/>
    <w:basedOn w:val="Normal"/>
    <w:pPr>
      <w:pBdr>
        <w:top w:val="single" w:sz="8"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1">
    <w:name w:val="xl31"/>
    <w:basedOn w:val="Normal"/>
    <w:pPr>
      <w:pBdr>
        <w:top w:val="single" w:sz="8" w:space="0" w:color="auto"/>
        <w:bottom w:val="single" w:sz="4" w:space="0" w:color="auto"/>
        <w:right w:val="single" w:sz="8" w:space="0" w:color="auto"/>
      </w:pBdr>
      <w:shd w:val="clear" w:color="auto" w:fill="FFFF00"/>
      <w:spacing w:before="100" w:beforeAutospacing="1" w:after="100" w:afterAutospacing="1"/>
      <w:textAlignment w:val="center"/>
    </w:pPr>
    <w:rPr>
      <w:rFonts w:ascii="Arial" w:eastAsia="Arial Unicode MS" w:hAnsi="Arial" w:cs="Arial"/>
      <w:b/>
      <w:bCs/>
      <w:szCs w:val="24"/>
    </w:rPr>
  </w:style>
  <w:style w:type="paragraph" w:customStyle="1" w:styleId="xl33">
    <w:name w:val="xl33"/>
    <w:basedOn w:val="Normal"/>
    <w:pPr>
      <w:pBdr>
        <w:right w:val="single" w:sz="8"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4">
    <w:name w:val="xl34"/>
    <w:basedOn w:val="Normal"/>
    <w:pPr>
      <w:pBdr>
        <w:right w:val="single" w:sz="8" w:space="0" w:color="auto"/>
      </w:pBdr>
      <w:spacing w:before="100" w:beforeAutospacing="1" w:after="100" w:afterAutospacing="1"/>
    </w:pPr>
    <w:rPr>
      <w:rFonts w:ascii="Arial" w:eastAsia="Arial Unicode MS" w:hAnsi="Arial" w:cs="Arial"/>
      <w:szCs w:val="24"/>
    </w:rPr>
  </w:style>
  <w:style w:type="paragraph" w:customStyle="1" w:styleId="xl35">
    <w:name w:val="xl35"/>
    <w:basedOn w:val="Normal"/>
    <w:pPr>
      <w:pBdr>
        <w:right w:val="single" w:sz="8" w:space="0" w:color="auto"/>
      </w:pBdr>
      <w:spacing w:before="100" w:beforeAutospacing="1" w:after="100" w:afterAutospacing="1"/>
      <w:jc w:val="right"/>
    </w:pPr>
    <w:rPr>
      <w:rFonts w:ascii="Arial" w:eastAsia="Arial Unicode MS" w:hAnsi="Arial" w:cs="Arial"/>
      <w:szCs w:val="24"/>
    </w:rPr>
  </w:style>
  <w:style w:type="paragraph" w:customStyle="1" w:styleId="xl36">
    <w:name w:val="xl36"/>
    <w:basedOn w:val="Normal"/>
    <w:pPr>
      <w:spacing w:before="100" w:beforeAutospacing="1" w:after="100" w:afterAutospacing="1"/>
    </w:pPr>
    <w:rPr>
      <w:rFonts w:ascii="Arial" w:eastAsia="Arial Unicode MS" w:hAnsi="Arial" w:cs="Arial"/>
      <w:szCs w:val="24"/>
    </w:rPr>
  </w:style>
  <w:style w:type="paragraph" w:customStyle="1" w:styleId="xl37">
    <w:name w:val="xl37"/>
    <w:basedOn w:val="Normal"/>
    <w:pPr>
      <w:pBdr>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bottom w:val="single" w:sz="8" w:space="0" w:color="auto"/>
      </w:pBdr>
      <w:spacing w:before="100" w:beforeAutospacing="1" w:after="100" w:afterAutospacing="1"/>
    </w:pPr>
    <w:rPr>
      <w:rFonts w:ascii="Arial" w:eastAsia="Arial Unicode MS" w:hAnsi="Arial" w:cs="Arial"/>
      <w:szCs w:val="24"/>
    </w:rPr>
  </w:style>
  <w:style w:type="paragraph" w:customStyle="1" w:styleId="bull1">
    <w:name w:val="bull1"/>
    <w:basedOn w:val="Normal"/>
    <w:pPr>
      <w:tabs>
        <w:tab w:val="left" w:pos="720"/>
      </w:tabs>
      <w:overflowPunct w:val="0"/>
      <w:autoSpaceDE w:val="0"/>
      <w:autoSpaceDN w:val="0"/>
      <w:adjustRightInd w:val="0"/>
      <w:ind w:left="720" w:hanging="360"/>
      <w:textAlignment w:val="baseline"/>
    </w:pPr>
    <w:rPr>
      <w:lang w:val="es-CL"/>
    </w:rPr>
  </w:style>
  <w:style w:type="paragraph" w:customStyle="1" w:styleId="bull2">
    <w:name w:val="bull2"/>
    <w:basedOn w:val="bull1"/>
    <w:pPr>
      <w:tabs>
        <w:tab w:val="clear" w:pos="720"/>
        <w:tab w:val="left" w:pos="360"/>
      </w:tabs>
    </w:pPr>
    <w:rPr>
      <w:lang w:val="en-US"/>
    </w:rPr>
  </w:style>
  <w:style w:type="paragraph" w:styleId="BodyTextIndent2">
    <w:name w:val="Body Text Indent 2"/>
    <w:basedOn w:val="Normal"/>
    <w:pPr>
      <w:ind w:left="-360"/>
    </w:pPr>
  </w:style>
  <w:style w:type="paragraph" w:styleId="TableofFigures">
    <w:name w:val="table of figures"/>
    <w:basedOn w:val="Normal"/>
    <w:next w:val="Normal"/>
    <w:semiHidden/>
    <w:pPr>
      <w:ind w:left="480" w:hanging="48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small1">
    <w:name w:val="small1"/>
    <w:basedOn w:val="DefaultParagraphFont"/>
    <w:rPr>
      <w:rFonts w:ascii="Verdana" w:hAnsi="Verdana" w:hint="default"/>
      <w:sz w:val="18"/>
      <w:szCs w:val="18"/>
    </w:rPr>
  </w:style>
  <w:style w:type="character" w:customStyle="1" w:styleId="BodyTextChar">
    <w:name w:val="Body Text Char"/>
    <w:basedOn w:val="DefaultParagraphFont"/>
    <w:link w:val="BodyText"/>
    <w:uiPriority w:val="99"/>
    <w:rsid w:val="003F558A"/>
    <w:rPr>
      <w:sz w:val="24"/>
      <w:lang w:val="en-US" w:eastAsia="en-US" w:bidi="ar-SA"/>
    </w:rPr>
  </w:style>
  <w:style w:type="character" w:customStyle="1" w:styleId="FootnoteTextChar1">
    <w:name w:val="Footnote Text Char1"/>
    <w:aliases w:val="ADB Char,footnote Char,single space Char,fn Char,FOOTNOTES Char,Footnote Text Char Char Char,Footnote Text Char Char1,footnote text Char"/>
    <w:basedOn w:val="DefaultParagraphFont"/>
    <w:link w:val="FootnoteText"/>
    <w:semiHidden/>
    <w:rsid w:val="003F558A"/>
    <w:rPr>
      <w:sz w:val="18"/>
      <w:lang w:val="en-US" w:eastAsia="en-US" w:bidi="ar-SA"/>
    </w:rPr>
  </w:style>
  <w:style w:type="paragraph" w:customStyle="1" w:styleId="Julietita">
    <w:name w:val="Julietita"/>
    <w:basedOn w:val="Normal"/>
    <w:link w:val="JulietitaChar"/>
    <w:rsid w:val="003F558A"/>
    <w:pPr>
      <w:numPr>
        <w:numId w:val="5"/>
      </w:numPr>
      <w:spacing w:before="120" w:after="120" w:line="360" w:lineRule="auto"/>
    </w:pPr>
    <w:rPr>
      <w:rFonts w:ascii="Calibri" w:eastAsia="Calibri" w:hAnsi="Calibri" w:cs="Calibri"/>
      <w:b/>
      <w:bCs/>
      <w:szCs w:val="24"/>
    </w:rPr>
  </w:style>
  <w:style w:type="character" w:customStyle="1" w:styleId="JulietitaChar">
    <w:name w:val="Julietita Char"/>
    <w:basedOn w:val="DefaultParagraphFont"/>
    <w:link w:val="Julietita"/>
    <w:locked/>
    <w:rsid w:val="003F558A"/>
    <w:rPr>
      <w:rFonts w:ascii="Calibri" w:eastAsia="Calibri" w:hAnsi="Calibri" w:cs="Calibri"/>
      <w:b/>
      <w:bCs/>
      <w:sz w:val="24"/>
      <w:szCs w:val="24"/>
    </w:rPr>
  </w:style>
  <w:style w:type="paragraph" w:styleId="ListParagraph">
    <w:name w:val="List Paragraph"/>
    <w:basedOn w:val="Normal"/>
    <w:uiPriority w:val="34"/>
    <w:qFormat/>
    <w:rsid w:val="007D6634"/>
    <w:pPr>
      <w:ind w:left="720"/>
    </w:pPr>
  </w:style>
  <w:style w:type="character" w:customStyle="1" w:styleId="HeaderChar">
    <w:name w:val="Header Char"/>
    <w:basedOn w:val="DefaultParagraphFont"/>
    <w:link w:val="Header"/>
    <w:uiPriority w:val="99"/>
    <w:rsid w:val="00C63104"/>
    <w:rPr>
      <w:sz w:val="24"/>
    </w:rPr>
  </w:style>
  <w:style w:type="character" w:styleId="CommentReference">
    <w:name w:val="annotation reference"/>
    <w:basedOn w:val="DefaultParagraphFont"/>
    <w:uiPriority w:val="99"/>
    <w:rsid w:val="00041E82"/>
    <w:rPr>
      <w:sz w:val="16"/>
      <w:szCs w:val="16"/>
    </w:rPr>
  </w:style>
  <w:style w:type="paragraph" w:styleId="CommentText">
    <w:name w:val="annotation text"/>
    <w:basedOn w:val="Normal"/>
    <w:link w:val="CommentTextChar"/>
    <w:uiPriority w:val="99"/>
    <w:rsid w:val="00041E82"/>
    <w:rPr>
      <w:sz w:val="20"/>
    </w:rPr>
  </w:style>
  <w:style w:type="character" w:customStyle="1" w:styleId="CommentTextChar">
    <w:name w:val="Comment Text Char"/>
    <w:basedOn w:val="DefaultParagraphFont"/>
    <w:link w:val="CommentText"/>
    <w:uiPriority w:val="99"/>
    <w:rsid w:val="00041E82"/>
  </w:style>
  <w:style w:type="paragraph" w:styleId="CommentSubject">
    <w:name w:val="annotation subject"/>
    <w:basedOn w:val="CommentText"/>
    <w:next w:val="CommentText"/>
    <w:link w:val="CommentSubjectChar"/>
    <w:uiPriority w:val="99"/>
    <w:rsid w:val="00041E82"/>
    <w:rPr>
      <w:b/>
      <w:bCs/>
    </w:rPr>
  </w:style>
  <w:style w:type="character" w:customStyle="1" w:styleId="CommentSubjectChar">
    <w:name w:val="Comment Subject Char"/>
    <w:basedOn w:val="CommentTextChar"/>
    <w:link w:val="CommentSubject"/>
    <w:uiPriority w:val="99"/>
    <w:rsid w:val="00041E82"/>
    <w:rPr>
      <w:b/>
      <w:bCs/>
    </w:rPr>
  </w:style>
  <w:style w:type="table" w:styleId="TableGrid">
    <w:name w:val="Table Grid"/>
    <w:basedOn w:val="TableNormal"/>
    <w:uiPriority w:val="59"/>
    <w:rsid w:val="00485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styletitles">
    <w:name w:val="MSA style titles"/>
    <w:basedOn w:val="Heading1"/>
    <w:link w:val="MSAstyletitlesChar"/>
    <w:qFormat/>
    <w:rsid w:val="000E44D3"/>
    <w:pPr>
      <w:keepLines/>
      <w:numPr>
        <w:numId w:val="19"/>
      </w:numPr>
      <w:spacing w:before="480" w:after="0" w:line="276" w:lineRule="auto"/>
    </w:pPr>
    <w:rPr>
      <w:rFonts w:asciiTheme="majorHAnsi" w:eastAsiaTheme="majorEastAsia" w:hAnsiTheme="majorHAnsi" w:cstheme="majorBidi"/>
      <w:bCs/>
      <w:color w:val="000000" w:themeColor="text1"/>
      <w:kern w:val="0"/>
      <w:szCs w:val="28"/>
      <w:lang w:val="es-ES"/>
    </w:rPr>
  </w:style>
  <w:style w:type="character" w:customStyle="1" w:styleId="MSAstyletitlesChar">
    <w:name w:val="MSA style titles Char"/>
    <w:basedOn w:val="DefaultParagraphFont"/>
    <w:link w:val="MSAstyletitles"/>
    <w:rsid w:val="00C075EA"/>
    <w:rPr>
      <w:rFonts w:asciiTheme="majorHAnsi" w:eastAsiaTheme="majorEastAsia" w:hAnsiTheme="majorHAnsi" w:cstheme="majorBidi"/>
      <w:b/>
      <w:bCs/>
      <w:color w:val="000000" w:themeColor="text1"/>
      <w:sz w:val="28"/>
      <w:szCs w:val="28"/>
      <w:lang w:val="es-ES"/>
    </w:rPr>
  </w:style>
  <w:style w:type="paragraph" w:styleId="NormalWeb">
    <w:name w:val="Normal (Web)"/>
    <w:basedOn w:val="Normal"/>
    <w:uiPriority w:val="99"/>
    <w:unhideWhenUsed/>
    <w:rsid w:val="00D05352"/>
    <w:pPr>
      <w:spacing w:before="100" w:beforeAutospacing="1" w:after="100" w:afterAutospacing="1"/>
    </w:pPr>
    <w:rPr>
      <w:szCs w:val="24"/>
    </w:rPr>
  </w:style>
  <w:style w:type="paragraph" w:styleId="Revision">
    <w:name w:val="Revision"/>
    <w:hidden/>
    <w:uiPriority w:val="99"/>
    <w:semiHidden/>
    <w:rsid w:val="003D1CD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D1CD7"/>
    <w:rPr>
      <w:rFonts w:ascii="Tahoma" w:hAnsi="Tahoma" w:cs="Tahoma"/>
      <w:sz w:val="16"/>
      <w:szCs w:val="16"/>
    </w:rPr>
  </w:style>
  <w:style w:type="character" w:customStyle="1" w:styleId="Heading1Char">
    <w:name w:val="Heading 1 Char"/>
    <w:basedOn w:val="DefaultParagraphFont"/>
    <w:link w:val="Heading1"/>
    <w:rsid w:val="003D1CD7"/>
    <w:rPr>
      <w:rFonts w:ascii="Arial" w:hAnsi="Arial"/>
      <w:b/>
      <w:kern w:val="28"/>
      <w:sz w:val="28"/>
    </w:rPr>
  </w:style>
  <w:style w:type="character" w:customStyle="1" w:styleId="Heading2Char">
    <w:name w:val="Heading 2 Char"/>
    <w:basedOn w:val="DefaultParagraphFont"/>
    <w:link w:val="Heading2"/>
    <w:uiPriority w:val="9"/>
    <w:rsid w:val="003D1CD7"/>
    <w:rPr>
      <w:rFonts w:ascii="Arial" w:hAnsi="Arial"/>
      <w:b/>
      <w:i/>
      <w:sz w:val="24"/>
    </w:rPr>
  </w:style>
  <w:style w:type="character" w:customStyle="1" w:styleId="FooterChar">
    <w:name w:val="Footer Char"/>
    <w:basedOn w:val="DefaultParagraphFont"/>
    <w:link w:val="Footer"/>
    <w:uiPriority w:val="99"/>
    <w:rsid w:val="003D1CD7"/>
    <w:rPr>
      <w:sz w:val="24"/>
    </w:rPr>
  </w:style>
  <w:style w:type="character" w:customStyle="1" w:styleId="ChapterChar">
    <w:name w:val="Chapter Char"/>
    <w:basedOn w:val="DefaultParagraphFont"/>
    <w:link w:val="Chapter"/>
    <w:rsid w:val="00973C09"/>
    <w:rPr>
      <w:b/>
      <w:smallCaps/>
      <w:noProof/>
      <w:sz w:val="24"/>
      <w:lang w:val="es-ES_tradnl"/>
    </w:rPr>
  </w:style>
  <w:style w:type="character" w:customStyle="1" w:styleId="FirstHeadingChar">
    <w:name w:val="FirstHeading Char"/>
    <w:basedOn w:val="DefaultParagraphFont"/>
    <w:link w:val="FirstHeading"/>
    <w:rsid w:val="003D1CD7"/>
    <w:rPr>
      <w:b/>
      <w:noProof/>
      <w:sz w:val="24"/>
    </w:rPr>
  </w:style>
  <w:style w:type="character" w:customStyle="1" w:styleId="SecHeadingChar">
    <w:name w:val="SecHeading Char"/>
    <w:basedOn w:val="DefaultParagraphFont"/>
    <w:link w:val="SecHeading"/>
    <w:rsid w:val="003D1CD7"/>
    <w:rPr>
      <w:b/>
      <w:sz w:val="24"/>
    </w:rPr>
  </w:style>
  <w:style w:type="character" w:customStyle="1" w:styleId="SubHeading1Char">
    <w:name w:val="SubHeading1 Char"/>
    <w:basedOn w:val="DefaultParagraphFont"/>
    <w:link w:val="SubHeading1"/>
    <w:rsid w:val="003D1CD7"/>
    <w:rPr>
      <w:b/>
      <w:sz w:val="24"/>
    </w:rPr>
  </w:style>
  <w:style w:type="character" w:customStyle="1" w:styleId="Subheading2Char">
    <w:name w:val="Subheading2 Char"/>
    <w:basedOn w:val="DefaultParagraphFont"/>
    <w:link w:val="Subheading2"/>
    <w:rsid w:val="003D1CD7"/>
    <w:rPr>
      <w:b/>
      <w:sz w:val="24"/>
    </w:rPr>
  </w:style>
  <w:style w:type="character" w:customStyle="1" w:styleId="ParagraphChar">
    <w:name w:val="Paragraph Char"/>
    <w:basedOn w:val="DefaultParagraphFont"/>
    <w:link w:val="Paragraph"/>
    <w:rsid w:val="003D1CD7"/>
    <w:rPr>
      <w:sz w:val="24"/>
    </w:rPr>
  </w:style>
  <w:style w:type="character" w:customStyle="1" w:styleId="subparChar">
    <w:name w:val="subpar Char"/>
    <w:basedOn w:val="DefaultParagraphFont"/>
    <w:link w:val="subpar"/>
    <w:rsid w:val="003D1CD7"/>
    <w:rPr>
      <w:sz w:val="24"/>
    </w:rPr>
  </w:style>
  <w:style w:type="character" w:customStyle="1" w:styleId="SubSubParChar">
    <w:name w:val="SubSubPar Char"/>
    <w:basedOn w:val="DefaultParagraphFont"/>
    <w:link w:val="SubSubPar"/>
    <w:rsid w:val="003D1CD7"/>
    <w:rPr>
      <w:sz w:val="24"/>
    </w:rPr>
  </w:style>
  <w:style w:type="paragraph" w:customStyle="1" w:styleId="Regtable">
    <w:name w:val="Regtable"/>
    <w:basedOn w:val="Normal"/>
    <w:link w:val="RegtableChar"/>
    <w:rsid w:val="003D1CD7"/>
    <w:pPr>
      <w:keepLines/>
      <w:framePr w:wrap="around" w:vAnchor="text" w:hAnchor="text" w:y="1"/>
      <w:spacing w:before="20" w:after="20"/>
    </w:pPr>
    <w:rPr>
      <w:rFonts w:eastAsiaTheme="minorHAnsi"/>
      <w:sz w:val="20"/>
      <w:szCs w:val="22"/>
      <w:lang w:val="es-ES"/>
    </w:rPr>
  </w:style>
  <w:style w:type="character" w:customStyle="1" w:styleId="RegtableChar">
    <w:name w:val="Regtable Char"/>
    <w:basedOn w:val="DefaultParagraphFont"/>
    <w:link w:val="Regtable"/>
    <w:rsid w:val="003D1CD7"/>
    <w:rPr>
      <w:rFonts w:eastAsiaTheme="minorHAnsi"/>
      <w:szCs w:val="22"/>
      <w:lang w:val="es-ES"/>
    </w:rPr>
  </w:style>
  <w:style w:type="paragraph" w:customStyle="1" w:styleId="TableTitle">
    <w:name w:val="TableTitle"/>
    <w:basedOn w:val="Normal"/>
    <w:link w:val="TableTitleChar"/>
    <w:rsid w:val="003D1CD7"/>
    <w:pPr>
      <w:keepNext/>
      <w:framePr w:wrap="around" w:vAnchor="text" w:hAnchor="text" w:y="1"/>
      <w:spacing w:before="20" w:after="20"/>
      <w:jc w:val="center"/>
    </w:pPr>
    <w:rPr>
      <w:rFonts w:ascii="Times New Roman Bold" w:eastAsiaTheme="minorHAnsi" w:hAnsi="Times New Roman Bold" w:cstheme="minorBidi"/>
      <w:b/>
      <w:spacing w:val="-3"/>
      <w:sz w:val="20"/>
      <w:szCs w:val="22"/>
      <w:lang w:val="es-ES"/>
    </w:rPr>
  </w:style>
  <w:style w:type="character" w:customStyle="1" w:styleId="TableTitleChar">
    <w:name w:val="TableTitle Char"/>
    <w:basedOn w:val="DefaultParagraphFont"/>
    <w:link w:val="TableTitle"/>
    <w:rsid w:val="003D1CD7"/>
    <w:rPr>
      <w:rFonts w:ascii="Times New Roman Bold" w:eastAsiaTheme="minorHAnsi" w:hAnsi="Times New Roman Bold" w:cstheme="minorBidi"/>
      <w:b/>
      <w:spacing w:val="-3"/>
      <w:szCs w:val="22"/>
      <w:lang w:val="es-ES"/>
    </w:rPr>
  </w:style>
  <w:style w:type="character" w:customStyle="1" w:styleId="Heading3Char">
    <w:name w:val="Heading 3 Char"/>
    <w:basedOn w:val="DefaultParagraphFont"/>
    <w:link w:val="Heading3"/>
    <w:uiPriority w:val="9"/>
    <w:rsid w:val="003D1CD7"/>
    <w:rPr>
      <w:rFonts w:ascii="Arial" w:hAnsi="Arial"/>
      <w:sz w:val="24"/>
    </w:rPr>
  </w:style>
  <w:style w:type="character" w:customStyle="1" w:styleId="Heading4Char">
    <w:name w:val="Heading 4 Char"/>
    <w:basedOn w:val="DefaultParagraphFont"/>
    <w:link w:val="Heading4"/>
    <w:uiPriority w:val="9"/>
    <w:rsid w:val="003D1CD7"/>
    <w:rPr>
      <w:rFonts w:ascii="Arial" w:hAnsi="Arial"/>
      <w:b/>
      <w:sz w:val="24"/>
    </w:rPr>
  </w:style>
  <w:style w:type="character" w:customStyle="1" w:styleId="Heading5Char">
    <w:name w:val="Heading 5 Char"/>
    <w:basedOn w:val="DefaultParagraphFont"/>
    <w:link w:val="Heading5"/>
    <w:uiPriority w:val="9"/>
    <w:rsid w:val="003D1CD7"/>
    <w:rPr>
      <w:sz w:val="22"/>
    </w:rPr>
  </w:style>
  <w:style w:type="character" w:customStyle="1" w:styleId="Heading6Char">
    <w:name w:val="Heading 6 Char"/>
    <w:basedOn w:val="DefaultParagraphFont"/>
    <w:link w:val="Heading6"/>
    <w:uiPriority w:val="9"/>
    <w:rsid w:val="003D1CD7"/>
    <w:rPr>
      <w:i/>
      <w:sz w:val="22"/>
    </w:rPr>
  </w:style>
  <w:style w:type="character" w:customStyle="1" w:styleId="Heading7Char">
    <w:name w:val="Heading 7 Char"/>
    <w:basedOn w:val="DefaultParagraphFont"/>
    <w:link w:val="Heading7"/>
    <w:uiPriority w:val="9"/>
    <w:rsid w:val="003D1CD7"/>
    <w:rPr>
      <w:rFonts w:ascii="Arial" w:hAnsi="Arial"/>
      <w:sz w:val="24"/>
    </w:rPr>
  </w:style>
  <w:style w:type="character" w:customStyle="1" w:styleId="Heading8Char">
    <w:name w:val="Heading 8 Char"/>
    <w:basedOn w:val="DefaultParagraphFont"/>
    <w:link w:val="Heading8"/>
    <w:uiPriority w:val="9"/>
    <w:rsid w:val="003D1CD7"/>
    <w:rPr>
      <w:rFonts w:ascii="Arial" w:hAnsi="Arial"/>
      <w:i/>
      <w:sz w:val="24"/>
    </w:rPr>
  </w:style>
  <w:style w:type="character" w:customStyle="1" w:styleId="Heading9Char">
    <w:name w:val="Heading 9 Char"/>
    <w:basedOn w:val="DefaultParagraphFont"/>
    <w:link w:val="Heading9"/>
    <w:uiPriority w:val="9"/>
    <w:rsid w:val="003D1CD7"/>
    <w:rPr>
      <w:rFonts w:ascii="Arial" w:hAnsi="Arial"/>
      <w:b/>
      <w:i/>
      <w:sz w:val="18"/>
    </w:rPr>
  </w:style>
  <w:style w:type="character" w:customStyle="1" w:styleId="BodyTextIndentChar">
    <w:name w:val="Body Text Indent Char"/>
    <w:basedOn w:val="DefaultParagraphFont"/>
    <w:link w:val="BodyTextIndent"/>
    <w:uiPriority w:val="99"/>
    <w:rsid w:val="003D1CD7"/>
    <w:rPr>
      <w:sz w:val="24"/>
    </w:rPr>
  </w:style>
  <w:style w:type="character" w:customStyle="1" w:styleId="BodyTextIndent3Char">
    <w:name w:val="Body Text Indent 3 Char"/>
    <w:basedOn w:val="DefaultParagraphFont"/>
    <w:link w:val="BodyTextIndent3"/>
    <w:uiPriority w:val="99"/>
    <w:rsid w:val="003D1CD7"/>
    <w:rPr>
      <w:sz w:val="16"/>
    </w:rPr>
  </w:style>
  <w:style w:type="paragraph" w:styleId="TOCHeading">
    <w:name w:val="TOC Heading"/>
    <w:basedOn w:val="Heading1"/>
    <w:next w:val="Normal"/>
    <w:uiPriority w:val="39"/>
    <w:semiHidden/>
    <w:unhideWhenUsed/>
    <w:qFormat/>
    <w:rsid w:val="003D1CD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character" w:styleId="BookTitle">
    <w:name w:val="Book Title"/>
    <w:basedOn w:val="DefaultParagraphFont"/>
    <w:uiPriority w:val="33"/>
    <w:qFormat/>
    <w:rsid w:val="003D1CD7"/>
    <w:rPr>
      <w:b/>
      <w:bCs/>
      <w:smallCaps/>
      <w:spacing w:val="5"/>
    </w:rPr>
  </w:style>
  <w:style w:type="paragraph" w:customStyle="1" w:styleId="Default">
    <w:name w:val="Default"/>
    <w:rsid w:val="003D1CD7"/>
    <w:pPr>
      <w:autoSpaceDE w:val="0"/>
      <w:autoSpaceDN w:val="0"/>
      <w:adjustRightInd w:val="0"/>
    </w:pPr>
    <w:rPr>
      <w:rFonts w:ascii="Arial" w:eastAsiaTheme="minorHAnsi" w:hAnsi="Arial" w:cs="Arial"/>
      <w:color w:val="000000"/>
      <w:sz w:val="24"/>
      <w:szCs w:val="24"/>
    </w:rPr>
  </w:style>
  <w:style w:type="paragraph" w:styleId="PlainText">
    <w:name w:val="Plain Text"/>
    <w:basedOn w:val="Normal"/>
    <w:link w:val="PlainTextChar"/>
    <w:uiPriority w:val="99"/>
    <w:unhideWhenUsed/>
    <w:rsid w:val="003D1CD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1CD7"/>
    <w:rPr>
      <w:rFonts w:ascii="Consolas" w:eastAsiaTheme="minorHAnsi" w:hAnsi="Consolas" w:cstheme="minorBidi"/>
      <w:sz w:val="21"/>
      <w:szCs w:val="21"/>
    </w:rPr>
  </w:style>
  <w:style w:type="character" w:customStyle="1" w:styleId="ADBChar1">
    <w:name w:val="ADB Char1"/>
    <w:aliases w:val="footnote Char1,single space Char1,fn Char1,FOOTNOTES Char1,Footnote Text Char Char Char1,footnote text Char1"/>
    <w:basedOn w:val="DefaultParagraphFont"/>
    <w:rsid w:val="005D157F"/>
    <w:rPr>
      <w:rFonts w:ascii="Times New Roman" w:hAnsi="Times New Roman"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541">
      <w:bodyDiv w:val="1"/>
      <w:marLeft w:val="0"/>
      <w:marRight w:val="0"/>
      <w:marTop w:val="0"/>
      <w:marBottom w:val="0"/>
      <w:divBdr>
        <w:top w:val="none" w:sz="0" w:space="0" w:color="auto"/>
        <w:left w:val="none" w:sz="0" w:space="0" w:color="auto"/>
        <w:bottom w:val="none" w:sz="0" w:space="0" w:color="auto"/>
        <w:right w:val="none" w:sz="0" w:space="0" w:color="auto"/>
      </w:divBdr>
    </w:div>
    <w:div w:id="257642112">
      <w:bodyDiv w:val="1"/>
      <w:marLeft w:val="0"/>
      <w:marRight w:val="0"/>
      <w:marTop w:val="0"/>
      <w:marBottom w:val="0"/>
      <w:divBdr>
        <w:top w:val="none" w:sz="0" w:space="0" w:color="auto"/>
        <w:left w:val="none" w:sz="0" w:space="0" w:color="auto"/>
        <w:bottom w:val="none" w:sz="0" w:space="0" w:color="auto"/>
        <w:right w:val="none" w:sz="0" w:space="0" w:color="auto"/>
      </w:divBdr>
    </w:div>
    <w:div w:id="277572039">
      <w:bodyDiv w:val="1"/>
      <w:marLeft w:val="0"/>
      <w:marRight w:val="0"/>
      <w:marTop w:val="0"/>
      <w:marBottom w:val="0"/>
      <w:divBdr>
        <w:top w:val="none" w:sz="0" w:space="0" w:color="auto"/>
        <w:left w:val="none" w:sz="0" w:space="0" w:color="auto"/>
        <w:bottom w:val="none" w:sz="0" w:space="0" w:color="auto"/>
        <w:right w:val="none" w:sz="0" w:space="0" w:color="auto"/>
      </w:divBdr>
    </w:div>
    <w:div w:id="327250583">
      <w:bodyDiv w:val="1"/>
      <w:marLeft w:val="0"/>
      <w:marRight w:val="0"/>
      <w:marTop w:val="0"/>
      <w:marBottom w:val="0"/>
      <w:divBdr>
        <w:top w:val="none" w:sz="0" w:space="0" w:color="auto"/>
        <w:left w:val="none" w:sz="0" w:space="0" w:color="auto"/>
        <w:bottom w:val="none" w:sz="0" w:space="0" w:color="auto"/>
        <w:right w:val="none" w:sz="0" w:space="0" w:color="auto"/>
      </w:divBdr>
    </w:div>
    <w:div w:id="357897349">
      <w:bodyDiv w:val="1"/>
      <w:marLeft w:val="0"/>
      <w:marRight w:val="0"/>
      <w:marTop w:val="0"/>
      <w:marBottom w:val="0"/>
      <w:divBdr>
        <w:top w:val="none" w:sz="0" w:space="0" w:color="auto"/>
        <w:left w:val="none" w:sz="0" w:space="0" w:color="auto"/>
        <w:bottom w:val="none" w:sz="0" w:space="0" w:color="auto"/>
        <w:right w:val="none" w:sz="0" w:space="0" w:color="auto"/>
      </w:divBdr>
    </w:div>
    <w:div w:id="572014164">
      <w:bodyDiv w:val="1"/>
      <w:marLeft w:val="0"/>
      <w:marRight w:val="0"/>
      <w:marTop w:val="0"/>
      <w:marBottom w:val="0"/>
      <w:divBdr>
        <w:top w:val="none" w:sz="0" w:space="0" w:color="auto"/>
        <w:left w:val="none" w:sz="0" w:space="0" w:color="auto"/>
        <w:bottom w:val="none" w:sz="0" w:space="0" w:color="auto"/>
        <w:right w:val="none" w:sz="0" w:space="0" w:color="auto"/>
      </w:divBdr>
    </w:div>
    <w:div w:id="639463337">
      <w:bodyDiv w:val="1"/>
      <w:marLeft w:val="0"/>
      <w:marRight w:val="0"/>
      <w:marTop w:val="0"/>
      <w:marBottom w:val="0"/>
      <w:divBdr>
        <w:top w:val="none" w:sz="0" w:space="0" w:color="auto"/>
        <w:left w:val="none" w:sz="0" w:space="0" w:color="auto"/>
        <w:bottom w:val="none" w:sz="0" w:space="0" w:color="auto"/>
        <w:right w:val="none" w:sz="0" w:space="0" w:color="auto"/>
      </w:divBdr>
    </w:div>
    <w:div w:id="795949741">
      <w:bodyDiv w:val="1"/>
      <w:marLeft w:val="0"/>
      <w:marRight w:val="0"/>
      <w:marTop w:val="0"/>
      <w:marBottom w:val="0"/>
      <w:divBdr>
        <w:top w:val="none" w:sz="0" w:space="0" w:color="auto"/>
        <w:left w:val="none" w:sz="0" w:space="0" w:color="auto"/>
        <w:bottom w:val="none" w:sz="0" w:space="0" w:color="auto"/>
        <w:right w:val="none" w:sz="0" w:space="0" w:color="auto"/>
      </w:divBdr>
    </w:div>
    <w:div w:id="884755464">
      <w:bodyDiv w:val="1"/>
      <w:marLeft w:val="0"/>
      <w:marRight w:val="0"/>
      <w:marTop w:val="0"/>
      <w:marBottom w:val="0"/>
      <w:divBdr>
        <w:top w:val="none" w:sz="0" w:space="0" w:color="auto"/>
        <w:left w:val="none" w:sz="0" w:space="0" w:color="auto"/>
        <w:bottom w:val="none" w:sz="0" w:space="0" w:color="auto"/>
        <w:right w:val="none" w:sz="0" w:space="0" w:color="auto"/>
      </w:divBdr>
    </w:div>
    <w:div w:id="968049986">
      <w:bodyDiv w:val="1"/>
      <w:marLeft w:val="0"/>
      <w:marRight w:val="0"/>
      <w:marTop w:val="0"/>
      <w:marBottom w:val="0"/>
      <w:divBdr>
        <w:top w:val="none" w:sz="0" w:space="0" w:color="auto"/>
        <w:left w:val="none" w:sz="0" w:space="0" w:color="auto"/>
        <w:bottom w:val="none" w:sz="0" w:space="0" w:color="auto"/>
        <w:right w:val="none" w:sz="0" w:space="0" w:color="auto"/>
      </w:divBdr>
    </w:div>
    <w:div w:id="1228034337">
      <w:bodyDiv w:val="1"/>
      <w:marLeft w:val="0"/>
      <w:marRight w:val="0"/>
      <w:marTop w:val="0"/>
      <w:marBottom w:val="0"/>
      <w:divBdr>
        <w:top w:val="none" w:sz="0" w:space="0" w:color="auto"/>
        <w:left w:val="none" w:sz="0" w:space="0" w:color="auto"/>
        <w:bottom w:val="none" w:sz="0" w:space="0" w:color="auto"/>
        <w:right w:val="none" w:sz="0" w:space="0" w:color="auto"/>
      </w:divBdr>
    </w:div>
    <w:div w:id="1274511346">
      <w:bodyDiv w:val="1"/>
      <w:marLeft w:val="0"/>
      <w:marRight w:val="0"/>
      <w:marTop w:val="0"/>
      <w:marBottom w:val="0"/>
      <w:divBdr>
        <w:top w:val="none" w:sz="0" w:space="0" w:color="auto"/>
        <w:left w:val="none" w:sz="0" w:space="0" w:color="auto"/>
        <w:bottom w:val="none" w:sz="0" w:space="0" w:color="auto"/>
        <w:right w:val="none" w:sz="0" w:space="0" w:color="auto"/>
      </w:divBdr>
    </w:div>
    <w:div w:id="1307204122">
      <w:bodyDiv w:val="1"/>
      <w:marLeft w:val="0"/>
      <w:marRight w:val="0"/>
      <w:marTop w:val="0"/>
      <w:marBottom w:val="0"/>
      <w:divBdr>
        <w:top w:val="none" w:sz="0" w:space="0" w:color="auto"/>
        <w:left w:val="none" w:sz="0" w:space="0" w:color="auto"/>
        <w:bottom w:val="none" w:sz="0" w:space="0" w:color="auto"/>
        <w:right w:val="none" w:sz="0" w:space="0" w:color="auto"/>
      </w:divBdr>
    </w:div>
    <w:div w:id="1421678725">
      <w:bodyDiv w:val="1"/>
      <w:marLeft w:val="0"/>
      <w:marRight w:val="0"/>
      <w:marTop w:val="0"/>
      <w:marBottom w:val="0"/>
      <w:divBdr>
        <w:top w:val="none" w:sz="0" w:space="0" w:color="auto"/>
        <w:left w:val="none" w:sz="0" w:space="0" w:color="auto"/>
        <w:bottom w:val="none" w:sz="0" w:space="0" w:color="auto"/>
        <w:right w:val="none" w:sz="0" w:space="0" w:color="auto"/>
      </w:divBdr>
    </w:div>
    <w:div w:id="1461260736">
      <w:bodyDiv w:val="1"/>
      <w:marLeft w:val="0"/>
      <w:marRight w:val="0"/>
      <w:marTop w:val="0"/>
      <w:marBottom w:val="0"/>
      <w:divBdr>
        <w:top w:val="none" w:sz="0" w:space="0" w:color="auto"/>
        <w:left w:val="none" w:sz="0" w:space="0" w:color="auto"/>
        <w:bottom w:val="none" w:sz="0" w:space="0" w:color="auto"/>
        <w:right w:val="none" w:sz="0" w:space="0" w:color="auto"/>
      </w:divBdr>
    </w:div>
    <w:div w:id="1485928888">
      <w:bodyDiv w:val="1"/>
      <w:marLeft w:val="0"/>
      <w:marRight w:val="0"/>
      <w:marTop w:val="0"/>
      <w:marBottom w:val="0"/>
      <w:divBdr>
        <w:top w:val="none" w:sz="0" w:space="0" w:color="auto"/>
        <w:left w:val="none" w:sz="0" w:space="0" w:color="auto"/>
        <w:bottom w:val="none" w:sz="0" w:space="0" w:color="auto"/>
        <w:right w:val="none" w:sz="0" w:space="0" w:color="auto"/>
      </w:divBdr>
    </w:div>
    <w:div w:id="1565992681">
      <w:bodyDiv w:val="1"/>
      <w:marLeft w:val="0"/>
      <w:marRight w:val="0"/>
      <w:marTop w:val="0"/>
      <w:marBottom w:val="0"/>
      <w:divBdr>
        <w:top w:val="none" w:sz="0" w:space="0" w:color="auto"/>
        <w:left w:val="none" w:sz="0" w:space="0" w:color="auto"/>
        <w:bottom w:val="none" w:sz="0" w:space="0" w:color="auto"/>
        <w:right w:val="none" w:sz="0" w:space="0" w:color="auto"/>
      </w:divBdr>
    </w:div>
    <w:div w:id="1931505838">
      <w:bodyDiv w:val="1"/>
      <w:marLeft w:val="0"/>
      <w:marRight w:val="0"/>
      <w:marTop w:val="0"/>
      <w:marBottom w:val="0"/>
      <w:divBdr>
        <w:top w:val="none" w:sz="0" w:space="0" w:color="auto"/>
        <w:left w:val="none" w:sz="0" w:space="0" w:color="auto"/>
        <w:bottom w:val="none" w:sz="0" w:space="0" w:color="auto"/>
        <w:right w:val="none" w:sz="0" w:space="0" w:color="auto"/>
      </w:divBdr>
    </w:div>
    <w:div w:id="2024746631">
      <w:bodyDiv w:val="1"/>
      <w:marLeft w:val="0"/>
      <w:marRight w:val="0"/>
      <w:marTop w:val="0"/>
      <w:marBottom w:val="0"/>
      <w:divBdr>
        <w:top w:val="none" w:sz="0" w:space="0" w:color="auto"/>
        <w:left w:val="none" w:sz="0" w:space="0" w:color="auto"/>
        <w:bottom w:val="none" w:sz="0" w:space="0" w:color="auto"/>
        <w:right w:val="none" w:sz="0" w:space="0" w:color="auto"/>
      </w:divBdr>
    </w:div>
    <w:div w:id="2071997242">
      <w:bodyDiv w:val="1"/>
      <w:marLeft w:val="0"/>
      <w:marRight w:val="0"/>
      <w:marTop w:val="0"/>
      <w:marBottom w:val="0"/>
      <w:divBdr>
        <w:top w:val="none" w:sz="0" w:space="0" w:color="auto"/>
        <w:left w:val="none" w:sz="0" w:space="0" w:color="auto"/>
        <w:bottom w:val="none" w:sz="0" w:space="0" w:color="auto"/>
        <w:right w:val="none" w:sz="0" w:space="0" w:color="auto"/>
      </w:divBdr>
    </w:div>
    <w:div w:id="2102216575">
      <w:bodyDiv w:val="1"/>
      <w:marLeft w:val="0"/>
      <w:marRight w:val="0"/>
      <w:marTop w:val="0"/>
      <w:marBottom w:val="0"/>
      <w:divBdr>
        <w:top w:val="none" w:sz="0" w:space="0" w:color="auto"/>
        <w:left w:val="none" w:sz="0" w:space="0" w:color="auto"/>
        <w:bottom w:val="none" w:sz="0" w:space="0" w:color="auto"/>
        <w:right w:val="none" w:sz="0" w:space="0" w:color="auto"/>
      </w:divBdr>
    </w:div>
    <w:div w:id="21193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GENERAL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613A-DA75-4A8B-A46B-040ACF12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GENERALeng.dot</Template>
  <TotalTime>2</TotalTime>
  <Pages>3</Pages>
  <Words>1153</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OF THE INTERAMERICAN DEVELOPMENT BANK</dc:title>
  <dc:creator>IVANIAR</dc:creator>
  <cp:lastModifiedBy>Test</cp:lastModifiedBy>
  <cp:revision>3</cp:revision>
  <cp:lastPrinted>2014-06-23T14:32:00Z</cp:lastPrinted>
  <dcterms:created xsi:type="dcterms:W3CDTF">2014-10-24T15:57:00Z</dcterms:created>
  <dcterms:modified xsi:type="dcterms:W3CDTF">2014-10-24T15:58:00Z</dcterms:modified>
</cp:coreProperties>
</file>