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570"/>
      </w:tblGrid>
      <w:tr w:rsidR="00C876AF">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C876AF" w:rsidRDefault="00D500CA">
            <w:pPr>
              <w:spacing w:after="240"/>
              <w:rPr>
                <w:rFonts w:ascii="Arial" w:eastAsia="Times New Roman" w:hAnsi="Arial" w:cs="Arial"/>
                <w:sz w:val="20"/>
                <w:szCs w:val="20"/>
              </w:rPr>
            </w:pPr>
            <w:r>
              <w:rPr>
                <w:rFonts w:ascii="Arial" w:eastAsia="Times New Roman" w:hAnsi="Arial" w:cs="Arial"/>
                <w:b/>
                <w:bCs/>
                <w:sz w:val="28"/>
                <w:szCs w:val="28"/>
              </w:rPr>
              <w:t>SAFEGUARD POLICY FILTER REPORT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9"/>
              <w:gridCol w:w="6915"/>
            </w:tblGrid>
            <w:tr w:rsidR="00C876AF">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PROJECT DETAILS</w:t>
                  </w:r>
                </w:p>
              </w:tc>
            </w:tr>
            <w:tr w:rsidR="00C876AF">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IDB Sector</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ENVIRONMENT AND NATURAL DISASTERS-CLIMATE CHANGE ADAPTATION POLICY</w:t>
                  </w:r>
                </w:p>
              </w:tc>
            </w:tr>
            <w:tr w:rsidR="00C876AF">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Investment Loan</w:t>
                  </w:r>
                </w:p>
              </w:tc>
            </w:tr>
            <w:tr w:rsidR="00C876AF">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C876AF">
                  <w:pPr>
                    <w:rPr>
                      <w:rFonts w:ascii="Arial" w:eastAsia="Times New Roman" w:hAnsi="Arial" w:cs="Arial"/>
                      <w:sz w:val="20"/>
                      <w:szCs w:val="20"/>
                    </w:rPr>
                  </w:pPr>
                </w:p>
              </w:tc>
            </w:tr>
            <w:tr w:rsidR="00C876AF">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Generic Checklist</w:t>
                  </w:r>
                </w:p>
              </w:tc>
            </w:tr>
            <w:tr w:rsidR="00C876AF">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Hintze, Luis Hernando (LUISHH@iadb.org)</w:t>
                  </w:r>
                </w:p>
              </w:tc>
            </w:tr>
            <w:tr w:rsidR="00C876AF">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Irrigation Program with a Watersheds Approach III</w:t>
                  </w:r>
                </w:p>
              </w:tc>
            </w:tr>
            <w:tr w:rsidR="00C876AF">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BO-L1106</w:t>
                  </w:r>
                </w:p>
              </w:tc>
            </w:tr>
            <w:tr w:rsidR="00C876AF">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Hintze, Luis Hernando (LUISHH@iadb.org)</w:t>
                  </w:r>
                </w:p>
              </w:tc>
            </w:tr>
            <w:tr w:rsidR="00C876AF">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2015-07-08</w:t>
                  </w:r>
                </w:p>
              </w:tc>
            </w:tr>
          </w:tbl>
          <w:p w:rsidR="00C876AF" w:rsidRDefault="00C876AF">
            <w:pPr>
              <w:spacing w:after="240"/>
              <w:rPr>
                <w:rFonts w:ascii="Arial" w:eastAsia="Times New Roman"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5"/>
              <w:gridCol w:w="4887"/>
              <w:gridCol w:w="2242"/>
            </w:tblGrid>
            <w:tr w:rsidR="00C876AF" w:rsidTr="009D66A1">
              <w:tc>
                <w:tcPr>
                  <w:tcW w:w="9344" w:type="dxa"/>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SAFEGUARD POLICY FILTER RESULTS</w:t>
                  </w:r>
                </w:p>
              </w:tc>
            </w:tr>
            <w:tr w:rsidR="00C876AF" w:rsidTr="009D66A1">
              <w:tc>
                <w:tcPr>
                  <w:tcW w:w="22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Type of Operation</w:t>
                  </w:r>
                </w:p>
              </w:tc>
              <w:tc>
                <w:tcPr>
                  <w:tcW w:w="7129"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Loan Operation</w:t>
                  </w:r>
                </w:p>
              </w:tc>
            </w:tr>
            <w:tr w:rsidR="00C876AF" w:rsidTr="009D66A1">
              <w:tc>
                <w:tcPr>
                  <w:tcW w:w="2215"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Safeguard Policy Items</w:t>
                  </w:r>
                  <w:r>
                    <w:rPr>
                      <w:rFonts w:ascii="Arial" w:eastAsia="Times New Roman" w:hAnsi="Arial" w:cs="Arial"/>
                      <w:b/>
                      <w:bCs/>
                      <w:sz w:val="20"/>
                      <w:szCs w:val="20"/>
                    </w:rPr>
                    <w:br/>
                    <w:t xml:space="preserve">Identified </w:t>
                  </w:r>
                  <w:r>
                    <w:rPr>
                      <w:rFonts w:ascii="Arial" w:eastAsia="Times New Roman" w:hAnsi="Arial" w:cs="Arial"/>
                      <w:b/>
                      <w:bCs/>
                      <w:color w:val="FF0000"/>
                      <w:sz w:val="20"/>
                      <w:szCs w:val="20"/>
                    </w:rPr>
                    <w:t>(Yes)</w:t>
                  </w: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Does this project offer opportunities for indigenous peoples through its project components?</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(B.01) Indigenous People Policy– OP-765</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Activities to be financed by the project are in a geographical area and sector exposed to natural hazards* (Type 1 Disaster Risk Scenario).</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(B.01) Disaster Risk Management Policy– OP-704</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The Bank will make available to the public the relevant Project documents.</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(B.01) Access to Information Policy– OP-102</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Does this project offer opportunities to promote gender equality or women's empowerment through its project components?</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(B.01) Gender Equality Policy– OP-761</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(B.02)</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The operation (including associated facilities) is screened and classified according to their potential environmental impacts.</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(B.03)</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 xml:space="preserve">The project includes activities to close current “adaptation deficits” or to increase the capacity of </w:t>
                  </w:r>
                  <w:r>
                    <w:rPr>
                      <w:rFonts w:ascii="Arial" w:eastAsia="Times New Roman" w:hAnsi="Arial" w:cs="Arial"/>
                      <w:sz w:val="20"/>
                      <w:szCs w:val="20"/>
                    </w:rPr>
                    <w:lastRenderedPageBreak/>
                    <w:t>human social and ecological systems to adapt to a changing climate.</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lastRenderedPageBreak/>
                    <w:t>(B.04)</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An Environmental Assessment is required.</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(B.05)</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 xml:space="preserve">Consultations with affected parties will be performed equitably and inclusively with the views of all stakeholders taken into account, including in particular: (a) equal participation of women and men, (b) socio-culturally appropriate participation of indigenous peoples and (c) mechanisms for equitable participation by vulnerable groups. </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(B.06)</w:t>
                  </w:r>
                </w:p>
              </w:tc>
            </w:tr>
            <w:tr w:rsidR="00C876AF" w:rsidTr="009D66A1">
              <w:trPr>
                <w:trHeight w:val="1059"/>
              </w:trPr>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The Bank will monitor the executing agency/borrower’s compliance with all safeguard requirements stipulated in the loan agreement and project operating or credit regulations.</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The operation is a repeat or second phase loan.</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(B.14)</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In-country systems are being used based on performed equivalency and acceptability analysis.</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(B.16)</w:t>
                  </w:r>
                </w:p>
              </w:tc>
            </w:tr>
            <w:tr w:rsidR="00C876AF" w:rsidTr="009D66A1">
              <w:tc>
                <w:tcPr>
                  <w:tcW w:w="2215" w:type="dxa"/>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(B.17)</w:t>
                  </w:r>
                </w:p>
              </w:tc>
            </w:tr>
            <w:tr w:rsidR="00C876AF" w:rsidTr="009D66A1">
              <w:tc>
                <w:tcPr>
                  <w:tcW w:w="22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Potential Safeguard Policy Items</w:t>
                  </w:r>
                  <w:r>
                    <w:rPr>
                      <w:rFonts w:ascii="Arial" w:eastAsia="Times New Roman" w:hAnsi="Arial" w:cs="Arial"/>
                      <w:b/>
                      <w:bCs/>
                      <w:color w:val="FF0000"/>
                      <w:sz w:val="20"/>
                      <w:szCs w:val="20"/>
                    </w:rPr>
                    <w:t>(?)</w:t>
                  </w:r>
                </w:p>
              </w:tc>
              <w:tc>
                <w:tcPr>
                  <w:tcW w:w="4887"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The Borrower/Executing Agency exhibits weak institutional capacity for managing environmental and social issues.</w:t>
                  </w:r>
                </w:p>
              </w:tc>
              <w:tc>
                <w:tcPr>
                  <w:tcW w:w="224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color w:val="0000FF"/>
                      <w:sz w:val="20"/>
                      <w:szCs w:val="20"/>
                    </w:rPr>
                  </w:pPr>
                  <w:r>
                    <w:rPr>
                      <w:rFonts w:ascii="Arial" w:eastAsia="Times New Roman" w:hAnsi="Arial" w:cs="Arial"/>
                      <w:color w:val="0000FF"/>
                      <w:sz w:val="20"/>
                      <w:szCs w:val="20"/>
                    </w:rPr>
                    <w:t>(B.04)</w:t>
                  </w:r>
                </w:p>
              </w:tc>
            </w:tr>
            <w:tr w:rsidR="00C876AF" w:rsidTr="009D66A1">
              <w:tc>
                <w:tcPr>
                  <w:tcW w:w="22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Recommended Action:</w:t>
                  </w:r>
                </w:p>
              </w:tc>
              <w:tc>
                <w:tcPr>
                  <w:tcW w:w="7129"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rsidP="009D66A1">
                  <w:pPr>
                    <w:spacing w:after="240"/>
                    <w:rPr>
                      <w:rFonts w:ascii="Arial" w:eastAsia="Times New Roman" w:hAnsi="Arial" w:cs="Arial"/>
                      <w:sz w:val="20"/>
                      <w:szCs w:val="20"/>
                    </w:rPr>
                  </w:pPr>
                  <w:r>
                    <w:rPr>
                      <w:rFonts w:ascii="Arial" w:eastAsia="Times New Roman" w:hAnsi="Arial" w:cs="Arial"/>
                      <w:sz w:val="20"/>
                      <w:szCs w:val="20"/>
                    </w:rPr>
                    <w:t>Operation has triggered 1 or more Policy Directives; please refer to appropriate Directive(s). Complete Project Classification Tool. Submit Safeguard Policy Filter Report, PP (or equivalent) and Safeguard Screening Form to ESR.</w:t>
                  </w:r>
                  <w:r>
                    <w:rPr>
                      <w:rFonts w:ascii="Arial" w:eastAsia="Times New Roman" w:hAnsi="Arial" w:cs="Arial"/>
                      <w:sz w:val="20"/>
                      <w:szCs w:val="20"/>
                    </w:rPr>
                    <w:br/>
                  </w:r>
                  <w:r>
                    <w:rPr>
                      <w:rFonts w:ascii="Arial" w:eastAsia="Times New Roman" w:hAnsi="Arial" w:cs="Arial"/>
                      <w:sz w:val="20"/>
                      <w:szCs w:val="20"/>
                    </w:rPr>
                    <w:br/>
                    <w:t xml:space="preserve">The project triggered the Disaster Risk Management policy (OP-704). A Disaster Risk Assessment (DRA) may be required (see Directive A-2 of the DRM Policy OP-704) in case of high risk, a limited DRA in case of moderate risk. Next, please complete a Disaster Risk Classification along with Impact Classification. </w:t>
                  </w:r>
                  <w:r>
                    <w:rPr>
                      <w:rFonts w:ascii="Arial" w:eastAsia="Times New Roman" w:hAnsi="Arial" w:cs="Arial"/>
                      <w:sz w:val="20"/>
                      <w:szCs w:val="20"/>
                    </w:rPr>
                    <w:br/>
                  </w:r>
                  <w:r>
                    <w:rPr>
                      <w:rFonts w:ascii="Arial" w:eastAsia="Times New Roman" w:hAnsi="Arial" w:cs="Arial"/>
                      <w:sz w:val="20"/>
                      <w:szCs w:val="20"/>
                    </w:rPr>
                    <w:br/>
                    <w:t>The project triggered the Other Risks policy (B.04): climate risk.Please include sections on how climate risk will be dealt with in the ESS as well as client documents (EIA, EA, etc);Recommend addressing risks from gradual changes in climate for the project in cost/benefit and credit risk analyses as well as TORs for engineering studies.</w:t>
                  </w:r>
                </w:p>
              </w:tc>
            </w:tr>
            <w:tr w:rsidR="00C876AF" w:rsidTr="009D66A1">
              <w:trPr>
                <w:trHeight w:val="519"/>
              </w:trPr>
              <w:tc>
                <w:tcPr>
                  <w:tcW w:w="22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lastRenderedPageBreak/>
                    <w:t>Additional Comments:</w:t>
                  </w:r>
                </w:p>
              </w:tc>
              <w:tc>
                <w:tcPr>
                  <w:tcW w:w="7129"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C876AF">
                  <w:pPr>
                    <w:rPr>
                      <w:rFonts w:ascii="Arial" w:eastAsia="Times New Roman" w:hAnsi="Arial" w:cs="Arial"/>
                      <w:sz w:val="20"/>
                      <w:szCs w:val="20"/>
                    </w:rPr>
                  </w:pPr>
                  <w:bookmarkStart w:id="0" w:name="_GoBack"/>
                  <w:bookmarkEnd w:id="0"/>
                </w:p>
              </w:tc>
            </w:tr>
          </w:tbl>
          <w:p w:rsidR="00C876AF" w:rsidRDefault="00C876AF">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9"/>
              <w:gridCol w:w="6915"/>
            </w:tblGrid>
            <w:tr w:rsidR="00C876AF">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ASSESSOR DETAILS</w:t>
                  </w:r>
                </w:p>
              </w:tc>
            </w:tr>
            <w:tr w:rsidR="00C876AF">
              <w:trPr>
                <w:trHeight w:val="300"/>
              </w:trPr>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Hintze, Luis Hernando (LUISHH@iadb.org)</w:t>
                  </w:r>
                </w:p>
              </w:tc>
            </w:tr>
            <w:tr w:rsidR="00C876AF">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C876AF">
                  <w:pPr>
                    <w:rPr>
                      <w:rFonts w:ascii="Arial" w:eastAsia="Times New Roman" w:hAnsi="Arial" w:cs="Arial"/>
                      <w:sz w:val="20"/>
                      <w:szCs w:val="20"/>
                    </w:rPr>
                  </w:pPr>
                </w:p>
              </w:tc>
            </w:tr>
            <w:tr w:rsidR="00C876AF">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2015-07-08</w:t>
                  </w:r>
                </w:p>
              </w:tc>
            </w:tr>
          </w:tbl>
          <w:p w:rsidR="00C876AF" w:rsidRDefault="00D500CA">
            <w:pPr>
              <w:rPr>
                <w:rFonts w:ascii="Arial" w:eastAsia="Times New Roman" w:hAnsi="Arial" w:cs="Arial"/>
                <w:sz w:val="20"/>
                <w:szCs w:val="20"/>
              </w:rPr>
            </w:pPr>
            <w:r>
              <w:rPr>
                <w:rFonts w:ascii="Arial" w:eastAsia="Times New Roman" w:hAnsi="Arial" w:cs="Arial"/>
                <w:sz w:val="20"/>
                <w:szCs w:val="20"/>
              </w:rPr>
              <w:br/>
              <w: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C876AF">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COMMENTS</w:t>
                  </w:r>
                </w:p>
              </w:tc>
            </w:tr>
            <w:tr w:rsidR="00C876AF">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No Comments</w:t>
                  </w:r>
                </w:p>
              </w:tc>
            </w:tr>
          </w:tbl>
          <w:p w:rsidR="00C876AF" w:rsidRDefault="00D500CA">
            <w:pPr>
              <w:spacing w:after="240"/>
              <w:rPr>
                <w:rFonts w:ascii="Arial" w:eastAsia="Times New Roman" w:hAnsi="Arial" w:cs="Arial"/>
                <w:sz w:val="20"/>
                <w:szCs w:val="20"/>
              </w:rPr>
            </w:pPr>
            <w:r>
              <w:rPr>
                <w:rFonts w:ascii="Arial" w:eastAsia="Times New Roman" w:hAnsi="Arial" w:cs="Arial"/>
                <w:sz w:val="20"/>
                <w:szCs w:val="20"/>
              </w:rPr>
              <w:br/>
            </w: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tbl>
            <w:tblPr>
              <w:tblW w:w="5000" w:type="pct"/>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44"/>
            </w:tblGrid>
            <w:tr w:rsidR="00C876AF">
              <w:trPr>
                <w:divId w:val="1157918780"/>
                <w:tblCellSpacing w:w="15" w:type="dxa"/>
              </w:trPr>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C876AF" w:rsidRDefault="00D500CA">
                  <w:pPr>
                    <w:spacing w:after="240"/>
                    <w:rPr>
                      <w:rFonts w:ascii="Arial" w:eastAsia="Times New Roman" w:hAnsi="Arial" w:cs="Arial"/>
                      <w:sz w:val="20"/>
                      <w:szCs w:val="20"/>
                    </w:rPr>
                  </w:pPr>
                  <w:r>
                    <w:rPr>
                      <w:rFonts w:ascii="Arial" w:eastAsia="Times New Roman" w:hAnsi="Arial" w:cs="Arial"/>
                      <w:b/>
                      <w:bCs/>
                      <w:sz w:val="28"/>
                      <w:szCs w:val="28"/>
                    </w:rPr>
                    <w:lastRenderedPageBreak/>
                    <w:t>SAFEGUARD SCREENING FORM</w:t>
                  </w:r>
                </w:p>
                <w:tbl>
                  <w:tblPr>
                    <w:tblW w:w="5000" w:type="pct"/>
                    <w:tblCellSpacing w:w="0" w:type="dxa"/>
                    <w:tblBorders>
                      <w:top w:val="single" w:sz="6" w:space="0" w:color="808080"/>
                      <w:left w:val="single" w:sz="6" w:space="0" w:color="808080"/>
                      <w:right w:val="single" w:sz="6" w:space="0" w:color="808080"/>
                    </w:tblBorders>
                    <w:tblCellMar>
                      <w:left w:w="0" w:type="dxa"/>
                      <w:right w:w="0" w:type="dxa"/>
                    </w:tblCellMar>
                    <w:tblLook w:val="04A0" w:firstRow="1" w:lastRow="0" w:firstColumn="1" w:lastColumn="0" w:noHBand="0" w:noVBand="1"/>
                  </w:tblPr>
                  <w:tblGrid>
                    <w:gridCol w:w="2347"/>
                    <w:gridCol w:w="6681"/>
                  </w:tblGrid>
                  <w:tr w:rsidR="00C876AF">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105" w:type="dxa"/>
                          <w:bottom w:w="0"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PROJECT DETAILS</w:t>
                        </w:r>
                      </w:p>
                    </w:tc>
                  </w:tr>
                  <w:tr w:rsidR="00C876AF">
                    <w:trPr>
                      <w:tblCellSpacing w:w="0" w:type="dxa"/>
                    </w:trPr>
                    <w:tc>
                      <w:tcPr>
                        <w:tcW w:w="13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IDB Sector</w:t>
                        </w:r>
                      </w:p>
                    </w:tc>
                    <w:tc>
                      <w:tcPr>
                        <w:tcW w:w="37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ENVIRONMENT AND NATURAL DISASTERS-CLIMATE CHANGE ADAPTATION POLICY</w:t>
                        </w: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Investment Loan</w:t>
                        </w: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C876AF">
                        <w:pPr>
                          <w:rPr>
                            <w:rFonts w:ascii="Arial" w:eastAsia="Times New Roman" w:hAnsi="Arial" w:cs="Arial"/>
                            <w:sz w:val="20"/>
                            <w:szCs w:val="20"/>
                          </w:rPr>
                        </w:pP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BOLIVIA</w:t>
                        </w: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C876AF">
                        <w:pPr>
                          <w:rPr>
                            <w:rFonts w:ascii="Arial" w:eastAsia="Times New Roman" w:hAnsi="Arial" w:cs="Arial"/>
                            <w:sz w:val="20"/>
                            <w:szCs w:val="20"/>
                          </w:rPr>
                        </w:pP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Generic Checklist</w:t>
                        </w: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Hintze, Luis Hernando (LUISHH@iadb.org)</w:t>
                        </w: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Irrigation Program with a Watersheds Approach III</w:t>
                        </w: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BO-L1106</w:t>
                        </w: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Hintze, Luis Hernando (LUISHH@iadb.org)</w:t>
                        </w:r>
                      </w:p>
                    </w:tc>
                  </w:tr>
                  <w:tr w:rsidR="00C876A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2015-07-08</w:t>
                        </w:r>
                      </w:p>
                    </w:tc>
                  </w:tr>
                </w:tbl>
                <w:p w:rsidR="00C876AF" w:rsidRDefault="00C876AF">
                  <w:pPr>
                    <w:spacing w:after="240"/>
                    <w:rPr>
                      <w:rFonts w:ascii="Arial" w:eastAsia="Times New Roman" w:hAnsi="Arial" w:cs="Arial"/>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2"/>
                    <w:gridCol w:w="1859"/>
                    <w:gridCol w:w="4997"/>
                  </w:tblGrid>
                  <w:tr w:rsidR="00C876AF">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PROJECT CLASSIFICATION SUMMARY</w:t>
                        </w:r>
                      </w:p>
                    </w:tc>
                  </w:tr>
                  <w:tr w:rsidR="00C876AF">
                    <w:trPr>
                      <w:trHeight w:val="600"/>
                      <w:tblCellSpacing w:w="15" w:type="dxa"/>
                    </w:trPr>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Project Category:</w:t>
                        </w:r>
                        <w:r>
                          <w:rPr>
                            <w:rFonts w:ascii="Arial" w:eastAsia="Times New Roman" w:hAnsi="Arial" w:cs="Arial"/>
                            <w:b/>
                            <w:bCs/>
                            <w:sz w:val="20"/>
                            <w:szCs w:val="20"/>
                          </w:rPr>
                          <w:br/>
                        </w:r>
                        <w:r>
                          <w:rPr>
                            <w:rFonts w:ascii="Arial" w:eastAsia="Times New Roman" w:hAnsi="Arial" w:cs="Arial"/>
                            <w:sz w:val="20"/>
                            <w:szCs w:val="20"/>
                          </w:rPr>
                          <w:t>B</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Override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Override Justification:</w:t>
                        </w:r>
                      </w:p>
                    </w:tc>
                  </w:tr>
                  <w:tr w:rsidR="00C876AF">
                    <w:trPr>
                      <w:trHeight w:val="600"/>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76AF" w:rsidRDefault="00C876AF">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Comments:</w:t>
                        </w:r>
                      </w:p>
                    </w:tc>
                  </w:tr>
                  <w:tr w:rsidR="00C876A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Conditions/</w:t>
                        </w:r>
                        <w:r>
                          <w:rPr>
                            <w:rFonts w:ascii="Arial" w:eastAsia="Times New Roman" w:hAnsi="Arial" w:cs="Arial"/>
                            <w:b/>
                            <w:bCs/>
                            <w:sz w:val="20"/>
                            <w:szCs w:val="20"/>
                          </w:rPr>
                          <w:br/>
                          <w:t>Recommendations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Category "B" operations require an environmental analysis (see Environment Policy Guideline: Directive B.5 for Environmental Analysis requirements).</w:t>
                        </w:r>
                      </w:p>
                      <w:p w:rsidR="00C876AF" w:rsidRDefault="00D500CA">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The Project Team must send to ESR the PP (or equivalent) containing the Environmental and Social Strategy (the requirements for an ESS are described in the Environment Policy Guideline: Directive B.3) as well as the Safeguard Policy Filter and Safeguard Screening Form Reports.</w:t>
                        </w:r>
                      </w:p>
                      <w:p w:rsidR="00C876AF" w:rsidRDefault="00D500CA">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These operations will normally require an environmental and/or social impact analysis, according to, and focusing on, the specific issues identified in the screening process, and an environmental and social management plan (ESMP). However, these operations should also establish safeguard, or monitoring requirements to address environmental and other risks (social, disaster, cultural, health and safety etc.) where necessary.</w:t>
                        </w:r>
                      </w:p>
                    </w:tc>
                  </w:tr>
                </w:tbl>
                <w:p w:rsidR="00C876AF" w:rsidRDefault="00C876AF">
                  <w:pPr>
                    <w:spacing w:after="240"/>
                    <w:rPr>
                      <w:rFonts w:ascii="Arial" w:eastAsia="Times New Roman" w:hAnsi="Arial" w:cs="Arial"/>
                      <w:sz w:val="20"/>
                      <w:szCs w:val="20"/>
                    </w:rPr>
                  </w:pPr>
                </w:p>
                <w:p w:rsidR="009D66A1" w:rsidRDefault="009D66A1">
                  <w:pPr>
                    <w:spacing w:after="240"/>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1"/>
                    <w:gridCol w:w="2706"/>
                    <w:gridCol w:w="3961"/>
                  </w:tblGrid>
                  <w:tr w:rsidR="00C876AF" w:rsidTr="009D66A1">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SUMMARY OF IMPACTS/RISKS AND POTENTIAL SOLUTIONS</w:t>
                        </w:r>
                      </w:p>
                    </w:tc>
                  </w:tr>
                  <w:tr w:rsidR="00C876AF" w:rsidTr="009D66A1">
                    <w:trPr>
                      <w:tblCellSpacing w:w="15" w:type="dxa"/>
                    </w:trPr>
                    <w:tc>
                      <w:tcPr>
                        <w:tcW w:w="128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 xml:space="preserve">Identified </w:t>
                        </w:r>
                        <w:r>
                          <w:rPr>
                            <w:rFonts w:ascii="Arial" w:eastAsia="Times New Roman" w:hAnsi="Arial" w:cs="Arial"/>
                            <w:b/>
                            <w:bCs/>
                            <w:sz w:val="20"/>
                            <w:szCs w:val="20"/>
                          </w:rPr>
                          <w:lastRenderedPageBreak/>
                          <w:t>Impacts/Risks</w:t>
                        </w:r>
                      </w:p>
                    </w:tc>
                    <w:tc>
                      <w:tcPr>
                        <w:tcW w:w="3663" w:type="pct"/>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lastRenderedPageBreak/>
                          <w:t>Potential Solutions</w:t>
                        </w:r>
                      </w:p>
                    </w:tc>
                  </w:tr>
                  <w:tr w:rsidR="00C876AF" w:rsidTr="009D66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lastRenderedPageBreak/>
                          <w:t>Negative impacts on ecosystem services (e.g. biodiversity corridors, flood protection) to other users or habitats are minor to moderate in nature.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b/>
                            <w:bCs/>
                            <w:sz w:val="20"/>
                            <w:szCs w:val="20"/>
                          </w:rPr>
                          <w:t>Ensure Adequate Management Plans:</w:t>
                        </w:r>
                        <w:r>
                          <w:rPr>
                            <w:rFonts w:ascii="Arial" w:eastAsia="Times New Roman" w:hAnsi="Arial" w:cs="Arial"/>
                            <w:sz w:val="20"/>
                            <w:szCs w:val="20"/>
                          </w:rPr>
                          <w:t xml:space="preserve"> The plans should define how impacts will be mitigated (roles and responsibilities, monitoring, budget, etc.) and how ongoing consultation (including the development of a grievance mechanism) will be implemented which could be part of the ESMP. The ESMP should also include measures to manage these impacts. There should be evidence of effective and timely consultation with local communities, relevant authorities and conservation NGOs and confirmation should be obtained from competent experts that they are confident that the plans can mitigate impacts. Depending on the financial product, the plans should be referenced in appropriate legal documentation (covenants, conditions of disbursement, project completion tests, etc.).</w:t>
                        </w:r>
                      </w:p>
                    </w:tc>
                  </w:tr>
                  <w:tr w:rsidR="00C876AF" w:rsidTr="009D66A1">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DISASTER RISK SUMMARY</w:t>
                        </w:r>
                      </w:p>
                    </w:tc>
                  </w:tr>
                  <w:tr w:rsidR="00C876AF" w:rsidTr="009D66A1">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 xml:space="preserve">Disaster Risk Category: </w:t>
                        </w:r>
                        <w:r>
                          <w:rPr>
                            <w:rFonts w:ascii="Arial" w:eastAsia="Times New Roman" w:hAnsi="Arial" w:cs="Arial"/>
                            <w:sz w:val="20"/>
                            <w:szCs w:val="20"/>
                          </w:rPr>
                          <w:t>Low</w:t>
                        </w:r>
                      </w:p>
                    </w:tc>
                  </w:tr>
                  <w:tr w:rsidR="00C876AF" w:rsidTr="009D66A1">
                    <w:trPr>
                      <w:tblCellSpacing w:w="15" w:type="dxa"/>
                    </w:trPr>
                    <w:tc>
                      <w:tcPr>
                        <w:tcW w:w="128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Disaster/</w:t>
                        </w:r>
                        <w:r>
                          <w:rPr>
                            <w:rFonts w:ascii="Arial" w:eastAsia="Times New Roman" w:hAnsi="Arial" w:cs="Arial"/>
                            <w:b/>
                            <w:bCs/>
                            <w:sz w:val="20"/>
                            <w:szCs w:val="20"/>
                          </w:rPr>
                          <w:br/>
                          <w:t>Recommendations</w:t>
                        </w:r>
                      </w:p>
                    </w:tc>
                    <w:tc>
                      <w:tcPr>
                        <w:tcW w:w="3663" w:type="pct"/>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No specific disaster risk management measures are required.</w:t>
                        </w:r>
                      </w:p>
                    </w:tc>
                  </w:tr>
                  <w:tr w:rsidR="00C876AF" w:rsidTr="009D66A1">
                    <w:trPr>
                      <w:gridAfter w:val="1"/>
                      <w:wAfter w:w="2176" w:type="pct"/>
                      <w:tblCellSpacing w:w="15" w:type="dxa"/>
                    </w:trPr>
                    <w:tc>
                      <w:tcPr>
                        <w:tcW w:w="2774" w:type="pct"/>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DISASTER SUMMARY</w:t>
                        </w:r>
                      </w:p>
                    </w:tc>
                  </w:tr>
                  <w:tr w:rsidR="00C876AF" w:rsidTr="009D66A1">
                    <w:trPr>
                      <w:tblCellSpacing w:w="15" w:type="dxa"/>
                    </w:trPr>
                    <w:tc>
                      <w:tcPr>
                        <w:tcW w:w="2774" w:type="pct"/>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rsidP="009D66A1">
                        <w:pPr>
                          <w:rPr>
                            <w:rFonts w:ascii="Arial" w:eastAsia="Times New Roman" w:hAnsi="Arial" w:cs="Arial"/>
                            <w:b/>
                            <w:bCs/>
                            <w:sz w:val="20"/>
                            <w:szCs w:val="20"/>
                          </w:rPr>
                        </w:pPr>
                        <w:r>
                          <w:rPr>
                            <w:rFonts w:ascii="Arial" w:eastAsia="Times New Roman" w:hAnsi="Arial" w:cs="Arial"/>
                            <w:b/>
                            <w:bCs/>
                            <w:sz w:val="20"/>
                            <w:szCs w:val="20"/>
                          </w:rPr>
                          <w:t>Details</w:t>
                        </w:r>
                        <w:r>
                          <w:rPr>
                            <w:rFonts w:ascii="Arial" w:eastAsia="Times New Roman" w:hAnsi="Arial" w:cs="Arial"/>
                            <w:b/>
                            <w:bCs/>
                            <w:sz w:val="20"/>
                            <w:szCs w:val="20"/>
                          </w:rPr>
                          <w:br/>
                        </w:r>
                        <w:r>
                          <w:rPr>
                            <w:rFonts w:ascii="Arial" w:eastAsia="Times New Roman" w:hAnsi="Arial" w:cs="Arial"/>
                            <w:sz w:val="20"/>
                            <w:szCs w:val="20"/>
                          </w:rPr>
                          <w:t>The Project should include the necessary measures to reduce disaster risk to acceptable levels as determined by the Bank on the basis of generally accepted standards and practices. Alternative prevention and mitigation measures that decrease vulnerability must be analyzed and included in project design and implementation as applicable. These measures should include safety and contingency planning to protect human health and economic assets. Expert opinion and adherence to international standards should be sought, where reasonably necessary.</w:t>
                        </w:r>
                      </w:p>
                    </w:tc>
                    <w:tc>
                      <w:tcPr>
                        <w:tcW w:w="2176"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rsidP="009D66A1">
                        <w:pPr>
                          <w:rPr>
                            <w:rFonts w:ascii="Arial" w:eastAsia="Times New Roman" w:hAnsi="Arial" w:cs="Arial"/>
                            <w:b/>
                            <w:bCs/>
                            <w:sz w:val="20"/>
                            <w:szCs w:val="20"/>
                          </w:rPr>
                        </w:pPr>
                        <w:r>
                          <w:rPr>
                            <w:rFonts w:ascii="Arial" w:eastAsia="Times New Roman" w:hAnsi="Arial" w:cs="Arial"/>
                            <w:b/>
                            <w:bCs/>
                            <w:sz w:val="20"/>
                            <w:szCs w:val="20"/>
                          </w:rPr>
                          <w:t>Actions</w:t>
                        </w:r>
                        <w:r>
                          <w:rPr>
                            <w:rFonts w:ascii="Arial" w:eastAsia="Times New Roman" w:hAnsi="Arial" w:cs="Arial"/>
                            <w:b/>
                            <w:bCs/>
                            <w:sz w:val="20"/>
                            <w:szCs w:val="20"/>
                          </w:rPr>
                          <w:br/>
                        </w:r>
                        <w:r>
                          <w:rPr>
                            <w:rFonts w:ascii="Arial" w:eastAsia="Times New Roman" w:hAnsi="Arial" w:cs="Arial"/>
                            <w:sz w:val="20"/>
                            <w:szCs w:val="20"/>
                          </w:rPr>
                          <w:br/>
                          <w:t>The project triggered the Other Risks policy (B.04): climate risk.Please include sections on how climate risk will be dealt with in the ESS as well as client documents (EIA, EA, etc);Recommend addressing risks from gradual changes in climate for the project in cost/benefit and credit risk analyses as well as TORs for engineering studies.</w:t>
                        </w:r>
                      </w:p>
                    </w:tc>
                  </w:tr>
                </w:tbl>
                <w:p w:rsidR="00C876AF" w:rsidRDefault="00C876AF">
                  <w:pPr>
                    <w:spacing w:after="240"/>
                    <w:rPr>
                      <w:rFonts w:ascii="Arial" w:eastAsia="Times New Roman" w:hAnsi="Arial" w:cs="Arial"/>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9"/>
                    <w:gridCol w:w="6659"/>
                  </w:tblGrid>
                  <w:tr w:rsidR="00C876AF">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ASSESSOR DETAILS</w:t>
                        </w:r>
                      </w:p>
                    </w:tc>
                  </w:tr>
                  <w:tr w:rsidR="00C876AF">
                    <w:trPr>
                      <w:trHeight w:val="300"/>
                      <w:tblCellSpacing w:w="15" w:type="dxa"/>
                    </w:trPr>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Hintze, Luis Hernando (LUISHH@iadb.org)</w:t>
                        </w:r>
                      </w:p>
                    </w:tc>
                  </w:tr>
                  <w:tr w:rsidR="00C876AF">
                    <w:trPr>
                      <w:trHeight w:val="300"/>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C876AF">
                        <w:pPr>
                          <w:rPr>
                            <w:rFonts w:ascii="Arial" w:eastAsia="Times New Roman" w:hAnsi="Arial" w:cs="Arial"/>
                            <w:sz w:val="20"/>
                            <w:szCs w:val="20"/>
                          </w:rPr>
                        </w:pPr>
                      </w:p>
                    </w:tc>
                  </w:tr>
                  <w:tr w:rsidR="00C876AF">
                    <w:trPr>
                      <w:trHeight w:val="300"/>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876AF" w:rsidRDefault="00D500CA">
                        <w:pPr>
                          <w:rPr>
                            <w:rFonts w:ascii="Arial" w:eastAsia="Times New Roman" w:hAnsi="Arial" w:cs="Arial"/>
                            <w:sz w:val="20"/>
                            <w:szCs w:val="20"/>
                          </w:rPr>
                        </w:pPr>
                        <w:r>
                          <w:rPr>
                            <w:rFonts w:ascii="Arial" w:eastAsia="Times New Roman" w:hAnsi="Arial" w:cs="Arial"/>
                            <w:sz w:val="20"/>
                            <w:szCs w:val="20"/>
                          </w:rPr>
                          <w:t>2015-07-08</w:t>
                        </w:r>
                      </w:p>
                    </w:tc>
                  </w:tr>
                </w:tbl>
                <w:p w:rsidR="00C876AF" w:rsidRDefault="00D500CA">
                  <w:pPr>
                    <w:rPr>
                      <w:rFonts w:ascii="Arial" w:eastAsia="Times New Roman" w:hAnsi="Arial" w:cs="Arial"/>
                      <w:sz w:val="20"/>
                      <w:szCs w:val="20"/>
                    </w:rPr>
                  </w:pPr>
                  <w:r>
                    <w:rPr>
                      <w:rFonts w:ascii="Arial" w:eastAsia="Times New Roman" w:hAnsi="Arial" w:cs="Arial"/>
                      <w:sz w:val="20"/>
                      <w:szCs w:val="20"/>
                    </w:rPr>
                    <w:t>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28"/>
                  </w:tblGrid>
                  <w:tr w:rsidR="00C876A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876AF" w:rsidRDefault="00D500CA">
                        <w:pPr>
                          <w:rPr>
                            <w:rFonts w:ascii="Arial" w:eastAsia="Times New Roman" w:hAnsi="Arial" w:cs="Arial"/>
                            <w:b/>
                            <w:bCs/>
                            <w:sz w:val="27"/>
                            <w:szCs w:val="27"/>
                          </w:rPr>
                        </w:pPr>
                        <w:r>
                          <w:rPr>
                            <w:rFonts w:ascii="Arial" w:eastAsia="Times New Roman" w:hAnsi="Arial" w:cs="Arial"/>
                            <w:b/>
                            <w:bCs/>
                            <w:sz w:val="27"/>
                            <w:szCs w:val="27"/>
                          </w:rPr>
                          <w:t>COMMENTS</w:t>
                        </w:r>
                      </w:p>
                    </w:tc>
                  </w:tr>
                  <w:tr w:rsidR="00C876A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876AF" w:rsidRDefault="00D500CA">
                        <w:pPr>
                          <w:rPr>
                            <w:rFonts w:ascii="Arial" w:eastAsia="Times New Roman" w:hAnsi="Arial" w:cs="Arial"/>
                            <w:b/>
                            <w:bCs/>
                            <w:sz w:val="20"/>
                            <w:szCs w:val="20"/>
                          </w:rPr>
                        </w:pPr>
                        <w:r>
                          <w:rPr>
                            <w:rFonts w:ascii="Arial" w:eastAsia="Times New Roman" w:hAnsi="Arial" w:cs="Arial"/>
                            <w:b/>
                            <w:bCs/>
                            <w:sz w:val="20"/>
                            <w:szCs w:val="20"/>
                          </w:rPr>
                          <w:t>No Comments</w:t>
                        </w:r>
                      </w:p>
                    </w:tc>
                  </w:tr>
                </w:tbl>
                <w:p w:rsidR="00C876AF" w:rsidRDefault="00C876AF">
                  <w:pPr>
                    <w:rPr>
                      <w:rFonts w:ascii="Arial" w:eastAsia="Times New Roman" w:hAnsi="Arial" w:cs="Arial"/>
                      <w:sz w:val="20"/>
                      <w:szCs w:val="20"/>
                    </w:rPr>
                  </w:pPr>
                </w:p>
              </w:tc>
            </w:tr>
          </w:tbl>
          <w:p w:rsidR="00C876AF" w:rsidRDefault="00C876AF">
            <w:pPr>
              <w:rPr>
                <w:rFonts w:ascii="Arial" w:eastAsia="Times New Roman" w:hAnsi="Arial" w:cs="Arial"/>
                <w:sz w:val="20"/>
                <w:szCs w:val="20"/>
              </w:rPr>
            </w:pPr>
          </w:p>
        </w:tc>
      </w:tr>
    </w:tbl>
    <w:p w:rsidR="00C876AF" w:rsidRDefault="00C876AF">
      <w:pPr>
        <w:rPr>
          <w:rFonts w:eastAsia="Times New Roman"/>
        </w:rPr>
      </w:pPr>
    </w:p>
    <w:sectPr w:rsidR="00C876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14" w:rsidRDefault="00E71614" w:rsidP="00E71614">
      <w:r>
        <w:separator/>
      </w:r>
    </w:p>
  </w:endnote>
  <w:endnote w:type="continuationSeparator" w:id="0">
    <w:p w:rsidR="00E71614" w:rsidRDefault="00E71614" w:rsidP="00E7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14" w:rsidRDefault="00E71614" w:rsidP="00E71614">
      <w:r>
        <w:separator/>
      </w:r>
    </w:p>
  </w:footnote>
  <w:footnote w:type="continuationSeparator" w:id="0">
    <w:p w:rsidR="00E71614" w:rsidRDefault="00E71614" w:rsidP="00E71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77648756"/>
      <w:docPartObj>
        <w:docPartGallery w:val="Page Numbers (Top of Page)"/>
        <w:docPartUnique/>
      </w:docPartObj>
    </w:sdtPr>
    <w:sdtEndPr>
      <w:rPr>
        <w:sz w:val="24"/>
        <w:szCs w:val="24"/>
      </w:rPr>
    </w:sdtEndPr>
    <w:sdtContent>
      <w:p w:rsidR="00E71614" w:rsidRPr="009D66A1" w:rsidRDefault="00E71614">
        <w:pPr>
          <w:pStyle w:val="Header"/>
          <w:jc w:val="right"/>
          <w:rPr>
            <w:sz w:val="22"/>
            <w:szCs w:val="22"/>
            <w:lang w:val="pt-BR"/>
          </w:rPr>
        </w:pPr>
        <w:r w:rsidRPr="009D66A1">
          <w:rPr>
            <w:sz w:val="22"/>
            <w:szCs w:val="22"/>
            <w:lang w:val="pt-BR"/>
          </w:rPr>
          <w:t>A</w:t>
        </w:r>
        <w:r w:rsidR="009D66A1" w:rsidRPr="009D66A1">
          <w:rPr>
            <w:sz w:val="22"/>
            <w:szCs w:val="22"/>
            <w:lang w:val="pt-BR"/>
          </w:rPr>
          <w:t>NEXO</w:t>
        </w:r>
        <w:r w:rsidRPr="009D66A1">
          <w:rPr>
            <w:sz w:val="22"/>
            <w:szCs w:val="22"/>
            <w:lang w:val="pt-BR"/>
          </w:rPr>
          <w:t xml:space="preserve"> I</w:t>
        </w:r>
        <w:r w:rsidR="009D66A1" w:rsidRPr="009D66A1">
          <w:rPr>
            <w:sz w:val="22"/>
            <w:szCs w:val="22"/>
            <w:lang w:val="pt-BR"/>
          </w:rPr>
          <w:t>V</w:t>
        </w:r>
        <w:r w:rsidRPr="009D66A1">
          <w:rPr>
            <w:sz w:val="22"/>
            <w:szCs w:val="22"/>
            <w:lang w:val="pt-BR"/>
          </w:rPr>
          <w:t xml:space="preserve"> – BO-L1106</w:t>
        </w:r>
      </w:p>
      <w:p w:rsidR="00E71614" w:rsidRPr="009D66A1" w:rsidRDefault="0074415D">
        <w:pPr>
          <w:pStyle w:val="Header"/>
          <w:jc w:val="right"/>
          <w:rPr>
            <w:lang w:val="pt-BR"/>
          </w:rPr>
        </w:pPr>
        <w:r w:rsidRPr="009D66A1">
          <w:rPr>
            <w:sz w:val="22"/>
            <w:szCs w:val="22"/>
            <w:lang w:val="pt-BR"/>
          </w:rPr>
          <w:t>Pagina</w:t>
        </w:r>
        <w:r w:rsidR="00E71614" w:rsidRPr="009D66A1">
          <w:rPr>
            <w:sz w:val="22"/>
            <w:szCs w:val="22"/>
            <w:lang w:val="pt-BR"/>
          </w:rPr>
          <w:t xml:space="preserve"> </w:t>
        </w:r>
        <w:r w:rsidR="00E71614" w:rsidRPr="00E71614">
          <w:rPr>
            <w:b/>
            <w:bCs/>
            <w:sz w:val="22"/>
            <w:szCs w:val="22"/>
          </w:rPr>
          <w:fldChar w:fldCharType="begin"/>
        </w:r>
        <w:r w:rsidR="00E71614" w:rsidRPr="009D66A1">
          <w:rPr>
            <w:b/>
            <w:bCs/>
            <w:sz w:val="22"/>
            <w:szCs w:val="22"/>
            <w:lang w:val="pt-BR"/>
          </w:rPr>
          <w:instrText xml:space="preserve"> PAGE </w:instrText>
        </w:r>
        <w:r w:rsidR="00E71614" w:rsidRPr="00E71614">
          <w:rPr>
            <w:b/>
            <w:bCs/>
            <w:sz w:val="22"/>
            <w:szCs w:val="22"/>
          </w:rPr>
          <w:fldChar w:fldCharType="separate"/>
        </w:r>
        <w:r w:rsidR="00930C55">
          <w:rPr>
            <w:b/>
            <w:bCs/>
            <w:noProof/>
            <w:sz w:val="22"/>
            <w:szCs w:val="22"/>
            <w:lang w:val="pt-BR"/>
          </w:rPr>
          <w:t>4</w:t>
        </w:r>
        <w:r w:rsidR="00E71614" w:rsidRPr="00E71614">
          <w:rPr>
            <w:b/>
            <w:bCs/>
            <w:sz w:val="22"/>
            <w:szCs w:val="22"/>
          </w:rPr>
          <w:fldChar w:fldCharType="end"/>
        </w:r>
        <w:r w:rsidRPr="009D66A1">
          <w:rPr>
            <w:sz w:val="22"/>
            <w:szCs w:val="22"/>
            <w:lang w:val="pt-BR"/>
          </w:rPr>
          <w:t xml:space="preserve"> de</w:t>
        </w:r>
        <w:r w:rsidR="00E71614" w:rsidRPr="009D66A1">
          <w:rPr>
            <w:sz w:val="22"/>
            <w:szCs w:val="22"/>
            <w:lang w:val="pt-BR"/>
          </w:rPr>
          <w:t xml:space="preserve"> </w:t>
        </w:r>
        <w:r w:rsidR="00E71614" w:rsidRPr="00E71614">
          <w:rPr>
            <w:b/>
            <w:bCs/>
            <w:sz w:val="22"/>
            <w:szCs w:val="22"/>
          </w:rPr>
          <w:fldChar w:fldCharType="begin"/>
        </w:r>
        <w:r w:rsidR="00E71614" w:rsidRPr="009D66A1">
          <w:rPr>
            <w:b/>
            <w:bCs/>
            <w:sz w:val="22"/>
            <w:szCs w:val="22"/>
            <w:lang w:val="pt-BR"/>
          </w:rPr>
          <w:instrText xml:space="preserve"> NUMPAGES  </w:instrText>
        </w:r>
        <w:r w:rsidR="00E71614" w:rsidRPr="00E71614">
          <w:rPr>
            <w:b/>
            <w:bCs/>
            <w:sz w:val="22"/>
            <w:szCs w:val="22"/>
          </w:rPr>
          <w:fldChar w:fldCharType="separate"/>
        </w:r>
        <w:r w:rsidR="00930C55">
          <w:rPr>
            <w:b/>
            <w:bCs/>
            <w:noProof/>
            <w:sz w:val="22"/>
            <w:szCs w:val="22"/>
            <w:lang w:val="pt-BR"/>
          </w:rPr>
          <w:t>5</w:t>
        </w:r>
        <w:r w:rsidR="00E71614" w:rsidRPr="00E71614">
          <w:rPr>
            <w:b/>
            <w:bCs/>
            <w:sz w:val="22"/>
            <w:szCs w:val="22"/>
          </w:rPr>
          <w:fldChar w:fldCharType="end"/>
        </w:r>
      </w:p>
    </w:sdtContent>
  </w:sdt>
  <w:p w:rsidR="00E71614" w:rsidRPr="009D66A1" w:rsidRDefault="00E71614">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C6C0A"/>
    <w:multiLevelType w:val="multilevel"/>
    <w:tmpl w:val="0B3C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500CA"/>
    <w:rsid w:val="0074415D"/>
    <w:rsid w:val="00930C55"/>
    <w:rsid w:val="009D66A1"/>
    <w:rsid w:val="00C876AF"/>
    <w:rsid w:val="00D500CA"/>
    <w:rsid w:val="00E7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s">
    <w:name w:val="sub_headers"/>
    <w:basedOn w:val="Normal"/>
    <w:pPr>
      <w:shd w:val="clear" w:color="auto" w:fill="CCCCCC"/>
      <w:spacing w:before="100" w:beforeAutospacing="1" w:after="100" w:afterAutospacing="1"/>
    </w:pPr>
    <w:rPr>
      <w:b/>
      <w:bCs/>
      <w:sz w:val="27"/>
      <w:szCs w:val="27"/>
    </w:rPr>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s">
    <w:name w:val="s"/>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paragraph" w:customStyle="1" w:styleId="tablehead">
    <w:name w:val="tablehead"/>
    <w:basedOn w:val="Normal"/>
    <w:pPr>
      <w:spacing w:before="100" w:beforeAutospacing="1" w:after="100" w:afterAutospacing="1"/>
      <w:jc w:val="center"/>
    </w:pPr>
    <w:rPr>
      <w:b/>
      <w:bCs/>
      <w:sz w:val="20"/>
      <w:szCs w:val="20"/>
    </w:rPr>
  </w:style>
  <w:style w:type="paragraph" w:styleId="Header">
    <w:name w:val="header"/>
    <w:basedOn w:val="Normal"/>
    <w:link w:val="HeaderChar"/>
    <w:uiPriority w:val="99"/>
    <w:unhideWhenUsed/>
    <w:rsid w:val="00E71614"/>
    <w:pPr>
      <w:tabs>
        <w:tab w:val="center" w:pos="4680"/>
        <w:tab w:val="right" w:pos="9360"/>
      </w:tabs>
    </w:pPr>
  </w:style>
  <w:style w:type="character" w:customStyle="1" w:styleId="HeaderChar">
    <w:name w:val="Header Char"/>
    <w:basedOn w:val="DefaultParagraphFont"/>
    <w:link w:val="Header"/>
    <w:uiPriority w:val="99"/>
    <w:rsid w:val="00E71614"/>
    <w:rPr>
      <w:rFonts w:eastAsiaTheme="minorEastAsia"/>
      <w:sz w:val="24"/>
      <w:szCs w:val="24"/>
    </w:rPr>
  </w:style>
  <w:style w:type="paragraph" w:styleId="Footer">
    <w:name w:val="footer"/>
    <w:basedOn w:val="Normal"/>
    <w:link w:val="FooterChar"/>
    <w:uiPriority w:val="99"/>
    <w:unhideWhenUsed/>
    <w:rsid w:val="00E71614"/>
    <w:pPr>
      <w:tabs>
        <w:tab w:val="center" w:pos="4680"/>
        <w:tab w:val="right" w:pos="9360"/>
      </w:tabs>
    </w:pPr>
  </w:style>
  <w:style w:type="character" w:customStyle="1" w:styleId="FooterChar">
    <w:name w:val="Footer Char"/>
    <w:basedOn w:val="DefaultParagraphFont"/>
    <w:link w:val="Footer"/>
    <w:uiPriority w:val="99"/>
    <w:rsid w:val="00E7161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s">
    <w:name w:val="sub_headers"/>
    <w:basedOn w:val="Normal"/>
    <w:pPr>
      <w:shd w:val="clear" w:color="auto" w:fill="CCCCCC"/>
      <w:spacing w:before="100" w:beforeAutospacing="1" w:after="100" w:afterAutospacing="1"/>
    </w:pPr>
    <w:rPr>
      <w:b/>
      <w:bCs/>
      <w:sz w:val="27"/>
      <w:szCs w:val="27"/>
    </w:rPr>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s">
    <w:name w:val="s"/>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paragraph" w:customStyle="1" w:styleId="tablehead">
    <w:name w:val="tablehead"/>
    <w:basedOn w:val="Normal"/>
    <w:pPr>
      <w:spacing w:before="100" w:beforeAutospacing="1" w:after="100" w:afterAutospacing="1"/>
      <w:jc w:val="center"/>
    </w:pPr>
    <w:rPr>
      <w:b/>
      <w:bCs/>
      <w:sz w:val="20"/>
      <w:szCs w:val="20"/>
    </w:rPr>
  </w:style>
  <w:style w:type="paragraph" w:styleId="Header">
    <w:name w:val="header"/>
    <w:basedOn w:val="Normal"/>
    <w:link w:val="HeaderChar"/>
    <w:uiPriority w:val="99"/>
    <w:unhideWhenUsed/>
    <w:rsid w:val="00E71614"/>
    <w:pPr>
      <w:tabs>
        <w:tab w:val="center" w:pos="4680"/>
        <w:tab w:val="right" w:pos="9360"/>
      </w:tabs>
    </w:pPr>
  </w:style>
  <w:style w:type="character" w:customStyle="1" w:styleId="HeaderChar">
    <w:name w:val="Header Char"/>
    <w:basedOn w:val="DefaultParagraphFont"/>
    <w:link w:val="Header"/>
    <w:uiPriority w:val="99"/>
    <w:rsid w:val="00E71614"/>
    <w:rPr>
      <w:rFonts w:eastAsiaTheme="minorEastAsia"/>
      <w:sz w:val="24"/>
      <w:szCs w:val="24"/>
    </w:rPr>
  </w:style>
  <w:style w:type="paragraph" w:styleId="Footer">
    <w:name w:val="footer"/>
    <w:basedOn w:val="Normal"/>
    <w:link w:val="FooterChar"/>
    <w:uiPriority w:val="99"/>
    <w:unhideWhenUsed/>
    <w:rsid w:val="00E71614"/>
    <w:pPr>
      <w:tabs>
        <w:tab w:val="center" w:pos="4680"/>
        <w:tab w:val="right" w:pos="9360"/>
      </w:tabs>
    </w:pPr>
  </w:style>
  <w:style w:type="character" w:customStyle="1" w:styleId="FooterChar">
    <w:name w:val="Footer Char"/>
    <w:basedOn w:val="DefaultParagraphFont"/>
    <w:link w:val="Footer"/>
    <w:uiPriority w:val="99"/>
    <w:rsid w:val="00E7161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187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40256184</IDBDocs_x0020_Number>
    <TaxCatchAll xmlns="9c571b2f-e523-4ab2-ba2e-09e151a03ef4">
      <Value>14</Value>
      <Value>12</Value>
    </TaxCatchAll>
    <Phase xmlns="9c571b2f-e523-4ab2-ba2e-09e151a03ef4" xsi:nil="true"/>
    <SISCOR_x0020_Number xmlns="9c571b2f-e523-4ab2-ba2e-09e151a03ef4" xsi:nil="true"/>
    <Division_x0020_or_x0020_Unit xmlns="9c571b2f-e523-4ab2-ba2e-09e151a03ef4">CSD/RND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Hintze, Luis Hernando</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BO-L1106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Proposal&lt;/USER_STAGE&gt;&lt;PD_OBJ_TYPE&gt;0&lt;/PD_OBJ_TYPE&gt;&lt;MAKERECORD&gt;N&lt;/MAKERECORD&gt;&lt;PD_FILEPT_NO&gt;PO-BO-L1106-Plan&lt;/PD_FILEPT_NO&gt;&lt;/Data&gt;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AG-ADR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D6C201904D67F4B92AEAC8A2C063F61" ma:contentTypeVersion="0" ma:contentTypeDescription="A content type to manage public (operations) IDB documents" ma:contentTypeScope="" ma:versionID="491991a4a2e8c0d97ed25b494e08705e">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F2E9C-1507-47E5-B90E-9E1D4E2504E7}"/>
</file>

<file path=customXml/itemProps2.xml><?xml version="1.0" encoding="utf-8"?>
<ds:datastoreItem xmlns:ds="http://schemas.openxmlformats.org/officeDocument/2006/customXml" ds:itemID="{23640301-D1F5-4873-BBE0-3441F9D75E3F}"/>
</file>

<file path=customXml/itemProps3.xml><?xml version="1.0" encoding="utf-8"?>
<ds:datastoreItem xmlns:ds="http://schemas.openxmlformats.org/officeDocument/2006/customXml" ds:itemID="{C83B166B-B108-46DD-8527-8BD546EF922F}"/>
</file>

<file path=customXml/itemProps4.xml><?xml version="1.0" encoding="utf-8"?>
<ds:datastoreItem xmlns:ds="http://schemas.openxmlformats.org/officeDocument/2006/customXml" ds:itemID="{EA48C036-B68B-4179-8741-E4313ECA982C}"/>
</file>

<file path=customXml/itemProps5.xml><?xml version="1.0" encoding="utf-8"?>
<ds:datastoreItem xmlns:ds="http://schemas.openxmlformats.org/officeDocument/2006/customXml" ds:itemID="{8906A044-4482-4922-B81E-FA70336E20B8}"/>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6763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 - ESR Forms</dc:title>
  <dc:creator>Inter-American Development Bank</dc:creator>
  <cp:lastModifiedBy>Inter-American Development Bank</cp:lastModifiedBy>
  <cp:revision>2</cp:revision>
  <cp:lastPrinted>2016-04-25T21:12:00Z</cp:lastPrinted>
  <dcterms:created xsi:type="dcterms:W3CDTF">2016-04-25T21:18:00Z</dcterms:created>
  <dcterms:modified xsi:type="dcterms:W3CDTF">2016-04-25T21:18:00Z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0x01010046CF21643EE8D14686A648AA6DAD0892006D6C201904D67F4B92AEAC8A2C063F61</vt:lpwstr>
  </property>
  <property fmtid="{D5CDD505-2E9C-101B-9397-08002B2CF9AE}" pid="3" name="TaxKeyword">
    <vt:lpwstr/>
  </property>
  <property fmtid="{D5CDD505-2E9C-101B-9397-08002B2CF9AE}" pid="4" name="Function Operations IDB">
    <vt:lpwstr>12;#Project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14;#Project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14;#Project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