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2918" w14:textId="77777777" w:rsidR="00AE2BDA" w:rsidRPr="008C0219" w:rsidRDefault="00AE2BDA" w:rsidP="00253D5A">
      <w:pPr>
        <w:pStyle w:val="Heading1"/>
        <w:rPr>
          <w:b/>
          <w:bCs/>
          <w:sz w:val="22"/>
          <w:szCs w:val="22"/>
          <w:u w:val="none"/>
          <w:lang w:val="es-CO"/>
        </w:rPr>
      </w:pPr>
      <w:r w:rsidRPr="008C0219">
        <w:rPr>
          <w:b/>
          <w:bCs/>
          <w:sz w:val="22"/>
          <w:szCs w:val="22"/>
          <w:u w:val="none"/>
          <w:lang w:val="es-CO"/>
        </w:rPr>
        <w:t>ANEX</w:t>
      </w:r>
      <w:r w:rsidR="00930FFF" w:rsidRPr="008C0219">
        <w:rPr>
          <w:b/>
          <w:bCs/>
          <w:sz w:val="22"/>
          <w:szCs w:val="22"/>
          <w:u w:val="none"/>
          <w:lang w:val="es-CO"/>
        </w:rPr>
        <w:t>O</w:t>
      </w:r>
      <w:r w:rsidRPr="008C0219">
        <w:rPr>
          <w:b/>
          <w:bCs/>
          <w:sz w:val="22"/>
          <w:szCs w:val="22"/>
          <w:u w:val="none"/>
          <w:lang w:val="es-CO"/>
        </w:rPr>
        <w:t xml:space="preserve"> A</w:t>
      </w:r>
    </w:p>
    <w:p w14:paraId="4CF32919" w14:textId="77777777" w:rsidR="00AE2BDA" w:rsidRPr="008C0219" w:rsidRDefault="00AE2BDA" w:rsidP="00253D5A">
      <w:pPr>
        <w:rPr>
          <w:sz w:val="22"/>
          <w:szCs w:val="22"/>
          <w:u w:val="single"/>
          <w:lang w:val="es-CO"/>
        </w:rPr>
      </w:pPr>
    </w:p>
    <w:p w14:paraId="281E5DF8" w14:textId="35D12933" w:rsidR="00202CC0" w:rsidRPr="00FC0C0E" w:rsidRDefault="00872BBA" w:rsidP="00FC0C0E">
      <w:pPr>
        <w:jc w:val="center"/>
        <w:rPr>
          <w:rFonts w:ascii="Arial" w:hAnsi="Arial" w:cs="Arial"/>
          <w:b/>
          <w:bCs/>
          <w:sz w:val="22"/>
          <w:szCs w:val="22"/>
          <w:lang w:val="es-CO"/>
        </w:rPr>
      </w:pPr>
      <w:r>
        <w:rPr>
          <w:rFonts w:ascii="Arial" w:hAnsi="Arial" w:cs="Arial"/>
          <w:b/>
          <w:bCs/>
          <w:sz w:val="22"/>
          <w:szCs w:val="22"/>
          <w:lang w:val="es-CO"/>
        </w:rPr>
        <w:t>REGIONAL</w:t>
      </w:r>
    </w:p>
    <w:p w14:paraId="4CF3291C" w14:textId="5FEAD586" w:rsidR="00AE2BDA" w:rsidRDefault="00872BBA" w:rsidP="00FC0C0E">
      <w:pPr>
        <w:jc w:val="center"/>
        <w:rPr>
          <w:rFonts w:ascii="Arial" w:hAnsi="Arial" w:cs="Arial"/>
          <w:b/>
          <w:sz w:val="22"/>
          <w:szCs w:val="22"/>
          <w:lang w:val="es-ES"/>
        </w:rPr>
      </w:pPr>
      <w:r w:rsidRPr="00872BBA">
        <w:rPr>
          <w:rFonts w:ascii="Arial" w:hAnsi="Arial" w:cs="Arial"/>
          <w:b/>
          <w:sz w:val="22"/>
          <w:szCs w:val="22"/>
          <w:lang w:val="es-ES"/>
        </w:rPr>
        <w:t>Impulso al Desarrollo y Perfeccionamiento del Mercado Eléctrico Regional (MER) de América Central</w:t>
      </w:r>
    </w:p>
    <w:p w14:paraId="4F0E670C" w14:textId="77777777" w:rsidR="00872BBA" w:rsidRPr="00E05AFA" w:rsidRDefault="00872BBA" w:rsidP="00FC0C0E">
      <w:pPr>
        <w:jc w:val="center"/>
        <w:rPr>
          <w:rFonts w:ascii="Arial" w:hAnsi="Arial" w:cs="Arial"/>
          <w:b/>
          <w:bCs/>
          <w:sz w:val="22"/>
          <w:szCs w:val="22"/>
          <w:lang w:val="es-ES"/>
        </w:rPr>
      </w:pPr>
    </w:p>
    <w:p w14:paraId="4BADDCF0" w14:textId="46E441D2" w:rsidR="00872BBA" w:rsidRDefault="00872BBA" w:rsidP="00FC0C0E">
      <w:pPr>
        <w:jc w:val="center"/>
        <w:rPr>
          <w:rFonts w:ascii="Arial" w:hAnsi="Arial" w:cs="Arial"/>
          <w:b/>
          <w:sz w:val="22"/>
          <w:szCs w:val="22"/>
          <w:lang w:val="es-ES"/>
        </w:rPr>
      </w:pPr>
      <w:bookmarkStart w:id="0" w:name="_GoBack"/>
      <w:r w:rsidRPr="00872BBA">
        <w:rPr>
          <w:rFonts w:ascii="Arial" w:hAnsi="Arial" w:cs="Arial"/>
          <w:b/>
          <w:sz w:val="22"/>
          <w:szCs w:val="22"/>
          <w:lang w:val="es-ES"/>
        </w:rPr>
        <w:t>Desarrollo del Mercado Eléctrico Regional</w:t>
      </w:r>
    </w:p>
    <w:p w14:paraId="6C968219" w14:textId="61CE10F1" w:rsidR="00E05AFA" w:rsidRPr="00E05AFA" w:rsidRDefault="00872BBA" w:rsidP="00FC0C0E">
      <w:pPr>
        <w:jc w:val="center"/>
        <w:rPr>
          <w:rFonts w:ascii="Arial" w:hAnsi="Arial" w:cs="Arial"/>
          <w:b/>
          <w:sz w:val="22"/>
          <w:szCs w:val="22"/>
          <w:lang w:val="es-ES"/>
        </w:rPr>
      </w:pPr>
      <w:r>
        <w:rPr>
          <w:rFonts w:ascii="Arial" w:hAnsi="Arial" w:cs="Arial"/>
          <w:b/>
          <w:sz w:val="22"/>
          <w:szCs w:val="22"/>
          <w:lang w:val="es-ES"/>
        </w:rPr>
        <w:t>Componente I</w:t>
      </w:r>
    </w:p>
    <w:bookmarkEnd w:id="0"/>
    <w:p w14:paraId="581AD05E" w14:textId="77777777" w:rsidR="00E05AFA" w:rsidRDefault="00E05AFA" w:rsidP="00FC0C0E">
      <w:pPr>
        <w:jc w:val="center"/>
        <w:rPr>
          <w:rFonts w:ascii="Arial" w:hAnsi="Arial" w:cs="Arial"/>
          <w:sz w:val="22"/>
          <w:szCs w:val="22"/>
          <w:lang w:val="es-ES"/>
        </w:rPr>
      </w:pPr>
    </w:p>
    <w:p w14:paraId="17B88370" w14:textId="7A060D40" w:rsidR="00E05AFA" w:rsidRPr="00E05AFA" w:rsidRDefault="00872BBA" w:rsidP="00FC0C0E">
      <w:pPr>
        <w:jc w:val="center"/>
        <w:rPr>
          <w:rFonts w:ascii="Arial" w:hAnsi="Arial" w:cs="Arial"/>
          <w:b/>
          <w:sz w:val="22"/>
          <w:szCs w:val="22"/>
          <w:lang w:val="es-ES"/>
        </w:rPr>
      </w:pPr>
      <w:r>
        <w:rPr>
          <w:rFonts w:ascii="Arial" w:hAnsi="Arial" w:cs="Arial"/>
          <w:b/>
          <w:sz w:val="22"/>
          <w:szCs w:val="22"/>
          <w:lang w:val="es-ES"/>
        </w:rPr>
        <w:t>RG-T2705</w:t>
      </w:r>
    </w:p>
    <w:p w14:paraId="365A9DCE" w14:textId="77777777" w:rsidR="00EB5F2B" w:rsidRPr="00FC0C0E" w:rsidRDefault="00EB5F2B" w:rsidP="00253D5A">
      <w:pPr>
        <w:rPr>
          <w:rFonts w:ascii="Arial" w:hAnsi="Arial" w:cs="Arial"/>
          <w:i/>
          <w:iCs/>
          <w:sz w:val="22"/>
          <w:szCs w:val="22"/>
          <w:lang w:val="es-ES"/>
        </w:rPr>
      </w:pPr>
    </w:p>
    <w:p w14:paraId="4CF3291E" w14:textId="77777777" w:rsidR="00AE2BDA" w:rsidRPr="00FC0C0E" w:rsidRDefault="00AE2BDA" w:rsidP="00FC0C0E">
      <w:pPr>
        <w:jc w:val="center"/>
        <w:rPr>
          <w:rFonts w:ascii="Arial" w:hAnsi="Arial" w:cs="Arial"/>
          <w:b/>
          <w:bCs/>
          <w:sz w:val="22"/>
          <w:szCs w:val="22"/>
          <w:lang w:val="es-ES"/>
        </w:rPr>
      </w:pPr>
      <w:r w:rsidRPr="00FC0C0E">
        <w:rPr>
          <w:rFonts w:ascii="Arial" w:hAnsi="Arial" w:cs="Arial"/>
          <w:b/>
          <w:bCs/>
          <w:sz w:val="22"/>
          <w:szCs w:val="22"/>
          <w:lang w:val="es-ES"/>
        </w:rPr>
        <w:t>TERM</w:t>
      </w:r>
      <w:r w:rsidR="00D956AD" w:rsidRPr="00FC0C0E">
        <w:rPr>
          <w:rFonts w:ascii="Arial" w:hAnsi="Arial" w:cs="Arial"/>
          <w:b/>
          <w:bCs/>
          <w:sz w:val="22"/>
          <w:szCs w:val="22"/>
          <w:lang w:val="es-ES"/>
        </w:rPr>
        <w:t>INO</w:t>
      </w:r>
      <w:r w:rsidRPr="00FC0C0E">
        <w:rPr>
          <w:rFonts w:ascii="Arial" w:hAnsi="Arial" w:cs="Arial"/>
          <w:b/>
          <w:bCs/>
          <w:sz w:val="22"/>
          <w:szCs w:val="22"/>
          <w:lang w:val="es-ES"/>
        </w:rPr>
        <w:t xml:space="preserve">S </w:t>
      </w:r>
      <w:r w:rsidR="00D956AD" w:rsidRPr="00FC0C0E">
        <w:rPr>
          <w:rFonts w:ascii="Arial" w:hAnsi="Arial" w:cs="Arial"/>
          <w:b/>
          <w:bCs/>
          <w:sz w:val="22"/>
          <w:szCs w:val="22"/>
          <w:lang w:val="es-ES"/>
        </w:rPr>
        <w:t>DE</w:t>
      </w:r>
      <w:r w:rsidRPr="00FC0C0E">
        <w:rPr>
          <w:rFonts w:ascii="Arial" w:hAnsi="Arial" w:cs="Arial"/>
          <w:b/>
          <w:bCs/>
          <w:sz w:val="22"/>
          <w:szCs w:val="22"/>
          <w:lang w:val="es-ES"/>
        </w:rPr>
        <w:t xml:space="preserve"> REFERENC</w:t>
      </w:r>
      <w:r w:rsidR="00D956AD" w:rsidRPr="00FC0C0E">
        <w:rPr>
          <w:rFonts w:ascii="Arial" w:hAnsi="Arial" w:cs="Arial"/>
          <w:b/>
          <w:bCs/>
          <w:sz w:val="22"/>
          <w:szCs w:val="22"/>
          <w:lang w:val="es-ES"/>
        </w:rPr>
        <w:t>IA</w:t>
      </w:r>
    </w:p>
    <w:p w14:paraId="4D64BE4D" w14:textId="77777777" w:rsidR="00EB5F2B" w:rsidRPr="00DB1A5D" w:rsidRDefault="00EB5F2B" w:rsidP="00202CC0">
      <w:pPr>
        <w:rPr>
          <w:rFonts w:ascii="Arial" w:hAnsi="Arial" w:cs="Arial"/>
          <w:b/>
          <w:bCs/>
          <w:sz w:val="22"/>
          <w:szCs w:val="22"/>
          <w:lang w:val="es-ES"/>
        </w:rPr>
      </w:pPr>
    </w:p>
    <w:p w14:paraId="4CF3291F" w14:textId="77777777" w:rsidR="00AE2BDA" w:rsidRPr="00DB1A5D" w:rsidRDefault="00AE2BDA" w:rsidP="00253D5A">
      <w:pPr>
        <w:jc w:val="both"/>
        <w:rPr>
          <w:rFonts w:ascii="Arial" w:hAnsi="Arial" w:cs="Arial"/>
          <w:b/>
          <w:bCs/>
          <w:sz w:val="22"/>
          <w:szCs w:val="22"/>
          <w:lang w:val="es-ES"/>
        </w:rPr>
      </w:pPr>
    </w:p>
    <w:p w14:paraId="4CF32920" w14:textId="07613076" w:rsidR="004F2393" w:rsidRPr="00DB1A5D" w:rsidRDefault="00202CC0" w:rsidP="00DB1A5D">
      <w:pPr>
        <w:pStyle w:val="ListParagraph"/>
        <w:numPr>
          <w:ilvl w:val="0"/>
          <w:numId w:val="19"/>
        </w:numPr>
        <w:jc w:val="both"/>
        <w:rPr>
          <w:rFonts w:ascii="Arial" w:hAnsi="Arial" w:cs="Arial"/>
          <w:b/>
          <w:bCs/>
          <w:sz w:val="22"/>
          <w:szCs w:val="22"/>
          <w:lang w:val="es-ES"/>
        </w:rPr>
      </w:pPr>
      <w:r w:rsidRPr="00DB1A5D">
        <w:rPr>
          <w:rFonts w:ascii="Arial" w:hAnsi="Arial" w:cs="Arial"/>
          <w:b/>
          <w:bCs/>
          <w:sz w:val="22"/>
          <w:szCs w:val="22"/>
          <w:lang w:val="es-ES"/>
        </w:rPr>
        <w:t>Antecedentes</w:t>
      </w:r>
    </w:p>
    <w:p w14:paraId="368CDD95" w14:textId="77777777" w:rsidR="00202CC0" w:rsidRPr="00DB1A5D" w:rsidRDefault="00202CC0" w:rsidP="00253D5A">
      <w:pPr>
        <w:jc w:val="both"/>
        <w:rPr>
          <w:rFonts w:ascii="Arial" w:hAnsi="Arial" w:cs="Arial"/>
          <w:b/>
          <w:bCs/>
          <w:sz w:val="22"/>
          <w:szCs w:val="22"/>
          <w:lang w:val="es-ES"/>
        </w:rPr>
      </w:pPr>
    </w:p>
    <w:p w14:paraId="1756EF0D" w14:textId="77777777" w:rsidR="00872BBA" w:rsidRPr="00872BBA" w:rsidRDefault="00872BBA" w:rsidP="00872BBA">
      <w:pPr>
        <w:pStyle w:val="ListParagraph"/>
        <w:numPr>
          <w:ilvl w:val="1"/>
          <w:numId w:val="19"/>
        </w:numPr>
        <w:spacing w:before="120"/>
        <w:ind w:hanging="634"/>
        <w:jc w:val="both"/>
        <w:rPr>
          <w:rFonts w:ascii="Arial" w:hAnsi="Arial" w:cs="Arial"/>
          <w:bCs/>
          <w:sz w:val="22"/>
          <w:lang w:val="es-CO"/>
        </w:rPr>
      </w:pPr>
      <w:r w:rsidRPr="00872BBA">
        <w:rPr>
          <w:rFonts w:ascii="Arial" w:hAnsi="Arial" w:cs="Arial"/>
          <w:bCs/>
          <w:sz w:val="22"/>
          <w:lang w:val="es-CO"/>
        </w:rPr>
        <w:t xml:space="preserve">El Banco Interamericano de Desarrollo (BID), ha venido impulsando la integración eléctrica de los países centroamericanos a través de diferentes iniciativas, en especial el Proyecto de Interconexión Eléctrica para los países de América Central (SIEPAC), el cual incluyó la creación de un Mercado Eléctrico Regional (MER), sus instituciones y la construcción de una línea de interconexión eléctrica para el intercambio regional de electricidad denominado Primer Sistema de Transmisión Regional (Línea SIEPAC). </w:t>
      </w:r>
    </w:p>
    <w:p w14:paraId="6E0D3337" w14:textId="77777777" w:rsidR="00872BBA" w:rsidRPr="00287F2D" w:rsidRDefault="00872BBA" w:rsidP="00872BBA">
      <w:pPr>
        <w:pStyle w:val="ListParagraph"/>
        <w:numPr>
          <w:ilvl w:val="1"/>
          <w:numId w:val="19"/>
        </w:numPr>
        <w:spacing w:before="120"/>
        <w:ind w:hanging="634"/>
        <w:jc w:val="both"/>
        <w:rPr>
          <w:rFonts w:ascii="Arial" w:hAnsi="Arial" w:cs="Arial"/>
          <w:bCs/>
          <w:sz w:val="22"/>
          <w:lang w:val="es-CO"/>
        </w:rPr>
      </w:pPr>
      <w:r w:rsidRPr="00872BBA">
        <w:rPr>
          <w:rFonts w:ascii="Arial" w:hAnsi="Arial" w:cs="Arial"/>
          <w:bCs/>
          <w:sz w:val="22"/>
          <w:lang w:val="es-CO"/>
        </w:rPr>
        <w:t xml:space="preserve">La arquitectura normativa del MER está definida en una serie de instrumentos jurídicos que incluyen el Tratado Marco, los protocolos aprobados por los países, el Convenio General y el Reglamento del Mercado Eléctrico Regional (RMER). </w:t>
      </w:r>
      <w:r w:rsidRPr="00287F2D">
        <w:rPr>
          <w:rFonts w:ascii="Arial" w:hAnsi="Arial" w:cs="Arial"/>
          <w:bCs/>
          <w:sz w:val="22"/>
          <w:lang w:val="es-CO"/>
        </w:rPr>
        <w:t>Estos instrumentos definen los procesos, procedimientos y mecanismos para el funcionamiento del MER. Igualmente, esos instrumentos definen una estructura institucional que incluye al Ente Operador Regional (EOR) que se encarga de su operación y la Comisión Regional de Interconexión Eléctrica (CRIE) que se encarga de su regulación. El Consejo Director del Mercado Eléctrico Regional (CDMER) donde participan autoridades de alto nivel de los países participantes, tiene por tiene por objeto desarrollar el MER, facilitar el cumplimiento de los compromisos establecidos en los protocolos y coordinar la interrelación con la CRIE y el EOR.</w:t>
      </w:r>
    </w:p>
    <w:p w14:paraId="0B72B7B3" w14:textId="77777777" w:rsidR="00872BBA" w:rsidRPr="00287F2D" w:rsidRDefault="00872BBA" w:rsidP="00872BBA">
      <w:pPr>
        <w:pStyle w:val="ListParagraph"/>
        <w:numPr>
          <w:ilvl w:val="1"/>
          <w:numId w:val="19"/>
        </w:numPr>
        <w:spacing w:before="120"/>
        <w:ind w:hanging="634"/>
        <w:jc w:val="both"/>
        <w:rPr>
          <w:rFonts w:ascii="Arial" w:hAnsi="Arial" w:cs="Arial"/>
          <w:bCs/>
          <w:sz w:val="22"/>
          <w:lang w:val="es-CO"/>
        </w:rPr>
      </w:pPr>
      <w:r w:rsidRPr="00287F2D">
        <w:rPr>
          <w:rFonts w:ascii="Arial" w:hAnsi="Arial" w:cs="Arial"/>
          <w:bCs/>
          <w:sz w:val="22"/>
          <w:lang w:val="es-CO"/>
        </w:rPr>
        <w:t xml:space="preserve">El BID ha apoyado la consolidación del MER con dos Cooperaciones Técnicas: (i) Consolidación del Mercado Eléctrico Regional (MER) (ATN/SF-11103-RG); y (ii) Segunda Etapa Consolidación del Mercado Eléctrico Regional (ATN/OC-12388-RG), ejecutadas de manera consecutiva. Esta última brindó un valioso apoyo el proceso de armonización de las legislaciones y regulaciones nacionales con la regulación regional del MER; eliminación de barreras comerciales y técnicas al funcionamiento del MER; acompañamiento al proceso de transición exitoso del Reglamento Transitorio del MER al RMER y su implantación; ejecución del primer ejercicio de planificación de la expansión de la generación y transmisión regionales con participación de las tres instituciones del MER (EOR, CRIE y CDMER); fortalecimiento de las instituciones regionales; y ejecución de numerosos estudios técnicos para contribuir a la resolución de problemas relevantes a la operación del MER (regulación de frecuencia, objetivos de calidad para componentes de la Red de Transmisión regional (RTR), máximas transferencias, etc.). Sin embargo, se han identificado diversos factores técnicos, regulatorios e institucionales que vienen actuando como elementos limitantes para el pleno desarrollo y funcionamiento del MER (falta de un esquema que posibilite la asignación de los derechos de transmisión firmes de largo plazo, procesos de agregación de demanda regional que viabilicen la construcción de grandes plantas de </w:t>
      </w:r>
      <w:r w:rsidRPr="00287F2D">
        <w:rPr>
          <w:rFonts w:ascii="Arial" w:hAnsi="Arial" w:cs="Arial"/>
          <w:bCs/>
          <w:sz w:val="22"/>
          <w:lang w:val="es-CO"/>
        </w:rPr>
        <w:lastRenderedPageBreak/>
        <w:t>generación que posibiliten la cobertura de la demanda, metodología consensuada para la ejecución de la planificación regional y un mecanismo de vinculación y coordinación entre ésta y la que se efectúa a nivel nacional por los diferentes países, etc.)</w:t>
      </w:r>
    </w:p>
    <w:p w14:paraId="0E167D55" w14:textId="77777777" w:rsidR="00872BBA" w:rsidRPr="00287F2D" w:rsidRDefault="00872BBA" w:rsidP="00872BBA">
      <w:pPr>
        <w:pStyle w:val="ListParagraph"/>
        <w:numPr>
          <w:ilvl w:val="1"/>
          <w:numId w:val="19"/>
        </w:numPr>
        <w:spacing w:before="120"/>
        <w:ind w:hanging="634"/>
        <w:jc w:val="both"/>
        <w:rPr>
          <w:rFonts w:ascii="Arial" w:hAnsi="Arial" w:cs="Arial"/>
          <w:bCs/>
          <w:sz w:val="22"/>
          <w:lang w:val="es-CO"/>
        </w:rPr>
      </w:pPr>
      <w:r w:rsidRPr="00872BBA">
        <w:rPr>
          <w:rFonts w:ascii="Arial" w:hAnsi="Arial" w:cs="Arial"/>
          <w:bCs/>
          <w:sz w:val="22"/>
          <w:lang w:val="es-CO"/>
        </w:rPr>
        <w:t xml:space="preserve">Estos factores fueron discutidos en la reunión ministerial celebrada el pasado 10 de diciembre 2014 en Panamá, en la que participaron autoridades y altos funcionarios de los Ministerios de Energía de los países de Mesoamérica. </w:t>
      </w:r>
      <w:r w:rsidRPr="00287F2D">
        <w:rPr>
          <w:rFonts w:ascii="Arial" w:hAnsi="Arial" w:cs="Arial"/>
          <w:bCs/>
          <w:sz w:val="22"/>
          <w:lang w:val="es-CO"/>
        </w:rPr>
        <w:t xml:space="preserve">Dicha reunión culminó con la firma de la “Declaración Ministerial para el impulso a la Integración Energética Mesoamericana” donde se detallan una serie de compromisos y acciones para perfeccionar el funcionamiento del MER, solicitando al BID el acompañamiento técnico y apoyo financiero para acometer estas actividades que resultan necesarias para impulsar el proceso de integración energética mesoamericana y superar/ mitigar los factores limitativos identificados (ver Anexo I). </w:t>
      </w:r>
    </w:p>
    <w:p w14:paraId="5C080144" w14:textId="3FB9966E" w:rsidR="00872BBA" w:rsidRPr="00872BBA" w:rsidRDefault="00872BBA" w:rsidP="00872BBA">
      <w:pPr>
        <w:pStyle w:val="ListParagraph"/>
        <w:numPr>
          <w:ilvl w:val="1"/>
          <w:numId w:val="19"/>
        </w:numPr>
        <w:spacing w:before="120"/>
        <w:ind w:hanging="634"/>
        <w:jc w:val="both"/>
        <w:rPr>
          <w:rFonts w:ascii="Arial" w:hAnsi="Arial" w:cs="Arial"/>
          <w:bCs/>
          <w:sz w:val="22"/>
          <w:lang w:val="es-CO"/>
        </w:rPr>
      </w:pPr>
      <w:r w:rsidRPr="00872BBA">
        <w:rPr>
          <w:rFonts w:ascii="Arial" w:hAnsi="Arial" w:cs="Arial"/>
          <w:bCs/>
          <w:sz w:val="22"/>
          <w:lang w:val="es-CO"/>
        </w:rPr>
        <w:t xml:space="preserve">El Banco con recursos de Cooperación Técnica RG-T2705, se encuentra </w:t>
      </w:r>
      <w:r>
        <w:rPr>
          <w:rFonts w:ascii="Arial" w:hAnsi="Arial" w:cs="Arial"/>
          <w:bCs/>
          <w:sz w:val="22"/>
          <w:lang w:val="es-CO"/>
        </w:rPr>
        <w:t>facilitando</w:t>
      </w:r>
      <w:r w:rsidRPr="00872BBA">
        <w:rPr>
          <w:rFonts w:ascii="Arial" w:hAnsi="Arial" w:cs="Arial"/>
          <w:bCs/>
          <w:sz w:val="22"/>
          <w:lang w:val="es-CO"/>
        </w:rPr>
        <w:t xml:space="preserve"> apoyo y asesoramiento técnico para contribuir al cumplimiento de los compromisos y acciones acordadas en la Declaración Ministerial para el impulso a la Integración Energética Mesoamericana” de diciembre 2014.</w:t>
      </w:r>
    </w:p>
    <w:p w14:paraId="74285059" w14:textId="77777777" w:rsidR="0080549B" w:rsidRPr="00872BBA" w:rsidRDefault="0080549B" w:rsidP="00253D5A">
      <w:pPr>
        <w:jc w:val="both"/>
        <w:rPr>
          <w:rFonts w:ascii="Arial" w:hAnsi="Arial" w:cs="Arial"/>
          <w:bCs/>
          <w:i/>
          <w:sz w:val="22"/>
          <w:szCs w:val="22"/>
          <w:lang w:val="es-CO"/>
        </w:rPr>
      </w:pPr>
    </w:p>
    <w:p w14:paraId="4CF32923" w14:textId="5C53F64B" w:rsidR="00B10C07" w:rsidRPr="00DB1A5D" w:rsidRDefault="00D956AD" w:rsidP="00DB1A5D">
      <w:pPr>
        <w:pStyle w:val="ListParagraph"/>
        <w:numPr>
          <w:ilvl w:val="0"/>
          <w:numId w:val="19"/>
        </w:numPr>
        <w:jc w:val="both"/>
        <w:rPr>
          <w:rFonts w:ascii="Arial" w:hAnsi="Arial" w:cs="Arial"/>
          <w:b/>
          <w:bCs/>
          <w:sz w:val="22"/>
          <w:szCs w:val="22"/>
          <w:lang w:val="es-ES"/>
        </w:rPr>
      </w:pPr>
      <w:r w:rsidRPr="00DB1A5D">
        <w:rPr>
          <w:rFonts w:ascii="Arial" w:hAnsi="Arial" w:cs="Arial"/>
          <w:b/>
          <w:bCs/>
          <w:sz w:val="22"/>
          <w:szCs w:val="22"/>
          <w:lang w:val="es-ES"/>
        </w:rPr>
        <w:t>O</w:t>
      </w:r>
      <w:r w:rsidR="00202CC0" w:rsidRPr="00DB1A5D">
        <w:rPr>
          <w:rFonts w:ascii="Arial" w:hAnsi="Arial" w:cs="Arial"/>
          <w:b/>
          <w:bCs/>
          <w:sz w:val="22"/>
          <w:szCs w:val="22"/>
          <w:lang w:val="es-ES"/>
        </w:rPr>
        <w:t>bjetivo(s) de la Consultoría</w:t>
      </w:r>
    </w:p>
    <w:p w14:paraId="52AB5F0E" w14:textId="13E7DF0B" w:rsidR="00872BBA" w:rsidRPr="00872BBA" w:rsidRDefault="000C2396" w:rsidP="00872BBA">
      <w:pPr>
        <w:pStyle w:val="ListParagraph"/>
        <w:numPr>
          <w:ilvl w:val="1"/>
          <w:numId w:val="19"/>
        </w:numPr>
        <w:spacing w:before="120"/>
        <w:ind w:hanging="634"/>
        <w:jc w:val="both"/>
        <w:rPr>
          <w:rFonts w:ascii="Arial" w:hAnsi="Arial" w:cs="Arial"/>
          <w:bCs/>
          <w:sz w:val="22"/>
          <w:lang w:val="es-ES"/>
        </w:rPr>
      </w:pPr>
      <w:r w:rsidRPr="00872BBA">
        <w:rPr>
          <w:rFonts w:ascii="Arial" w:hAnsi="Arial" w:cs="Arial"/>
          <w:bCs/>
          <w:sz w:val="22"/>
          <w:lang w:val="es-ES"/>
        </w:rPr>
        <w:t xml:space="preserve">El objetivo de esta consultoría es </w:t>
      </w:r>
      <w:r w:rsidR="00872BBA" w:rsidRPr="00872BBA">
        <w:rPr>
          <w:rFonts w:ascii="Arial" w:hAnsi="Arial" w:cs="Arial"/>
          <w:bCs/>
          <w:sz w:val="22"/>
          <w:lang w:val="es-ES"/>
        </w:rPr>
        <w:t xml:space="preserve">identificar </w:t>
      </w:r>
      <w:r w:rsidR="00872BBA">
        <w:rPr>
          <w:rFonts w:ascii="Arial" w:hAnsi="Arial" w:cs="Arial"/>
          <w:bCs/>
          <w:sz w:val="22"/>
          <w:lang w:val="es-ES"/>
        </w:rPr>
        <w:t xml:space="preserve">las mejoras </w:t>
      </w:r>
      <w:r w:rsidR="00872BBA" w:rsidRPr="00872BBA">
        <w:rPr>
          <w:rFonts w:ascii="Arial" w:hAnsi="Arial" w:cs="Arial"/>
          <w:bCs/>
          <w:sz w:val="22"/>
          <w:lang w:val="es-ES"/>
        </w:rPr>
        <w:t>en los aspectos regulatorios y normativos necesarios para la implementación eficiente del RMER.</w:t>
      </w:r>
    </w:p>
    <w:p w14:paraId="1DD09B9B" w14:textId="77777777" w:rsidR="0080549B" w:rsidRPr="00577CC0" w:rsidRDefault="0080549B" w:rsidP="00253D5A">
      <w:pPr>
        <w:jc w:val="both"/>
        <w:rPr>
          <w:bCs/>
          <w:sz w:val="22"/>
          <w:szCs w:val="22"/>
          <w:lang w:val="es-ES"/>
        </w:rPr>
      </w:pPr>
    </w:p>
    <w:p w14:paraId="4CF32926" w14:textId="0795E918" w:rsidR="003C6E41" w:rsidRPr="00F17357" w:rsidRDefault="00381358" w:rsidP="00DB1A5D">
      <w:pPr>
        <w:pStyle w:val="ListParagraph"/>
        <w:numPr>
          <w:ilvl w:val="0"/>
          <w:numId w:val="19"/>
        </w:numPr>
        <w:jc w:val="both"/>
        <w:rPr>
          <w:rFonts w:ascii="Arial" w:hAnsi="Arial" w:cs="Arial"/>
          <w:b/>
          <w:bCs/>
          <w:sz w:val="22"/>
          <w:szCs w:val="22"/>
          <w:lang w:val="es-ES"/>
        </w:rPr>
      </w:pPr>
      <w:r w:rsidRPr="00F17357">
        <w:rPr>
          <w:rFonts w:ascii="Arial" w:hAnsi="Arial" w:cs="Arial"/>
          <w:b/>
          <w:bCs/>
          <w:sz w:val="22"/>
          <w:szCs w:val="22"/>
          <w:lang w:val="es-ES"/>
        </w:rPr>
        <w:t>A</w:t>
      </w:r>
      <w:r w:rsidR="00202CC0" w:rsidRPr="00F17357">
        <w:rPr>
          <w:rFonts w:ascii="Arial" w:hAnsi="Arial" w:cs="Arial"/>
          <w:b/>
          <w:bCs/>
          <w:sz w:val="22"/>
          <w:szCs w:val="22"/>
          <w:lang w:val="es-ES"/>
        </w:rPr>
        <w:t>ctividades Principales</w:t>
      </w:r>
    </w:p>
    <w:p w14:paraId="34012D0B" w14:textId="3C27ABB1" w:rsidR="008C0219" w:rsidRPr="00021C52" w:rsidRDefault="0080549B" w:rsidP="00C3508A">
      <w:pPr>
        <w:pStyle w:val="ListParagraph"/>
        <w:numPr>
          <w:ilvl w:val="1"/>
          <w:numId w:val="19"/>
        </w:numPr>
        <w:spacing w:before="120"/>
        <w:ind w:hanging="634"/>
        <w:jc w:val="both"/>
        <w:rPr>
          <w:rFonts w:ascii="Arial" w:hAnsi="Arial" w:cs="Arial"/>
          <w:bCs/>
          <w:sz w:val="22"/>
          <w:lang w:val="es-ES"/>
        </w:rPr>
      </w:pPr>
      <w:r w:rsidRPr="00F17357">
        <w:rPr>
          <w:rFonts w:ascii="Arial" w:hAnsi="Arial" w:cs="Arial"/>
          <w:bCs/>
          <w:sz w:val="22"/>
          <w:szCs w:val="22"/>
          <w:lang w:val="es-ES"/>
        </w:rPr>
        <w:t>E</w:t>
      </w:r>
      <w:r w:rsidR="00F17357">
        <w:rPr>
          <w:rFonts w:ascii="Arial" w:hAnsi="Arial" w:cs="Arial"/>
          <w:bCs/>
          <w:sz w:val="22"/>
          <w:szCs w:val="22"/>
          <w:lang w:val="es-ES"/>
        </w:rPr>
        <w:t xml:space="preserve">l </w:t>
      </w:r>
      <w:r w:rsidR="00F17357" w:rsidRPr="00C3508A">
        <w:rPr>
          <w:rFonts w:ascii="Arial" w:hAnsi="Arial" w:cs="Arial"/>
          <w:sz w:val="22"/>
          <w:szCs w:val="22"/>
          <w:lang w:val="es-ES"/>
        </w:rPr>
        <w:t>candidato</w:t>
      </w:r>
      <w:r w:rsidR="00F17357">
        <w:rPr>
          <w:rFonts w:ascii="Arial" w:hAnsi="Arial" w:cs="Arial"/>
          <w:bCs/>
          <w:sz w:val="22"/>
          <w:szCs w:val="22"/>
          <w:lang w:val="es-ES"/>
        </w:rPr>
        <w:t xml:space="preserve"> seleccionado deberá</w:t>
      </w:r>
      <w:r w:rsidR="008C0219" w:rsidRPr="00F17357">
        <w:rPr>
          <w:rFonts w:ascii="Arial" w:hAnsi="Arial" w:cs="Arial"/>
          <w:bCs/>
          <w:sz w:val="22"/>
          <w:lang w:val="es-ES"/>
        </w:rPr>
        <w:t xml:space="preserve"> realizar las siguientes actividades, sin perjuicio de aquellas que, de acuerdo al avance del trabajo, resulten necesarias para el logro de los </w:t>
      </w:r>
      <w:r w:rsidR="008C0219" w:rsidRPr="00021C52">
        <w:rPr>
          <w:rFonts w:ascii="Arial" w:hAnsi="Arial" w:cs="Arial"/>
          <w:bCs/>
          <w:sz w:val="22"/>
          <w:lang w:val="es-ES"/>
        </w:rPr>
        <w:t>objetivos de la consultoría:</w:t>
      </w:r>
    </w:p>
    <w:p w14:paraId="2C29BDDD" w14:textId="77777777" w:rsidR="008C0219" w:rsidRPr="00021C52" w:rsidRDefault="008C0219" w:rsidP="008C0219">
      <w:pPr>
        <w:ind w:left="450"/>
        <w:jc w:val="both"/>
        <w:rPr>
          <w:rFonts w:ascii="Arial" w:hAnsi="Arial" w:cs="Arial"/>
          <w:bCs/>
          <w:sz w:val="22"/>
          <w:lang w:val="es-ES"/>
        </w:rPr>
      </w:pPr>
    </w:p>
    <w:p w14:paraId="20C34FA0" w14:textId="15DFF30C"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t>Revisión y actualización de la metodología de remuneración, denominada Régimen tarifario de la RTR, establecida en el Capítulo 9 del Libro III del RMER considerando la normativa transitoria que se está aplicando (PE7)</w:t>
      </w:r>
      <w:r>
        <w:rPr>
          <w:rFonts w:ascii="Arial" w:hAnsi="Arial" w:cs="Arial"/>
          <w:bCs/>
          <w:sz w:val="22"/>
          <w:szCs w:val="22"/>
          <w:lang w:val="es-ES"/>
        </w:rPr>
        <w:t>;</w:t>
      </w:r>
    </w:p>
    <w:p w14:paraId="71002EF0" w14:textId="4B7BD260"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t xml:space="preserve">Revisión y propuestas de mejora a los actuales mecanismos de </w:t>
      </w:r>
      <w:proofErr w:type="spellStart"/>
      <w:r w:rsidRPr="00A05D93">
        <w:rPr>
          <w:rFonts w:ascii="Arial" w:hAnsi="Arial" w:cs="Arial"/>
          <w:bCs/>
          <w:sz w:val="22"/>
          <w:szCs w:val="22"/>
          <w:lang w:val="es-ES"/>
        </w:rPr>
        <w:t>predespacho</w:t>
      </w:r>
      <w:proofErr w:type="spellEnd"/>
      <w:r w:rsidRPr="00A05D93">
        <w:rPr>
          <w:rFonts w:ascii="Arial" w:hAnsi="Arial" w:cs="Arial"/>
          <w:bCs/>
          <w:sz w:val="22"/>
          <w:szCs w:val="22"/>
          <w:lang w:val="es-ES"/>
        </w:rPr>
        <w:t xml:space="preserve">, </w:t>
      </w:r>
      <w:proofErr w:type="spellStart"/>
      <w:r w:rsidRPr="00A05D93">
        <w:rPr>
          <w:rFonts w:ascii="Arial" w:hAnsi="Arial" w:cs="Arial"/>
          <w:bCs/>
          <w:sz w:val="22"/>
          <w:szCs w:val="22"/>
          <w:lang w:val="es-ES"/>
        </w:rPr>
        <w:t>redespacho</w:t>
      </w:r>
      <w:proofErr w:type="spellEnd"/>
      <w:r w:rsidRPr="00A05D93">
        <w:rPr>
          <w:rFonts w:ascii="Arial" w:hAnsi="Arial" w:cs="Arial"/>
          <w:bCs/>
          <w:sz w:val="22"/>
          <w:szCs w:val="22"/>
          <w:lang w:val="es-ES"/>
        </w:rPr>
        <w:t xml:space="preserve">, </w:t>
      </w:r>
      <w:proofErr w:type="spellStart"/>
      <w:r w:rsidRPr="00A05D93">
        <w:rPr>
          <w:rFonts w:ascii="Arial" w:hAnsi="Arial" w:cs="Arial"/>
          <w:bCs/>
          <w:sz w:val="22"/>
          <w:szCs w:val="22"/>
          <w:lang w:val="es-ES"/>
        </w:rPr>
        <w:t>posdespacho</w:t>
      </w:r>
      <w:proofErr w:type="spellEnd"/>
      <w:r w:rsidRPr="00A05D93">
        <w:rPr>
          <w:rFonts w:ascii="Arial" w:hAnsi="Arial" w:cs="Arial"/>
          <w:bCs/>
          <w:sz w:val="22"/>
          <w:szCs w:val="22"/>
          <w:lang w:val="es-ES"/>
        </w:rPr>
        <w:t>, conciliación, facturación y liquidación de las transacciones del MER, con especial atención a los aspectos relacionados con la conciliación de las transacciones por desviaciones en tiempo real y al sistema de medición comercial regional (PE6)</w:t>
      </w:r>
      <w:r>
        <w:rPr>
          <w:rFonts w:ascii="Arial" w:hAnsi="Arial" w:cs="Arial"/>
          <w:bCs/>
          <w:sz w:val="22"/>
          <w:szCs w:val="22"/>
          <w:lang w:val="es-ES"/>
        </w:rPr>
        <w:t>;</w:t>
      </w:r>
    </w:p>
    <w:p w14:paraId="0CB12D12" w14:textId="68427D7F"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t>Dimensionar una Empresa Única de Transmisión Regional Eficiente (EUTRE). Determinar los costos de administración, operación y mantenimiento (AOM) basados en la EUTRE. Proponer un periodo para actualizar el AOM. Desarrollar la capacitación a CRIE</w:t>
      </w:r>
      <w:r>
        <w:rPr>
          <w:rFonts w:ascii="Arial" w:hAnsi="Arial" w:cs="Arial"/>
          <w:bCs/>
          <w:sz w:val="22"/>
          <w:szCs w:val="22"/>
          <w:lang w:val="es-ES"/>
        </w:rPr>
        <w:t>;</w:t>
      </w:r>
    </w:p>
    <w:p w14:paraId="0CC0B55B" w14:textId="69398D01"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t>Revisión de la regulación formulada para desarrollar los derechos de transmisión de largo plazo, complementándola con la modelación matemática, en base a aspectos prácticos de experiencia en mercados de derechos de transmisión en funcionamiento</w:t>
      </w:r>
      <w:r>
        <w:rPr>
          <w:rFonts w:ascii="Arial" w:hAnsi="Arial" w:cs="Arial"/>
          <w:bCs/>
          <w:sz w:val="22"/>
          <w:szCs w:val="22"/>
          <w:lang w:val="es-ES"/>
        </w:rPr>
        <w:t>;</w:t>
      </w:r>
    </w:p>
    <w:p w14:paraId="606BCD1B" w14:textId="59D55C0F"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proofErr w:type="spellStart"/>
      <w:r w:rsidRPr="00A05D93">
        <w:rPr>
          <w:rFonts w:ascii="Arial" w:hAnsi="Arial" w:cs="Arial"/>
          <w:bCs/>
          <w:sz w:val="22"/>
          <w:szCs w:val="22"/>
          <w:lang w:val="es-ES"/>
        </w:rPr>
        <w:t>Operativizar</w:t>
      </w:r>
      <w:proofErr w:type="spellEnd"/>
      <w:r w:rsidRPr="00A05D93">
        <w:rPr>
          <w:rFonts w:ascii="Arial" w:hAnsi="Arial" w:cs="Arial"/>
          <w:bCs/>
          <w:sz w:val="22"/>
          <w:szCs w:val="22"/>
          <w:lang w:val="es-ES"/>
        </w:rPr>
        <w:t xml:space="preserve"> la implementación de los derechos de transmisión y contratos firmes de largo plazo (PE5)</w:t>
      </w:r>
      <w:r>
        <w:rPr>
          <w:rFonts w:ascii="Arial" w:hAnsi="Arial" w:cs="Arial"/>
          <w:bCs/>
          <w:sz w:val="22"/>
          <w:szCs w:val="22"/>
          <w:lang w:val="es-ES"/>
        </w:rPr>
        <w:t>;</w:t>
      </w:r>
    </w:p>
    <w:p w14:paraId="025E4BA7" w14:textId="5FE34C3C"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t>Complementar la evaluación de los Derechos de Transmisión y Contratos Firmes de corto plazo identificando las mejoras y desarrollar la regulación respectiva incluyendo los modelos matemáticos en caso se requiera. Así mismo desarrollar los procesos de implementación de las mejoras al ser aprobadas por la CRIE</w:t>
      </w:r>
      <w:r>
        <w:rPr>
          <w:rFonts w:ascii="Arial" w:hAnsi="Arial" w:cs="Arial"/>
          <w:bCs/>
          <w:sz w:val="22"/>
          <w:szCs w:val="22"/>
          <w:lang w:val="es-ES"/>
        </w:rPr>
        <w:t>; y</w:t>
      </w:r>
    </w:p>
    <w:p w14:paraId="7A692DED" w14:textId="2DF070B7"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t>Desarrollo del marco político, legal y regulatorio entre MER y el mercado eléctrico mexicano (PE15)</w:t>
      </w:r>
      <w:r>
        <w:rPr>
          <w:rFonts w:ascii="Arial" w:hAnsi="Arial" w:cs="Arial"/>
          <w:bCs/>
          <w:sz w:val="22"/>
          <w:szCs w:val="22"/>
          <w:lang w:val="es-ES"/>
        </w:rPr>
        <w:t>.</w:t>
      </w:r>
    </w:p>
    <w:p w14:paraId="417DA434" w14:textId="3013C94C" w:rsidR="00A05D93" w:rsidRPr="00A05D93" w:rsidRDefault="00A05D93" w:rsidP="00A05D93">
      <w:pPr>
        <w:pStyle w:val="ListParagraph"/>
        <w:numPr>
          <w:ilvl w:val="0"/>
          <w:numId w:val="20"/>
        </w:numPr>
        <w:ind w:left="720" w:hanging="360"/>
        <w:jc w:val="both"/>
        <w:rPr>
          <w:rFonts w:ascii="Arial" w:hAnsi="Arial" w:cs="Arial"/>
          <w:bCs/>
          <w:sz w:val="22"/>
          <w:szCs w:val="22"/>
          <w:lang w:val="es-ES"/>
        </w:rPr>
      </w:pPr>
      <w:r w:rsidRPr="00A05D93">
        <w:rPr>
          <w:rFonts w:ascii="Arial" w:hAnsi="Arial" w:cs="Arial"/>
          <w:bCs/>
          <w:sz w:val="22"/>
          <w:szCs w:val="22"/>
          <w:lang w:val="es-ES"/>
        </w:rPr>
        <w:lastRenderedPageBreak/>
        <w:t>Identificación de la regulación transitoria en el MER, proponer las etapas de consolidación de la regulación del MER en un solo cuerpo normativo y realizar propuestas de consolidación que se consideren de inmediata realización</w:t>
      </w:r>
    </w:p>
    <w:p w14:paraId="0C11483E" w14:textId="77777777" w:rsidR="00A05D93" w:rsidRDefault="00A05D93" w:rsidP="00A05D93">
      <w:pPr>
        <w:pStyle w:val="ListParagraph"/>
        <w:jc w:val="both"/>
        <w:rPr>
          <w:rFonts w:ascii="Arial" w:hAnsi="Arial" w:cs="Arial"/>
          <w:bCs/>
          <w:sz w:val="22"/>
          <w:lang w:val="es-ES"/>
        </w:rPr>
      </w:pPr>
    </w:p>
    <w:p w14:paraId="0E0D34D7" w14:textId="77777777" w:rsidR="00A05D93" w:rsidRPr="00A05D93" w:rsidRDefault="00A05D93" w:rsidP="00A05D93">
      <w:pPr>
        <w:pStyle w:val="ListParagraph"/>
        <w:jc w:val="both"/>
        <w:rPr>
          <w:rFonts w:ascii="Arial" w:hAnsi="Arial" w:cs="Arial"/>
          <w:bCs/>
          <w:sz w:val="22"/>
          <w:szCs w:val="22"/>
          <w:lang w:val="es-ES"/>
        </w:rPr>
      </w:pPr>
    </w:p>
    <w:p w14:paraId="4CF32928" w14:textId="77777777" w:rsidR="00AE2BDA" w:rsidRPr="00577CC0" w:rsidRDefault="00AE2BDA" w:rsidP="00253D5A">
      <w:pPr>
        <w:jc w:val="both"/>
        <w:rPr>
          <w:b/>
          <w:bCs/>
          <w:sz w:val="22"/>
          <w:szCs w:val="22"/>
          <w:lang w:val="es-ES"/>
        </w:rPr>
      </w:pPr>
    </w:p>
    <w:p w14:paraId="4CF32929" w14:textId="434F67A9" w:rsidR="00AE2BDA" w:rsidRPr="00722BF3" w:rsidRDefault="00086701" w:rsidP="00722BF3">
      <w:pPr>
        <w:pStyle w:val="ListParagraph"/>
        <w:numPr>
          <w:ilvl w:val="0"/>
          <w:numId w:val="19"/>
        </w:numPr>
        <w:jc w:val="both"/>
        <w:rPr>
          <w:rFonts w:ascii="Arial" w:hAnsi="Arial" w:cs="Arial"/>
          <w:b/>
          <w:bCs/>
          <w:sz w:val="22"/>
          <w:szCs w:val="22"/>
          <w:lang w:val="es-ES"/>
        </w:rPr>
      </w:pPr>
      <w:r w:rsidRPr="00722BF3">
        <w:rPr>
          <w:rFonts w:ascii="Arial" w:hAnsi="Arial" w:cs="Arial"/>
          <w:b/>
          <w:bCs/>
          <w:sz w:val="22"/>
          <w:szCs w:val="22"/>
          <w:lang w:val="es-ES"/>
        </w:rPr>
        <w:t>I</w:t>
      </w:r>
      <w:r w:rsidR="00381358" w:rsidRPr="00722BF3">
        <w:rPr>
          <w:rFonts w:ascii="Arial" w:hAnsi="Arial" w:cs="Arial"/>
          <w:b/>
          <w:bCs/>
          <w:sz w:val="22"/>
          <w:szCs w:val="22"/>
          <w:lang w:val="es-ES"/>
        </w:rPr>
        <w:t>nformes</w:t>
      </w:r>
      <w:r w:rsidR="00202CC0" w:rsidRPr="00722BF3">
        <w:rPr>
          <w:rFonts w:ascii="Arial" w:hAnsi="Arial" w:cs="Arial"/>
          <w:b/>
          <w:bCs/>
          <w:sz w:val="22"/>
          <w:szCs w:val="22"/>
          <w:lang w:val="es-ES"/>
        </w:rPr>
        <w:t xml:space="preserve"> / Entregables</w:t>
      </w:r>
    </w:p>
    <w:p w14:paraId="07A604B1" w14:textId="77777777" w:rsidR="00722BF3" w:rsidRPr="00577CC0" w:rsidRDefault="00722BF3" w:rsidP="00253D5A">
      <w:pPr>
        <w:jc w:val="both"/>
        <w:rPr>
          <w:b/>
          <w:bCs/>
          <w:sz w:val="22"/>
          <w:szCs w:val="22"/>
          <w:lang w:val="es-ES"/>
        </w:rPr>
      </w:pPr>
    </w:p>
    <w:p w14:paraId="63609AA6" w14:textId="77777777" w:rsidR="00A05D93" w:rsidRPr="00A05D93" w:rsidRDefault="00A05D93" w:rsidP="00A05D93">
      <w:pPr>
        <w:pStyle w:val="ListParagraph"/>
        <w:numPr>
          <w:ilvl w:val="0"/>
          <w:numId w:val="21"/>
        </w:numPr>
        <w:jc w:val="both"/>
        <w:rPr>
          <w:rFonts w:ascii="Arial" w:hAnsi="Arial" w:cs="Arial"/>
          <w:bCs/>
          <w:sz w:val="22"/>
          <w:szCs w:val="22"/>
          <w:lang w:val="es-ES"/>
        </w:rPr>
      </w:pPr>
      <w:r w:rsidRPr="00A05D93">
        <w:rPr>
          <w:rFonts w:ascii="Arial" w:hAnsi="Arial" w:cs="Arial"/>
          <w:bCs/>
          <w:sz w:val="22"/>
          <w:szCs w:val="22"/>
          <w:lang w:val="es-ES"/>
        </w:rPr>
        <w:t>Preparación de un plan de trabajo y esquema del informe final.</w:t>
      </w:r>
    </w:p>
    <w:p w14:paraId="0C19AE06" w14:textId="41DFBF1B" w:rsidR="00A05D93" w:rsidRPr="00A05D93" w:rsidRDefault="00A05D93" w:rsidP="00A05D93">
      <w:pPr>
        <w:pStyle w:val="ListParagraph"/>
        <w:numPr>
          <w:ilvl w:val="0"/>
          <w:numId w:val="21"/>
        </w:numPr>
        <w:jc w:val="both"/>
        <w:rPr>
          <w:rFonts w:ascii="Arial" w:hAnsi="Arial" w:cs="Arial"/>
          <w:bCs/>
          <w:sz w:val="22"/>
          <w:szCs w:val="22"/>
          <w:lang w:val="es-ES"/>
        </w:rPr>
      </w:pPr>
      <w:r w:rsidRPr="00A05D93">
        <w:rPr>
          <w:rFonts w:ascii="Arial" w:hAnsi="Arial" w:cs="Arial"/>
          <w:bCs/>
          <w:sz w:val="22"/>
          <w:szCs w:val="22"/>
          <w:lang w:val="es-ES"/>
        </w:rPr>
        <w:t>Reuniones de socialización y levantamiento de información con los principales involucrados</w:t>
      </w:r>
      <w:proofErr w:type="gramStart"/>
      <w:r w:rsidR="00287F2D">
        <w:rPr>
          <w:rFonts w:ascii="Arial" w:hAnsi="Arial" w:cs="Arial"/>
          <w:bCs/>
          <w:sz w:val="22"/>
          <w:szCs w:val="22"/>
          <w:lang w:val="es-ES"/>
        </w:rPr>
        <w:t>.</w:t>
      </w:r>
      <w:r w:rsidRPr="00A05D93">
        <w:rPr>
          <w:rFonts w:ascii="Arial" w:hAnsi="Arial" w:cs="Arial"/>
          <w:bCs/>
          <w:sz w:val="22"/>
          <w:szCs w:val="22"/>
          <w:lang w:val="es-ES"/>
        </w:rPr>
        <w:t>.</w:t>
      </w:r>
      <w:proofErr w:type="gramEnd"/>
    </w:p>
    <w:p w14:paraId="5035C158" w14:textId="77777777" w:rsidR="00A05D93" w:rsidRPr="00A05D93" w:rsidRDefault="00A05D93" w:rsidP="00A05D93">
      <w:pPr>
        <w:pStyle w:val="ListParagraph"/>
        <w:numPr>
          <w:ilvl w:val="0"/>
          <w:numId w:val="21"/>
        </w:numPr>
        <w:jc w:val="both"/>
        <w:rPr>
          <w:rFonts w:ascii="Arial" w:hAnsi="Arial" w:cs="Arial"/>
          <w:bCs/>
          <w:sz w:val="22"/>
          <w:szCs w:val="22"/>
          <w:lang w:val="es-ES"/>
        </w:rPr>
      </w:pPr>
      <w:r w:rsidRPr="00A05D93">
        <w:rPr>
          <w:rFonts w:ascii="Arial" w:hAnsi="Arial" w:cs="Arial"/>
          <w:bCs/>
          <w:sz w:val="22"/>
          <w:szCs w:val="22"/>
          <w:lang w:val="es-ES"/>
        </w:rPr>
        <w:t>Preparación de informe final</w:t>
      </w:r>
    </w:p>
    <w:p w14:paraId="365FC7F6" w14:textId="77777777" w:rsidR="00A05D93" w:rsidRPr="00E05AFA" w:rsidRDefault="00A05D93" w:rsidP="00A05D93">
      <w:pPr>
        <w:pStyle w:val="ListParagraph"/>
        <w:jc w:val="both"/>
        <w:rPr>
          <w:rFonts w:ascii="Arial" w:hAnsi="Arial" w:cs="Arial"/>
          <w:bCs/>
          <w:sz w:val="22"/>
          <w:szCs w:val="22"/>
          <w:lang w:val="es-ES"/>
        </w:rPr>
      </w:pPr>
    </w:p>
    <w:p w14:paraId="7EE2B9EA" w14:textId="77777777" w:rsidR="008C0219" w:rsidRDefault="008C0219" w:rsidP="008C0219">
      <w:pPr>
        <w:tabs>
          <w:tab w:val="num" w:pos="1080"/>
        </w:tabs>
        <w:jc w:val="both"/>
        <w:rPr>
          <w:bCs/>
          <w:sz w:val="22"/>
          <w:lang w:val="es-ES"/>
        </w:rPr>
      </w:pPr>
    </w:p>
    <w:p w14:paraId="5B033EB7" w14:textId="77777777" w:rsidR="008C0219" w:rsidRPr="00A05D93" w:rsidRDefault="008C0219" w:rsidP="008C0219">
      <w:pPr>
        <w:tabs>
          <w:tab w:val="num" w:pos="450"/>
          <w:tab w:val="num" w:pos="1080"/>
        </w:tabs>
        <w:jc w:val="both"/>
        <w:rPr>
          <w:rFonts w:ascii="Arial" w:hAnsi="Arial" w:cs="Arial"/>
          <w:bCs/>
          <w:sz w:val="22"/>
          <w:szCs w:val="22"/>
          <w:lang w:val="es-ES"/>
        </w:rPr>
      </w:pPr>
      <w:r w:rsidRPr="00A05D93">
        <w:rPr>
          <w:rFonts w:ascii="Arial" w:hAnsi="Arial" w:cs="Arial"/>
          <w:bCs/>
          <w:sz w:val="22"/>
          <w:szCs w:val="22"/>
          <w:lang w:val="es-ES"/>
        </w:rPr>
        <w:t>Todo Reporte/Producto deberá ser entregado al Banco en forma electrónica.</w:t>
      </w:r>
    </w:p>
    <w:p w14:paraId="4CF3292B" w14:textId="77777777" w:rsidR="00752A29" w:rsidRPr="00577CC0" w:rsidRDefault="00752A29" w:rsidP="00253D5A">
      <w:pPr>
        <w:pStyle w:val="BodyText"/>
        <w:jc w:val="both"/>
        <w:rPr>
          <w:sz w:val="22"/>
          <w:szCs w:val="22"/>
          <w:lang w:val="es-ES"/>
        </w:rPr>
      </w:pPr>
    </w:p>
    <w:p w14:paraId="4CF3292C" w14:textId="620C6CBB" w:rsidR="00752A29" w:rsidRPr="00722BF3" w:rsidRDefault="00086701" w:rsidP="00722BF3">
      <w:pPr>
        <w:pStyle w:val="ListParagraph"/>
        <w:numPr>
          <w:ilvl w:val="0"/>
          <w:numId w:val="19"/>
        </w:numPr>
        <w:jc w:val="both"/>
        <w:rPr>
          <w:rFonts w:ascii="Arial" w:hAnsi="Arial" w:cs="Arial"/>
          <w:b/>
          <w:bCs/>
          <w:sz w:val="22"/>
          <w:szCs w:val="22"/>
          <w:lang w:val="es-ES"/>
        </w:rPr>
      </w:pPr>
      <w:r w:rsidRPr="00722BF3">
        <w:rPr>
          <w:rFonts w:ascii="Arial" w:hAnsi="Arial" w:cs="Arial"/>
          <w:b/>
          <w:bCs/>
          <w:sz w:val="22"/>
          <w:szCs w:val="22"/>
          <w:lang w:val="es-ES"/>
        </w:rPr>
        <w:t>C</w:t>
      </w:r>
      <w:r w:rsidR="00202CC0" w:rsidRPr="00722BF3">
        <w:rPr>
          <w:rFonts w:ascii="Arial" w:hAnsi="Arial" w:cs="Arial"/>
          <w:b/>
          <w:bCs/>
          <w:sz w:val="22"/>
          <w:szCs w:val="22"/>
          <w:lang w:val="es-ES"/>
        </w:rPr>
        <w:t>ronograma de Pagos</w:t>
      </w:r>
    </w:p>
    <w:p w14:paraId="11B42478" w14:textId="77777777" w:rsidR="00202CC0" w:rsidRPr="00577CC0" w:rsidRDefault="00202CC0" w:rsidP="00253D5A">
      <w:pPr>
        <w:jc w:val="both"/>
        <w:rPr>
          <w:b/>
          <w:bCs/>
          <w:sz w:val="22"/>
          <w:szCs w:val="22"/>
          <w:lang w:val="es-ES"/>
        </w:rPr>
      </w:pPr>
    </w:p>
    <w:p w14:paraId="27E3659A" w14:textId="77777777" w:rsidR="008C0219" w:rsidRPr="00722BF3" w:rsidRDefault="008C0219" w:rsidP="00722BF3">
      <w:pPr>
        <w:pStyle w:val="ListParagraph"/>
        <w:numPr>
          <w:ilvl w:val="1"/>
          <w:numId w:val="19"/>
        </w:numPr>
        <w:spacing w:before="120"/>
        <w:ind w:hanging="634"/>
        <w:jc w:val="both"/>
        <w:rPr>
          <w:rFonts w:ascii="Arial" w:hAnsi="Arial" w:cs="Arial"/>
          <w:bCs/>
          <w:sz w:val="22"/>
          <w:szCs w:val="22"/>
          <w:lang w:val="es-ES"/>
        </w:rPr>
      </w:pPr>
      <w:r w:rsidRPr="00722BF3">
        <w:rPr>
          <w:rFonts w:ascii="Arial" w:hAnsi="Arial" w:cs="Arial"/>
          <w:bCs/>
          <w:sz w:val="22"/>
          <w:szCs w:val="22"/>
          <w:lang w:val="es-ES"/>
        </w:rPr>
        <w:t>Contrato que incluye los honorarios y todos los gastos en los que incurra el consultor para realizar las actividades señaladas en estos Términos de Referencia.</w:t>
      </w:r>
    </w:p>
    <w:p w14:paraId="59BD932B" w14:textId="77777777" w:rsidR="008C0219" w:rsidRPr="004B5A0D" w:rsidRDefault="008C0219" w:rsidP="008C0219">
      <w:pPr>
        <w:ind w:left="450"/>
        <w:jc w:val="both"/>
        <w:rPr>
          <w:bCs/>
          <w:sz w:val="22"/>
          <w:lang w:val="es-ES"/>
        </w:rPr>
      </w:pPr>
    </w:p>
    <w:p w14:paraId="1FB6CAA4" w14:textId="77777777" w:rsidR="008C0219" w:rsidRDefault="008C0219" w:rsidP="00722BF3">
      <w:pPr>
        <w:pStyle w:val="ListParagraph"/>
        <w:numPr>
          <w:ilvl w:val="1"/>
          <w:numId w:val="19"/>
        </w:numPr>
        <w:spacing w:before="120"/>
        <w:ind w:hanging="634"/>
        <w:jc w:val="both"/>
        <w:rPr>
          <w:rFonts w:ascii="Arial" w:hAnsi="Arial" w:cs="Arial"/>
          <w:bCs/>
          <w:sz w:val="22"/>
          <w:szCs w:val="22"/>
          <w:lang w:val="es-ES"/>
        </w:rPr>
      </w:pPr>
      <w:r w:rsidRPr="00722BF3">
        <w:rPr>
          <w:rFonts w:ascii="Arial" w:hAnsi="Arial" w:cs="Arial"/>
          <w:bCs/>
          <w:sz w:val="22"/>
          <w:szCs w:val="22"/>
          <w:lang w:val="es-ES"/>
        </w:rPr>
        <w:t xml:space="preserve">Los pagos de los honorarios se realizaran de la siguiente forma: </w:t>
      </w:r>
    </w:p>
    <w:p w14:paraId="636BC8A4" w14:textId="77777777" w:rsidR="00722BF3" w:rsidRPr="00722BF3" w:rsidRDefault="00722BF3" w:rsidP="00722BF3">
      <w:pPr>
        <w:pStyle w:val="ListParagraph"/>
        <w:spacing w:before="120"/>
        <w:ind w:left="360"/>
        <w:jc w:val="both"/>
        <w:rPr>
          <w:rFonts w:ascii="Arial" w:hAnsi="Arial" w:cs="Arial"/>
          <w:bCs/>
          <w:sz w:val="22"/>
          <w:szCs w:val="22"/>
          <w:lang w:val="es-ES"/>
        </w:rPr>
      </w:pPr>
    </w:p>
    <w:p w14:paraId="4288ABFA" w14:textId="47BA264B" w:rsidR="008C0219" w:rsidRPr="00722BF3" w:rsidRDefault="008C0219" w:rsidP="00722BF3">
      <w:pPr>
        <w:pStyle w:val="ListParagraph"/>
        <w:numPr>
          <w:ilvl w:val="0"/>
          <w:numId w:val="21"/>
        </w:numPr>
        <w:ind w:left="720" w:hanging="360"/>
        <w:jc w:val="both"/>
        <w:rPr>
          <w:rFonts w:ascii="Arial" w:hAnsi="Arial" w:cs="Arial"/>
          <w:bCs/>
          <w:sz w:val="22"/>
          <w:lang w:val="es-ES"/>
        </w:rPr>
      </w:pPr>
      <w:r w:rsidRPr="00722BF3">
        <w:rPr>
          <w:rFonts w:ascii="Arial" w:hAnsi="Arial" w:cs="Arial"/>
          <w:bCs/>
          <w:sz w:val="22"/>
          <w:lang w:val="es-ES"/>
        </w:rPr>
        <w:t xml:space="preserve">50% </w:t>
      </w:r>
      <w:r w:rsidR="00722BF3">
        <w:rPr>
          <w:rFonts w:ascii="Arial" w:hAnsi="Arial" w:cs="Arial"/>
          <w:bCs/>
          <w:sz w:val="22"/>
          <w:lang w:val="es-ES"/>
        </w:rPr>
        <w:t xml:space="preserve">contra </w:t>
      </w:r>
      <w:r w:rsidRPr="00722BF3">
        <w:rPr>
          <w:rFonts w:ascii="Arial" w:hAnsi="Arial" w:cs="Arial"/>
          <w:bCs/>
          <w:sz w:val="22"/>
          <w:lang w:val="es-ES"/>
        </w:rPr>
        <w:t>la entrega y aprobación de</w:t>
      </w:r>
      <w:r w:rsidR="00722BF3">
        <w:rPr>
          <w:rFonts w:ascii="Arial" w:hAnsi="Arial" w:cs="Arial"/>
          <w:bCs/>
          <w:sz w:val="22"/>
          <w:lang w:val="es-ES"/>
        </w:rPr>
        <w:t xml:space="preserve"> los productos considerados en el numeral (i) de la sección IV.</w:t>
      </w:r>
    </w:p>
    <w:p w14:paraId="103A6AB8" w14:textId="60B5AC4A" w:rsidR="008C0219" w:rsidRPr="00722BF3" w:rsidRDefault="008C0219" w:rsidP="00722BF3">
      <w:pPr>
        <w:pStyle w:val="ListParagraph"/>
        <w:numPr>
          <w:ilvl w:val="0"/>
          <w:numId w:val="21"/>
        </w:numPr>
        <w:ind w:left="720" w:hanging="360"/>
        <w:jc w:val="both"/>
        <w:rPr>
          <w:rFonts w:ascii="Arial" w:hAnsi="Arial" w:cs="Arial"/>
          <w:bCs/>
          <w:sz w:val="22"/>
          <w:lang w:val="es-ES"/>
        </w:rPr>
      </w:pPr>
      <w:r w:rsidRPr="00722BF3">
        <w:rPr>
          <w:rFonts w:ascii="Arial" w:hAnsi="Arial" w:cs="Arial"/>
          <w:bCs/>
          <w:sz w:val="22"/>
          <w:lang w:val="es-ES"/>
        </w:rPr>
        <w:t xml:space="preserve">50% </w:t>
      </w:r>
      <w:r w:rsidR="00722BF3">
        <w:rPr>
          <w:rFonts w:ascii="Arial" w:hAnsi="Arial" w:cs="Arial"/>
          <w:bCs/>
          <w:sz w:val="22"/>
          <w:lang w:val="es-ES"/>
        </w:rPr>
        <w:t xml:space="preserve">contra </w:t>
      </w:r>
      <w:r w:rsidR="00722BF3" w:rsidRPr="00722BF3">
        <w:rPr>
          <w:rFonts w:ascii="Arial" w:hAnsi="Arial" w:cs="Arial"/>
          <w:bCs/>
          <w:sz w:val="22"/>
          <w:lang w:val="es-ES"/>
        </w:rPr>
        <w:t>la entrega y aprobación de</w:t>
      </w:r>
      <w:r w:rsidR="00722BF3">
        <w:rPr>
          <w:rFonts w:ascii="Arial" w:hAnsi="Arial" w:cs="Arial"/>
          <w:bCs/>
          <w:sz w:val="22"/>
          <w:lang w:val="es-ES"/>
        </w:rPr>
        <w:t xml:space="preserve"> los productos considerados en el numeral (ii) de la sección IV.</w:t>
      </w:r>
    </w:p>
    <w:p w14:paraId="6A4580A3" w14:textId="77777777" w:rsidR="008C0219" w:rsidRDefault="008C0219" w:rsidP="008C0219">
      <w:pPr>
        <w:rPr>
          <w:bCs/>
          <w:sz w:val="22"/>
          <w:lang w:val="es-ES"/>
        </w:rPr>
      </w:pPr>
    </w:p>
    <w:p w14:paraId="4CF32938" w14:textId="4AF8AEB0" w:rsidR="00253D5A" w:rsidRPr="00577CC0" w:rsidRDefault="0080549B" w:rsidP="00253D5A">
      <w:pPr>
        <w:jc w:val="both"/>
        <w:rPr>
          <w:sz w:val="22"/>
          <w:szCs w:val="22"/>
          <w:lang w:val="es-ES"/>
        </w:rPr>
      </w:pPr>
      <w:r w:rsidRPr="00577CC0">
        <w:rPr>
          <w:b/>
          <w:bCs/>
          <w:sz w:val="22"/>
          <w:szCs w:val="22"/>
          <w:lang w:val="es-ES"/>
        </w:rPr>
        <w:t>Calificaciones</w:t>
      </w:r>
    </w:p>
    <w:p w14:paraId="4CF32939" w14:textId="674F03B6" w:rsidR="00253D5A" w:rsidRPr="00577CC0" w:rsidRDefault="000A13F8" w:rsidP="00253D5A">
      <w:pPr>
        <w:pStyle w:val="ListParagraph"/>
        <w:numPr>
          <w:ilvl w:val="0"/>
          <w:numId w:val="8"/>
        </w:numPr>
        <w:jc w:val="both"/>
        <w:rPr>
          <w:sz w:val="22"/>
          <w:szCs w:val="22"/>
          <w:lang w:val="es-ES"/>
        </w:rPr>
      </w:pPr>
      <w:r w:rsidRPr="00577CC0">
        <w:rPr>
          <w:sz w:val="22"/>
          <w:szCs w:val="22"/>
          <w:lang w:val="es-ES"/>
        </w:rPr>
        <w:t>Título</w:t>
      </w:r>
      <w:r w:rsidR="0080549B" w:rsidRPr="00577CC0">
        <w:rPr>
          <w:sz w:val="22"/>
          <w:szCs w:val="22"/>
          <w:lang w:val="es-ES"/>
        </w:rPr>
        <w:t>/Nivel</w:t>
      </w:r>
      <w:r w:rsidR="00F35F75" w:rsidRPr="00577CC0">
        <w:rPr>
          <w:sz w:val="22"/>
          <w:szCs w:val="22"/>
          <w:lang w:val="es-ES"/>
        </w:rPr>
        <w:t xml:space="preserve"> </w:t>
      </w:r>
      <w:r w:rsidRPr="00577CC0">
        <w:rPr>
          <w:sz w:val="22"/>
          <w:szCs w:val="22"/>
          <w:lang w:val="es-ES"/>
        </w:rPr>
        <w:t>Académico</w:t>
      </w:r>
      <w:r w:rsidR="00EB5F2B" w:rsidRPr="00577CC0">
        <w:rPr>
          <w:sz w:val="22"/>
          <w:szCs w:val="22"/>
          <w:lang w:val="es-ES"/>
        </w:rPr>
        <w:t xml:space="preserve"> &amp; </w:t>
      </w:r>
      <w:r w:rsidR="00253D5A" w:rsidRPr="00577CC0">
        <w:rPr>
          <w:sz w:val="22"/>
          <w:szCs w:val="22"/>
          <w:lang w:val="es-ES"/>
        </w:rPr>
        <w:t xml:space="preserve">Años de </w:t>
      </w:r>
      <w:r w:rsidR="00EB5F2B" w:rsidRPr="00577CC0">
        <w:rPr>
          <w:sz w:val="22"/>
          <w:szCs w:val="22"/>
          <w:lang w:val="es-ES"/>
        </w:rPr>
        <w:t>E</w:t>
      </w:r>
      <w:r w:rsidR="00253D5A" w:rsidRPr="00577CC0">
        <w:rPr>
          <w:sz w:val="22"/>
          <w:szCs w:val="22"/>
          <w:lang w:val="es-ES"/>
        </w:rPr>
        <w:t xml:space="preserve">xperiencia </w:t>
      </w:r>
      <w:r w:rsidR="00EB5F2B" w:rsidRPr="00577CC0">
        <w:rPr>
          <w:sz w:val="22"/>
          <w:szCs w:val="22"/>
          <w:lang w:val="es-ES"/>
        </w:rPr>
        <w:t>P</w:t>
      </w:r>
      <w:r w:rsidR="00253D5A" w:rsidRPr="00577CC0">
        <w:rPr>
          <w:sz w:val="22"/>
          <w:szCs w:val="22"/>
          <w:lang w:val="es-ES"/>
        </w:rPr>
        <w:t>rofesional:</w:t>
      </w:r>
      <w:r w:rsidR="008C0219">
        <w:rPr>
          <w:sz w:val="22"/>
          <w:szCs w:val="22"/>
          <w:lang w:val="es-ES"/>
        </w:rPr>
        <w:t xml:space="preserve"> </w:t>
      </w:r>
      <w:r w:rsidR="008C0219" w:rsidRPr="001E5F36">
        <w:rPr>
          <w:bCs/>
          <w:sz w:val="22"/>
          <w:szCs w:val="22"/>
          <w:lang w:val="es-CO"/>
        </w:rPr>
        <w:t xml:space="preserve">Se requiere un profesional en </w:t>
      </w:r>
      <w:r w:rsidR="00722BF3">
        <w:rPr>
          <w:bCs/>
          <w:sz w:val="22"/>
          <w:szCs w:val="22"/>
          <w:lang w:val="es-CO"/>
        </w:rPr>
        <w:t xml:space="preserve">Derecho, </w:t>
      </w:r>
      <w:r w:rsidR="008C0219" w:rsidRPr="001E5F36">
        <w:rPr>
          <w:bCs/>
          <w:sz w:val="22"/>
          <w:szCs w:val="22"/>
          <w:lang w:val="es-CO"/>
        </w:rPr>
        <w:t>ingeniería y/o economía con</w:t>
      </w:r>
      <w:r w:rsidR="008C0219">
        <w:rPr>
          <w:bCs/>
          <w:sz w:val="22"/>
          <w:szCs w:val="22"/>
          <w:lang w:val="es-CO"/>
        </w:rPr>
        <w:t xml:space="preserve"> más de </w:t>
      </w:r>
      <w:r w:rsidR="00722BF3">
        <w:rPr>
          <w:bCs/>
          <w:sz w:val="22"/>
          <w:szCs w:val="22"/>
          <w:lang w:val="es-CO"/>
        </w:rPr>
        <w:t>15</w:t>
      </w:r>
      <w:r w:rsidR="008C0219">
        <w:rPr>
          <w:bCs/>
          <w:sz w:val="22"/>
          <w:szCs w:val="22"/>
          <w:lang w:val="es-CO"/>
        </w:rPr>
        <w:t xml:space="preserve"> años de </w:t>
      </w:r>
      <w:r w:rsidR="008C0219" w:rsidRPr="001E5F36">
        <w:rPr>
          <w:bCs/>
          <w:sz w:val="22"/>
          <w:szCs w:val="22"/>
          <w:lang w:val="es-CO"/>
        </w:rPr>
        <w:t xml:space="preserve">experiencia en </w:t>
      </w:r>
      <w:r w:rsidR="00722BF3">
        <w:rPr>
          <w:bCs/>
          <w:sz w:val="22"/>
          <w:szCs w:val="22"/>
          <w:lang w:val="es-CO"/>
        </w:rPr>
        <w:t>la estructuración técnica y financiera de proyectos en el sector eléctrico, así como experiencia demostrada en temas regulatorio s y normativos</w:t>
      </w:r>
    </w:p>
    <w:p w14:paraId="4CF3293A" w14:textId="29EFCA94" w:rsidR="00253D5A" w:rsidRPr="00577CC0" w:rsidRDefault="00253D5A" w:rsidP="00253D5A">
      <w:pPr>
        <w:pStyle w:val="ListParagraph"/>
        <w:numPr>
          <w:ilvl w:val="0"/>
          <w:numId w:val="8"/>
        </w:numPr>
        <w:jc w:val="both"/>
        <w:rPr>
          <w:sz w:val="22"/>
          <w:szCs w:val="22"/>
          <w:lang w:val="es-ES"/>
        </w:rPr>
      </w:pPr>
      <w:r w:rsidRPr="00577CC0">
        <w:rPr>
          <w:sz w:val="22"/>
          <w:szCs w:val="22"/>
          <w:lang w:val="es-ES"/>
        </w:rPr>
        <w:t>Idiomas:</w:t>
      </w:r>
      <w:r w:rsidR="008C0219">
        <w:rPr>
          <w:sz w:val="22"/>
          <w:szCs w:val="22"/>
          <w:lang w:val="es-ES"/>
        </w:rPr>
        <w:t xml:space="preserve"> Español</w:t>
      </w:r>
    </w:p>
    <w:p w14:paraId="2891E4B6" w14:textId="77777777" w:rsidR="008C0219" w:rsidRPr="008C0219" w:rsidRDefault="00EB5F2B" w:rsidP="008C0219">
      <w:pPr>
        <w:pStyle w:val="ListParagraph"/>
        <w:numPr>
          <w:ilvl w:val="0"/>
          <w:numId w:val="8"/>
        </w:numPr>
        <w:jc w:val="both"/>
        <w:rPr>
          <w:sz w:val="22"/>
          <w:szCs w:val="22"/>
          <w:lang w:val="es-ES"/>
        </w:rPr>
      </w:pPr>
      <w:r w:rsidRPr="00577CC0">
        <w:rPr>
          <w:sz w:val="22"/>
          <w:szCs w:val="22"/>
          <w:lang w:val="es-ES"/>
        </w:rPr>
        <w:t>Áreas de Especialización:</w:t>
      </w:r>
      <w:r w:rsidR="008C0219">
        <w:rPr>
          <w:sz w:val="22"/>
          <w:szCs w:val="22"/>
          <w:lang w:val="es-ES"/>
        </w:rPr>
        <w:t xml:space="preserve"> </w:t>
      </w:r>
      <w:r w:rsidR="008C0219" w:rsidRPr="008C0219">
        <w:rPr>
          <w:sz w:val="22"/>
          <w:szCs w:val="22"/>
          <w:lang w:val="es-ES"/>
        </w:rPr>
        <w:t>Desarrollo y financiamiento de energía, Gerencia de sostenibilidad, administración de negocios. Se valorará especialmente contar con antecedentes profesionales relacionados con la representación de empresas de los sectores de energía, consultoría, asesoría y evaluación de políticas públicas.</w:t>
      </w:r>
    </w:p>
    <w:p w14:paraId="2F594951" w14:textId="5D4E5CA5" w:rsidR="008C0219" w:rsidRPr="008C0219" w:rsidRDefault="00253D5A" w:rsidP="008C0219">
      <w:pPr>
        <w:pStyle w:val="ListParagraph"/>
        <w:numPr>
          <w:ilvl w:val="0"/>
          <w:numId w:val="8"/>
        </w:numPr>
        <w:jc w:val="both"/>
        <w:rPr>
          <w:sz w:val="22"/>
          <w:szCs w:val="22"/>
          <w:lang w:val="es-ES"/>
        </w:rPr>
      </w:pPr>
      <w:r w:rsidRPr="008C0219">
        <w:rPr>
          <w:sz w:val="22"/>
          <w:szCs w:val="22"/>
          <w:lang w:val="es-ES"/>
        </w:rPr>
        <w:t xml:space="preserve">Habilidades: </w:t>
      </w:r>
      <w:r w:rsidR="008C0219" w:rsidRPr="008C0219">
        <w:rPr>
          <w:sz w:val="22"/>
          <w:szCs w:val="22"/>
          <w:lang w:val="es-ES"/>
        </w:rPr>
        <w:t>Se requiere que el consultor se haya desempeñado en cargos directivos en entidades y empresas de los sectores de energía. El consultor deberá tener amplio conocimiento sobre temas regulatorios relativos al sector de energía; generación distribuida, energías alternativas, posibles desarrollos de redes inteligentes y amplio conocimiento de las políticas, estrategias y procedimientos del Banco.</w:t>
      </w:r>
    </w:p>
    <w:p w14:paraId="56676F4D" w14:textId="709F6E59" w:rsidR="00A44B2E" w:rsidRPr="008C0219" w:rsidRDefault="00A44B2E" w:rsidP="008C0219">
      <w:pPr>
        <w:pStyle w:val="ListParagraph"/>
        <w:jc w:val="both"/>
        <w:rPr>
          <w:sz w:val="22"/>
          <w:szCs w:val="22"/>
          <w:lang w:val="es-ES"/>
        </w:rPr>
      </w:pPr>
    </w:p>
    <w:p w14:paraId="6C5741E7" w14:textId="77777777" w:rsidR="00EB7525" w:rsidRPr="00577CC0" w:rsidRDefault="00EB7525" w:rsidP="00EB7525">
      <w:pPr>
        <w:jc w:val="both"/>
        <w:rPr>
          <w:b/>
          <w:bCs/>
          <w:sz w:val="22"/>
          <w:szCs w:val="22"/>
          <w:lang w:val="es-ES"/>
        </w:rPr>
      </w:pPr>
      <w:r w:rsidRPr="00577CC0">
        <w:rPr>
          <w:b/>
          <w:bCs/>
          <w:sz w:val="22"/>
          <w:szCs w:val="22"/>
          <w:lang w:val="es-ES"/>
        </w:rPr>
        <w:t>Características de la Consultoría</w:t>
      </w:r>
    </w:p>
    <w:p w14:paraId="6A882610" w14:textId="77777777" w:rsidR="00EB7525" w:rsidRPr="00577CC0" w:rsidRDefault="00EB7525" w:rsidP="00EB7525">
      <w:pPr>
        <w:jc w:val="both"/>
        <w:rPr>
          <w:b/>
          <w:bCs/>
          <w:sz w:val="22"/>
          <w:szCs w:val="22"/>
          <w:lang w:val="es-ES"/>
        </w:rPr>
      </w:pPr>
    </w:p>
    <w:p w14:paraId="04292A47" w14:textId="0CAA416B" w:rsidR="00EB7525" w:rsidRPr="00577CC0" w:rsidRDefault="00EB7525" w:rsidP="00EB7525">
      <w:pPr>
        <w:pStyle w:val="ListParagraph"/>
        <w:numPr>
          <w:ilvl w:val="0"/>
          <w:numId w:val="9"/>
        </w:numPr>
        <w:jc w:val="both"/>
        <w:rPr>
          <w:sz w:val="22"/>
          <w:szCs w:val="22"/>
          <w:lang w:val="es-ES"/>
        </w:rPr>
      </w:pPr>
      <w:r w:rsidRPr="00577CC0">
        <w:rPr>
          <w:sz w:val="22"/>
          <w:szCs w:val="22"/>
          <w:lang w:val="es-ES"/>
        </w:rPr>
        <w:t xml:space="preserve">Categoría y Modalidad de la Consultoría: </w:t>
      </w:r>
      <w:r w:rsidR="00577CC0">
        <w:rPr>
          <w:sz w:val="22"/>
          <w:szCs w:val="22"/>
          <w:lang w:val="es-ES"/>
        </w:rPr>
        <w:t>Contractual de</w:t>
      </w:r>
      <w:r w:rsidR="007B4F37" w:rsidRPr="00577CC0">
        <w:rPr>
          <w:sz w:val="22"/>
          <w:szCs w:val="22"/>
          <w:lang w:val="es-ES"/>
        </w:rPr>
        <w:t xml:space="preserve"> Productos y Servicios Externos, </w:t>
      </w:r>
      <w:r w:rsidR="0080549B" w:rsidRPr="00577CC0">
        <w:rPr>
          <w:sz w:val="22"/>
          <w:szCs w:val="22"/>
          <w:lang w:val="es-ES"/>
        </w:rPr>
        <w:t>Suma Alzada</w:t>
      </w:r>
    </w:p>
    <w:p w14:paraId="3A479FF0" w14:textId="6B26D722" w:rsidR="00EB7525" w:rsidRPr="00577CC0" w:rsidRDefault="003A4515" w:rsidP="00EB7525">
      <w:pPr>
        <w:pStyle w:val="ListParagraph"/>
        <w:numPr>
          <w:ilvl w:val="0"/>
          <w:numId w:val="9"/>
        </w:numPr>
        <w:jc w:val="both"/>
        <w:rPr>
          <w:sz w:val="22"/>
          <w:szCs w:val="22"/>
          <w:lang w:val="es-ES"/>
        </w:rPr>
      </w:pPr>
      <w:r>
        <w:rPr>
          <w:sz w:val="22"/>
          <w:szCs w:val="22"/>
          <w:lang w:val="es-ES"/>
        </w:rPr>
        <w:lastRenderedPageBreak/>
        <w:t xml:space="preserve">Duración del Contrato: </w:t>
      </w:r>
      <w:r w:rsidR="008C0219" w:rsidRPr="001E5F36">
        <w:rPr>
          <w:sz w:val="22"/>
          <w:szCs w:val="22"/>
          <w:lang w:val="es-CO"/>
        </w:rPr>
        <w:t xml:space="preserve">La consultoría se desarrollará en forma discontinua a partir del 1 de </w:t>
      </w:r>
      <w:r w:rsidR="00722BF3">
        <w:rPr>
          <w:sz w:val="22"/>
          <w:szCs w:val="22"/>
          <w:lang w:val="es-CO"/>
        </w:rPr>
        <w:t xml:space="preserve">marzo de </w:t>
      </w:r>
      <w:r w:rsidR="00BB1FB7">
        <w:rPr>
          <w:sz w:val="22"/>
          <w:szCs w:val="22"/>
          <w:lang w:val="es-CO"/>
        </w:rPr>
        <w:t>2016</w:t>
      </w:r>
      <w:r w:rsidR="008C0219" w:rsidRPr="001E5F36">
        <w:rPr>
          <w:sz w:val="22"/>
          <w:szCs w:val="22"/>
          <w:lang w:val="es-CO"/>
        </w:rPr>
        <w:t xml:space="preserve"> hasta el 31 de </w:t>
      </w:r>
      <w:r w:rsidR="00BB1FB7">
        <w:rPr>
          <w:sz w:val="22"/>
          <w:szCs w:val="22"/>
          <w:lang w:val="es-CO"/>
        </w:rPr>
        <w:t>julio</w:t>
      </w:r>
      <w:r w:rsidR="008C0219" w:rsidRPr="001E5F36">
        <w:rPr>
          <w:sz w:val="22"/>
          <w:szCs w:val="22"/>
          <w:lang w:val="es-CO"/>
        </w:rPr>
        <w:t xml:space="preserve"> de 201</w:t>
      </w:r>
      <w:r w:rsidR="00BB1FB7">
        <w:rPr>
          <w:sz w:val="22"/>
          <w:szCs w:val="22"/>
          <w:lang w:val="es-CO"/>
        </w:rPr>
        <w:t>6</w:t>
      </w:r>
      <w:r w:rsidR="008C0219" w:rsidRPr="001E5F36">
        <w:rPr>
          <w:sz w:val="22"/>
          <w:szCs w:val="22"/>
          <w:lang w:val="es-CO"/>
        </w:rPr>
        <w:t xml:space="preserve">, estimándose una carga de trabajo de </w:t>
      </w:r>
      <w:r w:rsidR="008C0219">
        <w:rPr>
          <w:sz w:val="22"/>
          <w:szCs w:val="22"/>
          <w:lang w:val="es-CO"/>
        </w:rPr>
        <w:t>cuarenta</w:t>
      </w:r>
      <w:r w:rsidR="008C0219" w:rsidRPr="001E5F36">
        <w:rPr>
          <w:sz w:val="22"/>
          <w:szCs w:val="22"/>
          <w:lang w:val="es-CO"/>
        </w:rPr>
        <w:t xml:space="preserve"> (</w:t>
      </w:r>
      <w:r w:rsidR="008C0219">
        <w:rPr>
          <w:sz w:val="22"/>
          <w:szCs w:val="22"/>
          <w:lang w:val="es-CO"/>
        </w:rPr>
        <w:t>4</w:t>
      </w:r>
      <w:r w:rsidR="008C0219" w:rsidRPr="001E5F36">
        <w:rPr>
          <w:sz w:val="22"/>
          <w:szCs w:val="22"/>
          <w:lang w:val="es-CO"/>
        </w:rPr>
        <w:t>0) días/consultor.</w:t>
      </w:r>
    </w:p>
    <w:p w14:paraId="68CF923A" w14:textId="1493473C" w:rsidR="00EB7525" w:rsidRDefault="00EB7525" w:rsidP="00EB7525">
      <w:pPr>
        <w:pStyle w:val="ListParagraph"/>
        <w:numPr>
          <w:ilvl w:val="0"/>
          <w:numId w:val="9"/>
        </w:numPr>
        <w:jc w:val="both"/>
        <w:rPr>
          <w:sz w:val="22"/>
          <w:szCs w:val="22"/>
          <w:lang w:val="es-ES"/>
        </w:rPr>
      </w:pPr>
      <w:r w:rsidRPr="00577CC0">
        <w:rPr>
          <w:sz w:val="22"/>
          <w:szCs w:val="22"/>
          <w:lang w:val="es-ES"/>
        </w:rPr>
        <w:t xml:space="preserve">Lugar(es) de trabajo: </w:t>
      </w:r>
      <w:r w:rsidR="0080549B" w:rsidRPr="00577CC0">
        <w:rPr>
          <w:sz w:val="22"/>
          <w:szCs w:val="22"/>
          <w:lang w:val="es-ES"/>
        </w:rPr>
        <w:t>Consultoría Externa</w:t>
      </w:r>
    </w:p>
    <w:p w14:paraId="7E29A551" w14:textId="64121E09" w:rsidR="00EB7525" w:rsidRPr="00577CC0" w:rsidRDefault="0080549B" w:rsidP="00EB7525">
      <w:pPr>
        <w:pStyle w:val="ListParagraph"/>
        <w:numPr>
          <w:ilvl w:val="0"/>
          <w:numId w:val="9"/>
        </w:numPr>
        <w:jc w:val="both"/>
        <w:rPr>
          <w:bCs/>
          <w:i/>
          <w:sz w:val="22"/>
          <w:szCs w:val="22"/>
          <w:lang w:val="es-ES"/>
        </w:rPr>
      </w:pPr>
      <w:r w:rsidRPr="00577CC0">
        <w:rPr>
          <w:sz w:val="22"/>
          <w:szCs w:val="22"/>
          <w:lang w:val="es-ES"/>
        </w:rPr>
        <w:t>Líder de División o Coordina</w:t>
      </w:r>
      <w:r w:rsidR="00226385" w:rsidRPr="00577CC0">
        <w:rPr>
          <w:sz w:val="22"/>
          <w:szCs w:val="22"/>
          <w:lang w:val="es-ES"/>
        </w:rPr>
        <w:t>d</w:t>
      </w:r>
      <w:r w:rsidRPr="00577CC0">
        <w:rPr>
          <w:sz w:val="22"/>
          <w:szCs w:val="22"/>
          <w:lang w:val="es-ES"/>
        </w:rPr>
        <w:t>or</w:t>
      </w:r>
      <w:r w:rsidR="00EB7525" w:rsidRPr="00577CC0">
        <w:rPr>
          <w:sz w:val="22"/>
          <w:szCs w:val="22"/>
          <w:lang w:val="es-ES"/>
        </w:rPr>
        <w:t xml:space="preserve">: </w:t>
      </w:r>
      <w:r w:rsidR="008C0219" w:rsidRPr="001E0A40">
        <w:rPr>
          <w:bCs/>
          <w:sz w:val="22"/>
          <w:lang w:val="es-ES"/>
        </w:rPr>
        <w:t xml:space="preserve">La División de Energía (INE/ENE) será responsable por la coordinación general y ejecución de la presente consultoría. El responsable de la coordinación técnica será el Sr. </w:t>
      </w:r>
      <w:r w:rsidR="00A05D93">
        <w:rPr>
          <w:bCs/>
          <w:sz w:val="22"/>
          <w:lang w:val="es-ES"/>
        </w:rPr>
        <w:t xml:space="preserve">Carlos Echavarría </w:t>
      </w:r>
      <w:r w:rsidR="008C0219" w:rsidRPr="001E0A40">
        <w:rPr>
          <w:bCs/>
          <w:sz w:val="22"/>
          <w:lang w:val="es-ES"/>
        </w:rPr>
        <w:t>(ENE/CC</w:t>
      </w:r>
      <w:r w:rsidR="00A05D93">
        <w:rPr>
          <w:bCs/>
          <w:sz w:val="22"/>
          <w:lang w:val="es-ES"/>
        </w:rPr>
        <w:t>R</w:t>
      </w:r>
      <w:r w:rsidR="008C0219" w:rsidRPr="001E0A40">
        <w:rPr>
          <w:bCs/>
          <w:sz w:val="22"/>
          <w:lang w:val="es-ES"/>
        </w:rPr>
        <w:t xml:space="preserve">) especialista de la División de Energía, con base en la Representación del BID en </w:t>
      </w:r>
      <w:r w:rsidR="00A05D93">
        <w:rPr>
          <w:bCs/>
          <w:sz w:val="22"/>
          <w:lang w:val="es-ES"/>
        </w:rPr>
        <w:t>Costa Rica</w:t>
      </w:r>
      <w:r w:rsidR="008C0219" w:rsidRPr="001E0A40">
        <w:rPr>
          <w:bCs/>
          <w:sz w:val="22"/>
          <w:lang w:val="es-ES"/>
        </w:rPr>
        <w:t>.</w:t>
      </w:r>
    </w:p>
    <w:p w14:paraId="60B14CEE" w14:textId="77777777" w:rsidR="00440F69" w:rsidRPr="00577CC0" w:rsidRDefault="00440F69" w:rsidP="00253D5A">
      <w:pPr>
        <w:jc w:val="both"/>
        <w:rPr>
          <w:b/>
          <w:bCs/>
          <w:sz w:val="22"/>
          <w:szCs w:val="22"/>
          <w:lang w:val="es-ES"/>
        </w:rPr>
      </w:pPr>
    </w:p>
    <w:p w14:paraId="1EB803FF" w14:textId="77777777" w:rsidR="00EB7525" w:rsidRPr="00577CC0" w:rsidRDefault="00EB7525" w:rsidP="00253D5A">
      <w:pPr>
        <w:jc w:val="both"/>
        <w:rPr>
          <w:b/>
          <w:bCs/>
          <w:sz w:val="22"/>
          <w:szCs w:val="22"/>
          <w:lang w:val="es-ES"/>
        </w:rPr>
      </w:pPr>
    </w:p>
    <w:p w14:paraId="080EEC84" w14:textId="70141603" w:rsidR="0099747C" w:rsidRDefault="0099747C" w:rsidP="0099747C">
      <w:pPr>
        <w:autoSpaceDE w:val="0"/>
        <w:autoSpaceDN w:val="0"/>
        <w:jc w:val="both"/>
        <w:rPr>
          <w:sz w:val="22"/>
          <w:szCs w:val="24"/>
          <w:lang w:val="es-ES_tradnl"/>
        </w:rPr>
      </w:pPr>
      <w:r>
        <w:rPr>
          <w:b/>
          <w:bCs/>
          <w:sz w:val="22"/>
          <w:szCs w:val="24"/>
          <w:lang w:val="es-ES_tradnl"/>
        </w:rPr>
        <w:t>Pago y Condiciones:</w:t>
      </w:r>
      <w:r>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3F943C3A" w14:textId="77777777" w:rsidR="0099747C" w:rsidRDefault="0099747C" w:rsidP="0099747C">
      <w:pPr>
        <w:autoSpaceDE w:val="0"/>
        <w:autoSpaceDN w:val="0"/>
        <w:jc w:val="both"/>
        <w:rPr>
          <w:sz w:val="22"/>
          <w:szCs w:val="24"/>
          <w:lang w:val="es-ES_tradnl"/>
        </w:rPr>
      </w:pPr>
      <w:r>
        <w:rPr>
          <w:sz w:val="22"/>
          <w:szCs w:val="24"/>
          <w:lang w:val="es-ES_tradnl"/>
        </w:rPr>
        <w:t> </w:t>
      </w:r>
    </w:p>
    <w:p w14:paraId="34D7405B" w14:textId="77777777" w:rsidR="0099747C" w:rsidRDefault="0099747C" w:rsidP="0099747C">
      <w:pPr>
        <w:autoSpaceDE w:val="0"/>
        <w:autoSpaceDN w:val="0"/>
        <w:jc w:val="both"/>
        <w:rPr>
          <w:sz w:val="22"/>
          <w:szCs w:val="24"/>
          <w:lang w:val="es-ES_tradnl"/>
        </w:rPr>
      </w:pPr>
      <w:r>
        <w:rPr>
          <w:b/>
          <w:bCs/>
          <w:sz w:val="22"/>
          <w:szCs w:val="24"/>
          <w:lang w:val="es-ES_tradnl"/>
        </w:rPr>
        <w:t>Consanguinidad:</w:t>
      </w:r>
      <w:r>
        <w:rPr>
          <w:sz w:val="22"/>
          <w:szCs w:val="24"/>
          <w:lang w:val="es-ES_tradnl"/>
        </w:rPr>
        <w:t xml:space="preserve"> De conformidad con la política del Banco aplicable, los candidatos con parientes (incluyendo cuarto grado de consanguinidad y segundo grado de afinidad, incluyendo </w:t>
      </w:r>
      <w:r w:rsidRPr="0099747C">
        <w:rPr>
          <w:sz w:val="22"/>
          <w:szCs w:val="24"/>
          <w:lang w:val="es-ES"/>
        </w:rPr>
        <w:t>conyugue</w:t>
      </w:r>
      <w:r>
        <w:rPr>
          <w:sz w:val="22"/>
          <w:szCs w:val="24"/>
          <w:lang w:val="es-ES_tradnl"/>
        </w:rPr>
        <w:t>) que trabajan para el Banco como funcionario o contractual de la fuerza contractual complementaria, no serán elegibles para proveer servicios al Banco.</w:t>
      </w:r>
    </w:p>
    <w:p w14:paraId="40CCC13E" w14:textId="77777777" w:rsidR="0099747C" w:rsidRDefault="0099747C" w:rsidP="0099747C">
      <w:pPr>
        <w:autoSpaceDE w:val="0"/>
        <w:autoSpaceDN w:val="0"/>
        <w:jc w:val="both"/>
        <w:rPr>
          <w:sz w:val="22"/>
          <w:szCs w:val="24"/>
          <w:lang w:val="es-ES_tradnl"/>
        </w:rPr>
      </w:pPr>
      <w:r>
        <w:rPr>
          <w:sz w:val="22"/>
          <w:szCs w:val="24"/>
          <w:lang w:val="es-ES_tradnl"/>
        </w:rPr>
        <w:t> </w:t>
      </w:r>
    </w:p>
    <w:p w14:paraId="0A1E4DBB" w14:textId="77777777" w:rsidR="0099747C" w:rsidRDefault="0099747C" w:rsidP="0099747C">
      <w:pPr>
        <w:autoSpaceDE w:val="0"/>
        <w:autoSpaceDN w:val="0"/>
        <w:jc w:val="both"/>
        <w:rPr>
          <w:sz w:val="22"/>
          <w:szCs w:val="24"/>
          <w:lang w:val="es-ES_tradnl"/>
        </w:rPr>
      </w:pPr>
      <w:r>
        <w:rPr>
          <w:b/>
          <w:bCs/>
          <w:sz w:val="22"/>
          <w:szCs w:val="24"/>
          <w:lang w:val="es-ES_tradnl"/>
        </w:rPr>
        <w:t>Diversidad:</w:t>
      </w:r>
      <w:r>
        <w:rPr>
          <w:sz w:val="22"/>
          <w:szCs w:val="24"/>
          <w:lang w:val="es-ES_tradnl"/>
        </w:rPr>
        <w:t xml:space="preserve"> El Banco </w:t>
      </w:r>
      <w:r w:rsidRPr="0099747C">
        <w:rPr>
          <w:sz w:val="22"/>
          <w:szCs w:val="24"/>
          <w:lang w:val="es-ES"/>
        </w:rPr>
        <w:t>está</w:t>
      </w:r>
      <w:r>
        <w:rPr>
          <w:sz w:val="22"/>
          <w:szCs w:val="24"/>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4798A91E" w14:textId="77777777" w:rsidR="0099747C" w:rsidRDefault="0099747C" w:rsidP="0099747C">
      <w:pPr>
        <w:jc w:val="both"/>
        <w:rPr>
          <w:b/>
          <w:bCs/>
          <w:sz w:val="22"/>
          <w:szCs w:val="22"/>
          <w:lang w:val="es-ES"/>
        </w:rPr>
      </w:pPr>
    </w:p>
    <w:p w14:paraId="21BA68B0" w14:textId="0D9E2C1C" w:rsidR="00A44B2E" w:rsidRPr="00577CC0" w:rsidRDefault="00A44B2E" w:rsidP="0099747C">
      <w:pPr>
        <w:jc w:val="both"/>
        <w:rPr>
          <w:b/>
          <w:bCs/>
          <w:iCs/>
          <w:color w:val="000000"/>
          <w:sz w:val="22"/>
          <w:szCs w:val="22"/>
          <w:lang w:val="es-ES"/>
        </w:rPr>
      </w:pPr>
    </w:p>
    <w:sectPr w:rsidR="00A44B2E" w:rsidRPr="00577CC0" w:rsidSect="00EB7525">
      <w:headerReference w:type="default" r:id="rId12"/>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942" w14:textId="77777777" w:rsidR="00702F04" w:rsidRDefault="00702F04">
      <w:r>
        <w:separator/>
      </w:r>
    </w:p>
  </w:endnote>
  <w:endnote w:type="continuationSeparator" w:id="0">
    <w:p w14:paraId="4CF32943" w14:textId="77777777" w:rsidR="00702F04" w:rsidRDefault="0070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2940" w14:textId="77777777" w:rsidR="00702F04" w:rsidRDefault="00702F04">
      <w:r>
        <w:separator/>
      </w:r>
    </w:p>
  </w:footnote>
  <w:footnote w:type="continuationSeparator" w:id="0">
    <w:p w14:paraId="4CF32941" w14:textId="77777777" w:rsidR="00702F04" w:rsidRDefault="0070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AA72" w14:textId="25CD5DB3" w:rsidR="0080549B" w:rsidRPr="0080549B" w:rsidRDefault="0080549B" w:rsidP="0080549B">
    <w:pPr>
      <w:pStyle w:val="Header"/>
      <w:jc w:val="right"/>
      <w:rPr>
        <w:sz w:val="22"/>
        <w:szCs w:val="22"/>
      </w:rPr>
    </w:pPr>
    <w:proofErr w:type="spellStart"/>
    <w:r>
      <w:rPr>
        <w:sz w:val="22"/>
        <w:szCs w:val="22"/>
      </w:rPr>
      <w:t>IDBDocs</w:t>
    </w:r>
    <w:proofErr w:type="spellEnd"/>
    <w:r>
      <w:rPr>
        <w:sz w:val="22"/>
        <w:szCs w:val="22"/>
      </w:rPr>
      <w:t>#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069"/>
    <w:multiLevelType w:val="hybridMultilevel"/>
    <w:tmpl w:val="8B42D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4D458F8"/>
    <w:multiLevelType w:val="hybridMultilevel"/>
    <w:tmpl w:val="C6425712"/>
    <w:lvl w:ilvl="0" w:tplc="0712AD7C">
      <w:start w:val="1"/>
      <w:numFmt w:val="lowerRoman"/>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207591D"/>
    <w:multiLevelType w:val="hybridMultilevel"/>
    <w:tmpl w:val="FEA46CDC"/>
    <w:lvl w:ilvl="0" w:tplc="8FAE8878">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80C07"/>
    <w:multiLevelType w:val="hybridMultilevel"/>
    <w:tmpl w:val="FEA46CDC"/>
    <w:lvl w:ilvl="0" w:tplc="8FAE8878">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418432D"/>
    <w:multiLevelType w:val="hybridMultilevel"/>
    <w:tmpl w:val="164E331C"/>
    <w:lvl w:ilvl="0" w:tplc="0712AD7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0A5868"/>
    <w:multiLevelType w:val="hybridMultilevel"/>
    <w:tmpl w:val="B90A6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D291324"/>
    <w:multiLevelType w:val="hybridMultilevel"/>
    <w:tmpl w:val="FC08556A"/>
    <w:lvl w:ilvl="0" w:tplc="8FAE8878">
      <w:start w:val="1"/>
      <w:numFmt w:val="lowerRoman"/>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425236"/>
    <w:multiLevelType w:val="hybridMultilevel"/>
    <w:tmpl w:val="4A6EBAFE"/>
    <w:lvl w:ilvl="0" w:tplc="240A0001">
      <w:start w:val="1"/>
      <w:numFmt w:val="bullet"/>
      <w:lvlText w:val=""/>
      <w:lvlJc w:val="left"/>
      <w:pPr>
        <w:ind w:left="1170" w:hanging="360"/>
      </w:pPr>
      <w:rPr>
        <w:rFonts w:ascii="Symbol" w:hAnsi="Symbol" w:hint="default"/>
      </w:rPr>
    </w:lvl>
    <w:lvl w:ilvl="1" w:tplc="240A0003" w:tentative="1">
      <w:start w:val="1"/>
      <w:numFmt w:val="bullet"/>
      <w:lvlText w:val="o"/>
      <w:lvlJc w:val="left"/>
      <w:pPr>
        <w:ind w:left="1890" w:hanging="360"/>
      </w:pPr>
      <w:rPr>
        <w:rFonts w:ascii="Courier New" w:hAnsi="Courier New" w:cs="Courier New" w:hint="default"/>
      </w:rPr>
    </w:lvl>
    <w:lvl w:ilvl="2" w:tplc="240A0005" w:tentative="1">
      <w:start w:val="1"/>
      <w:numFmt w:val="bullet"/>
      <w:lvlText w:val=""/>
      <w:lvlJc w:val="left"/>
      <w:pPr>
        <w:ind w:left="2610" w:hanging="360"/>
      </w:pPr>
      <w:rPr>
        <w:rFonts w:ascii="Wingdings" w:hAnsi="Wingdings" w:hint="default"/>
      </w:rPr>
    </w:lvl>
    <w:lvl w:ilvl="3" w:tplc="240A0001" w:tentative="1">
      <w:start w:val="1"/>
      <w:numFmt w:val="bullet"/>
      <w:lvlText w:val=""/>
      <w:lvlJc w:val="left"/>
      <w:pPr>
        <w:ind w:left="3330" w:hanging="360"/>
      </w:pPr>
      <w:rPr>
        <w:rFonts w:ascii="Symbol" w:hAnsi="Symbol" w:hint="default"/>
      </w:rPr>
    </w:lvl>
    <w:lvl w:ilvl="4" w:tplc="240A0003" w:tentative="1">
      <w:start w:val="1"/>
      <w:numFmt w:val="bullet"/>
      <w:lvlText w:val="o"/>
      <w:lvlJc w:val="left"/>
      <w:pPr>
        <w:ind w:left="4050" w:hanging="360"/>
      </w:pPr>
      <w:rPr>
        <w:rFonts w:ascii="Courier New" w:hAnsi="Courier New" w:cs="Courier New" w:hint="default"/>
      </w:rPr>
    </w:lvl>
    <w:lvl w:ilvl="5" w:tplc="240A0005" w:tentative="1">
      <w:start w:val="1"/>
      <w:numFmt w:val="bullet"/>
      <w:lvlText w:val=""/>
      <w:lvlJc w:val="left"/>
      <w:pPr>
        <w:ind w:left="4770" w:hanging="360"/>
      </w:pPr>
      <w:rPr>
        <w:rFonts w:ascii="Wingdings" w:hAnsi="Wingdings" w:hint="default"/>
      </w:rPr>
    </w:lvl>
    <w:lvl w:ilvl="6" w:tplc="240A0001" w:tentative="1">
      <w:start w:val="1"/>
      <w:numFmt w:val="bullet"/>
      <w:lvlText w:val=""/>
      <w:lvlJc w:val="left"/>
      <w:pPr>
        <w:ind w:left="5490" w:hanging="360"/>
      </w:pPr>
      <w:rPr>
        <w:rFonts w:ascii="Symbol" w:hAnsi="Symbol" w:hint="default"/>
      </w:rPr>
    </w:lvl>
    <w:lvl w:ilvl="7" w:tplc="240A0003" w:tentative="1">
      <w:start w:val="1"/>
      <w:numFmt w:val="bullet"/>
      <w:lvlText w:val="o"/>
      <w:lvlJc w:val="left"/>
      <w:pPr>
        <w:ind w:left="6210" w:hanging="360"/>
      </w:pPr>
      <w:rPr>
        <w:rFonts w:ascii="Courier New" w:hAnsi="Courier New" w:cs="Courier New" w:hint="default"/>
      </w:rPr>
    </w:lvl>
    <w:lvl w:ilvl="8" w:tplc="240A0005" w:tentative="1">
      <w:start w:val="1"/>
      <w:numFmt w:val="bullet"/>
      <w:lvlText w:val=""/>
      <w:lvlJc w:val="left"/>
      <w:pPr>
        <w:ind w:left="6930" w:hanging="360"/>
      </w:pPr>
      <w:rPr>
        <w:rFonts w:ascii="Wingdings" w:hAnsi="Wingdings" w:hint="default"/>
      </w:rPr>
    </w:lvl>
  </w:abstractNum>
  <w:abstractNum w:abstractNumId="14">
    <w:nsid w:val="486C0BDA"/>
    <w:multiLevelType w:val="hybridMultilevel"/>
    <w:tmpl w:val="AE568C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B485F4C"/>
    <w:multiLevelType w:val="hybridMultilevel"/>
    <w:tmpl w:val="CB341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3DA472B"/>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7DF44D1C"/>
    <w:multiLevelType w:val="hybridMultilevel"/>
    <w:tmpl w:val="CDB29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7"/>
  </w:num>
  <w:num w:numId="5">
    <w:abstractNumId w:val="9"/>
  </w:num>
  <w:num w:numId="6">
    <w:abstractNumId w:val="3"/>
  </w:num>
  <w:num w:numId="7">
    <w:abstractNumId w:val="1"/>
  </w:num>
  <w:num w:numId="8">
    <w:abstractNumId w:val="7"/>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11"/>
  </w:num>
  <w:num w:numId="15">
    <w:abstractNumId w:val="16"/>
  </w:num>
  <w:num w:numId="16">
    <w:abstractNumId w:val="13"/>
  </w:num>
  <w:num w:numId="17">
    <w:abstractNumId w:val="0"/>
  </w:num>
  <w:num w:numId="18">
    <w:abstractNumId w:val="19"/>
  </w:num>
  <w:num w:numId="19">
    <w:abstractNumId w:val="18"/>
  </w:num>
  <w:num w:numId="20">
    <w:abstractNumId w:val="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215DB"/>
    <w:rsid w:val="00021C52"/>
    <w:rsid w:val="00086701"/>
    <w:rsid w:val="00092ECA"/>
    <w:rsid w:val="000A13F8"/>
    <w:rsid w:val="000C2396"/>
    <w:rsid w:val="00173297"/>
    <w:rsid w:val="001A0B27"/>
    <w:rsid w:val="001C2322"/>
    <w:rsid w:val="00202CC0"/>
    <w:rsid w:val="00226385"/>
    <w:rsid w:val="00231D2F"/>
    <w:rsid w:val="00253D5A"/>
    <w:rsid w:val="00263584"/>
    <w:rsid w:val="00287F2D"/>
    <w:rsid w:val="002B411D"/>
    <w:rsid w:val="002F1096"/>
    <w:rsid w:val="0035019B"/>
    <w:rsid w:val="0036557D"/>
    <w:rsid w:val="00381358"/>
    <w:rsid w:val="00387C6A"/>
    <w:rsid w:val="003A4515"/>
    <w:rsid w:val="003C6E41"/>
    <w:rsid w:val="00414E38"/>
    <w:rsid w:val="00436B94"/>
    <w:rsid w:val="00440F69"/>
    <w:rsid w:val="00452A7C"/>
    <w:rsid w:val="00481545"/>
    <w:rsid w:val="004F2393"/>
    <w:rsid w:val="004F644F"/>
    <w:rsid w:val="00577CC0"/>
    <w:rsid w:val="005907C2"/>
    <w:rsid w:val="005B7F25"/>
    <w:rsid w:val="005D7731"/>
    <w:rsid w:val="00620D13"/>
    <w:rsid w:val="00621CA7"/>
    <w:rsid w:val="00702F04"/>
    <w:rsid w:val="00722BF3"/>
    <w:rsid w:val="00752A29"/>
    <w:rsid w:val="007B4F37"/>
    <w:rsid w:val="007D7B6B"/>
    <w:rsid w:val="0080549B"/>
    <w:rsid w:val="00861EA7"/>
    <w:rsid w:val="00864FA2"/>
    <w:rsid w:val="00872BBA"/>
    <w:rsid w:val="0087491E"/>
    <w:rsid w:val="008756A2"/>
    <w:rsid w:val="008C0219"/>
    <w:rsid w:val="008C33CE"/>
    <w:rsid w:val="008F5BBF"/>
    <w:rsid w:val="00930FFF"/>
    <w:rsid w:val="0097784A"/>
    <w:rsid w:val="00993F1D"/>
    <w:rsid w:val="0099747C"/>
    <w:rsid w:val="009A24C6"/>
    <w:rsid w:val="009E049C"/>
    <w:rsid w:val="009E3A88"/>
    <w:rsid w:val="009F43F3"/>
    <w:rsid w:val="00A03A43"/>
    <w:rsid w:val="00A05D93"/>
    <w:rsid w:val="00A066FE"/>
    <w:rsid w:val="00A44B2E"/>
    <w:rsid w:val="00A45A17"/>
    <w:rsid w:val="00A81B79"/>
    <w:rsid w:val="00A84ED7"/>
    <w:rsid w:val="00A94A9B"/>
    <w:rsid w:val="00AC6FD5"/>
    <w:rsid w:val="00AE2BDA"/>
    <w:rsid w:val="00B0449F"/>
    <w:rsid w:val="00B10C07"/>
    <w:rsid w:val="00BA5AEC"/>
    <w:rsid w:val="00BB1FB7"/>
    <w:rsid w:val="00C13E5D"/>
    <w:rsid w:val="00C16958"/>
    <w:rsid w:val="00C21F73"/>
    <w:rsid w:val="00C3508A"/>
    <w:rsid w:val="00CA6BB8"/>
    <w:rsid w:val="00D002F6"/>
    <w:rsid w:val="00D4452D"/>
    <w:rsid w:val="00D956AD"/>
    <w:rsid w:val="00DB1A5D"/>
    <w:rsid w:val="00DB30DA"/>
    <w:rsid w:val="00DE1B23"/>
    <w:rsid w:val="00DF4CD8"/>
    <w:rsid w:val="00E05AFA"/>
    <w:rsid w:val="00E357B9"/>
    <w:rsid w:val="00E36B37"/>
    <w:rsid w:val="00EB5F2B"/>
    <w:rsid w:val="00EB7525"/>
    <w:rsid w:val="00F17357"/>
    <w:rsid w:val="00F25F3A"/>
    <w:rsid w:val="00F35F75"/>
    <w:rsid w:val="00F40BF9"/>
    <w:rsid w:val="00F70404"/>
    <w:rsid w:val="00FC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character" w:styleId="Hyperlink">
    <w:name w:val="Hyperlink"/>
    <w:basedOn w:val="DefaultParagraphFont"/>
    <w:uiPriority w:val="99"/>
    <w:unhideWhenUsed/>
    <w:rsid w:val="00A84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character" w:styleId="Hyperlink">
    <w:name w:val="Hyperlink"/>
    <w:basedOn w:val="DefaultParagraphFont"/>
    <w:uiPriority w:val="99"/>
    <w:unhideWhenUsed/>
    <w:rsid w:val="00A84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2124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40189080</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Echevarria Barbero, Carlos Jose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RG-T2705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document&lt;/USER_STAGE&gt;&lt;APPROVAL_CODE&gt;PDTE&lt;/APPROVAL_CODE&gt;&lt;APPROVAL_DESC&gt;President&lt;/APPROVAL_DESC&gt;&lt;PD_OBJ_TYPE&gt;0&lt;/PD_OBJ_TYPE&gt;&lt;MAKERECORD&gt;N&lt;/MAKERECORD&gt;&lt;/Data&gt;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Approved TC document</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EF4DA63515BD44AA2469AB6B55B0D15" ma:contentTypeVersion="0" ma:contentTypeDescription="A content type to manage public (operations) IDB documents" ma:contentTypeScope="" ma:versionID="6c8373ee07d3756a1871138ac32e9cb3">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8C37-528F-4BC1-9664-B2E51A22AF01}"/>
</file>

<file path=customXml/itemProps2.xml><?xml version="1.0" encoding="utf-8"?>
<ds:datastoreItem xmlns:ds="http://schemas.openxmlformats.org/officeDocument/2006/customXml" ds:itemID="{C20A276F-B470-4102-A6DD-F34CA3F4E4DA}"/>
</file>

<file path=customXml/itemProps3.xml><?xml version="1.0" encoding="utf-8"?>
<ds:datastoreItem xmlns:ds="http://schemas.openxmlformats.org/officeDocument/2006/customXml" ds:itemID="{69CA715C-592A-494E-9B89-2C3E1A0381AA}"/>
</file>

<file path=customXml/itemProps4.xml><?xml version="1.0" encoding="utf-8"?>
<ds:datastoreItem xmlns:ds="http://schemas.openxmlformats.org/officeDocument/2006/customXml" ds:itemID="{29569520-C350-433B-BF4B-68AF88D1BF7A}"/>
</file>

<file path=customXml/itemProps5.xml><?xml version="1.0" encoding="utf-8"?>
<ds:datastoreItem xmlns:ds="http://schemas.openxmlformats.org/officeDocument/2006/customXml" ds:itemID="{FCB24637-4348-438D-A372-4452BA28BD9B}"/>
</file>

<file path=customXml/itemProps6.xml><?xml version="1.0" encoding="utf-8"?>
<ds:datastoreItem xmlns:ds="http://schemas.openxmlformats.org/officeDocument/2006/customXml" ds:itemID="{FF334E7D-FD3E-4B3E-952D-5B12867E29C8}"/>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RG-T2705 Desarrollo del Mercado Eléctrico Regional Componente I</dc:title>
  <dc:creator>ITS/ITC</dc:creator>
  <cp:lastModifiedBy>Test</cp:lastModifiedBy>
  <cp:revision>2</cp:revision>
  <dcterms:created xsi:type="dcterms:W3CDTF">2016-03-18T15:22:00Z</dcterms:created>
  <dcterms:modified xsi:type="dcterms:W3CDTF">2016-03-18T15:22:00Z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0x01010046CF21643EE8D14686A648AA6DAD0892005EF4DA63515BD44AA2469AB6B55B0D15</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