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11" w:rsidRPr="00FE377A" w:rsidRDefault="00CF5271" w:rsidP="007E6104">
      <w:pPr>
        <w:pStyle w:val="Title"/>
        <w:tabs>
          <w:tab w:val="clear" w:pos="1440"/>
          <w:tab w:val="clear" w:pos="3060"/>
        </w:tabs>
        <w:ind w:left="567" w:hanging="567"/>
        <w:outlineLvl w:val="9"/>
        <w:rPr>
          <w:rFonts w:ascii="Arial" w:hAnsi="Arial" w:cs="Arial"/>
          <w:smallCaps/>
          <w:sz w:val="22"/>
          <w:szCs w:val="22"/>
          <w:lang w:val="es-ES"/>
        </w:rPr>
      </w:pPr>
      <w:bookmarkStart w:id="0" w:name="_GoBack"/>
      <w:bookmarkEnd w:id="0"/>
      <w:r w:rsidRPr="00FE377A">
        <w:rPr>
          <w:rFonts w:ascii="Arial" w:hAnsi="Arial" w:cs="Arial"/>
          <w:smallCaps/>
          <w:sz w:val="22"/>
          <w:szCs w:val="22"/>
          <w:lang w:val="es-ES"/>
        </w:rPr>
        <w:t>Document</w:t>
      </w:r>
      <w:r w:rsidR="007A1860" w:rsidRPr="00FE377A">
        <w:rPr>
          <w:rFonts w:ascii="Arial" w:hAnsi="Arial" w:cs="Arial"/>
          <w:smallCaps/>
          <w:sz w:val="22"/>
          <w:szCs w:val="22"/>
          <w:lang w:val="es-ES"/>
        </w:rPr>
        <w:t>o del Banco Interameric</w:t>
      </w:r>
      <w:r w:rsidR="0002382F" w:rsidRPr="00FE377A">
        <w:rPr>
          <w:rFonts w:ascii="Arial" w:hAnsi="Arial" w:cs="Arial"/>
          <w:smallCaps/>
          <w:sz w:val="22"/>
          <w:szCs w:val="22"/>
          <w:lang w:val="es-ES"/>
        </w:rPr>
        <w:t>a</w:t>
      </w:r>
      <w:r w:rsidR="007D03A1" w:rsidRPr="00FE377A">
        <w:rPr>
          <w:rFonts w:ascii="Arial" w:hAnsi="Arial" w:cs="Arial"/>
          <w:smallCaps/>
          <w:sz w:val="22"/>
          <w:szCs w:val="22"/>
          <w:lang w:val="es-ES"/>
        </w:rPr>
        <w:t>n</w:t>
      </w:r>
      <w:r w:rsidR="0002382F" w:rsidRPr="00FE377A">
        <w:rPr>
          <w:rFonts w:ascii="Arial" w:hAnsi="Arial" w:cs="Arial"/>
          <w:smallCaps/>
          <w:sz w:val="22"/>
          <w:szCs w:val="22"/>
          <w:lang w:val="es-ES"/>
        </w:rPr>
        <w:t>o</w:t>
      </w:r>
      <w:r w:rsidR="007A1860" w:rsidRPr="00FE377A">
        <w:rPr>
          <w:rFonts w:ascii="Arial" w:hAnsi="Arial" w:cs="Arial"/>
          <w:smallCaps/>
          <w:sz w:val="22"/>
          <w:szCs w:val="22"/>
          <w:lang w:val="es-ES"/>
        </w:rPr>
        <w:t xml:space="preserve"> de Desarrollo</w:t>
      </w:r>
    </w:p>
    <w:p w:rsidR="00B84211" w:rsidRPr="00FE377A" w:rsidRDefault="00B84211" w:rsidP="007E6104">
      <w:pPr>
        <w:pStyle w:val="ListParagraph"/>
        <w:spacing w:before="120" w:after="0" w:line="360" w:lineRule="auto"/>
        <w:ind w:left="567" w:hanging="567"/>
        <w:jc w:val="center"/>
        <w:rPr>
          <w:rFonts w:ascii="Arial" w:hAnsi="Arial" w:cs="Arial"/>
          <w:b/>
          <w:lang w:val="es-ES"/>
        </w:rPr>
      </w:pPr>
    </w:p>
    <w:p w:rsidR="00B84211" w:rsidRDefault="00B84211" w:rsidP="007E6104">
      <w:pPr>
        <w:tabs>
          <w:tab w:val="left" w:pos="1440"/>
          <w:tab w:val="left" w:pos="3060"/>
        </w:tabs>
        <w:ind w:left="567" w:hanging="567"/>
        <w:jc w:val="center"/>
        <w:rPr>
          <w:rFonts w:ascii="Arial" w:hAnsi="Arial" w:cs="Arial"/>
          <w:b/>
          <w:smallCaps/>
          <w:lang w:val="es-ES"/>
        </w:rPr>
      </w:pPr>
    </w:p>
    <w:p w:rsidR="00B61EB7" w:rsidRDefault="00B61EB7" w:rsidP="007E6104">
      <w:pPr>
        <w:tabs>
          <w:tab w:val="left" w:pos="1440"/>
          <w:tab w:val="left" w:pos="3060"/>
        </w:tabs>
        <w:ind w:left="567" w:hanging="567"/>
        <w:jc w:val="center"/>
        <w:rPr>
          <w:rFonts w:ascii="Arial" w:hAnsi="Arial" w:cs="Arial"/>
          <w:b/>
          <w:smallCaps/>
          <w:lang w:val="es-ES"/>
        </w:rPr>
      </w:pPr>
    </w:p>
    <w:p w:rsidR="00B61EB7" w:rsidRPr="00FE377A" w:rsidRDefault="00B61EB7" w:rsidP="007E6104">
      <w:pPr>
        <w:tabs>
          <w:tab w:val="left" w:pos="1440"/>
          <w:tab w:val="left" w:pos="3060"/>
        </w:tabs>
        <w:ind w:left="567" w:hanging="567"/>
        <w:jc w:val="center"/>
        <w:rPr>
          <w:rFonts w:ascii="Arial" w:hAnsi="Arial" w:cs="Arial"/>
          <w:b/>
          <w:smallCaps/>
          <w:lang w:val="es-ES"/>
        </w:rPr>
      </w:pPr>
    </w:p>
    <w:p w:rsidR="00B84211" w:rsidRPr="00FE377A" w:rsidRDefault="00B84211" w:rsidP="007E6104">
      <w:pPr>
        <w:tabs>
          <w:tab w:val="left" w:pos="1440"/>
          <w:tab w:val="left" w:pos="3060"/>
        </w:tabs>
        <w:ind w:left="567" w:hanging="567"/>
        <w:jc w:val="center"/>
        <w:rPr>
          <w:rFonts w:ascii="Arial" w:hAnsi="Arial" w:cs="Arial"/>
          <w:b/>
          <w:smallCaps/>
          <w:lang w:val="es-ES"/>
        </w:rPr>
      </w:pPr>
    </w:p>
    <w:p w:rsidR="00B84211" w:rsidRPr="00FE377A" w:rsidRDefault="001237E7" w:rsidP="007E6104">
      <w:pPr>
        <w:tabs>
          <w:tab w:val="left" w:pos="1440"/>
          <w:tab w:val="left" w:pos="3060"/>
        </w:tabs>
        <w:ind w:left="567" w:hanging="567"/>
        <w:jc w:val="center"/>
        <w:rPr>
          <w:rFonts w:ascii="Arial" w:hAnsi="Arial" w:cs="Arial"/>
          <w:b/>
          <w:smallCaps/>
          <w:highlight w:val="lightGray"/>
          <w:lang w:val="es-ES"/>
        </w:rPr>
      </w:pPr>
      <w:r w:rsidRPr="00FE377A">
        <w:rPr>
          <w:rFonts w:ascii="Arial" w:hAnsi="Arial" w:cs="Arial"/>
          <w:b/>
          <w:smallCaps/>
          <w:highlight w:val="lightGray"/>
          <w:lang w:val="es-ES"/>
        </w:rPr>
        <w:t xml:space="preserve">República </w:t>
      </w:r>
      <w:r w:rsidR="00E954ED" w:rsidRPr="00FE377A">
        <w:rPr>
          <w:rFonts w:ascii="Arial" w:hAnsi="Arial" w:cs="Arial"/>
          <w:b/>
          <w:smallCaps/>
          <w:highlight w:val="lightGray"/>
          <w:lang w:val="es-ES"/>
        </w:rPr>
        <w:t>De</w:t>
      </w:r>
      <w:r w:rsidR="00B70650" w:rsidRPr="00FE377A">
        <w:rPr>
          <w:rFonts w:ascii="Arial" w:hAnsi="Arial" w:cs="Arial"/>
          <w:b/>
          <w:smallCaps/>
          <w:highlight w:val="lightGray"/>
          <w:lang w:val="es-ES"/>
        </w:rPr>
        <w:t>l</w:t>
      </w:r>
      <w:r w:rsidR="00E954ED" w:rsidRPr="00FE377A">
        <w:rPr>
          <w:rFonts w:ascii="Arial" w:hAnsi="Arial" w:cs="Arial"/>
          <w:b/>
          <w:smallCaps/>
          <w:highlight w:val="lightGray"/>
          <w:lang w:val="es-ES"/>
        </w:rPr>
        <w:t xml:space="preserve"> Paraguay</w:t>
      </w:r>
    </w:p>
    <w:p w:rsidR="00B84211" w:rsidRPr="00FE377A" w:rsidRDefault="00B84211" w:rsidP="007E6104">
      <w:pPr>
        <w:tabs>
          <w:tab w:val="left" w:pos="1440"/>
          <w:tab w:val="left" w:pos="3060"/>
        </w:tabs>
        <w:ind w:left="567" w:hanging="567"/>
        <w:jc w:val="center"/>
        <w:rPr>
          <w:rFonts w:ascii="Arial" w:hAnsi="Arial" w:cs="Arial"/>
          <w:b/>
          <w:smallCaps/>
          <w:highlight w:val="lightGray"/>
          <w:lang w:val="es-ES"/>
        </w:rPr>
      </w:pPr>
    </w:p>
    <w:p w:rsidR="00B84211" w:rsidRDefault="00B84211" w:rsidP="007E6104">
      <w:pPr>
        <w:tabs>
          <w:tab w:val="left" w:pos="1440"/>
          <w:tab w:val="left" w:pos="3060"/>
        </w:tabs>
        <w:ind w:left="567" w:hanging="567"/>
        <w:jc w:val="center"/>
        <w:rPr>
          <w:rFonts w:ascii="Arial" w:hAnsi="Arial" w:cs="Arial"/>
          <w:b/>
          <w:smallCaps/>
          <w:highlight w:val="lightGray"/>
          <w:lang w:val="es-ES"/>
        </w:rPr>
      </w:pPr>
    </w:p>
    <w:p w:rsidR="00B61EB7" w:rsidRDefault="00B61EB7" w:rsidP="007E6104">
      <w:pPr>
        <w:tabs>
          <w:tab w:val="left" w:pos="1440"/>
          <w:tab w:val="left" w:pos="3060"/>
        </w:tabs>
        <w:ind w:left="567" w:hanging="567"/>
        <w:jc w:val="center"/>
        <w:rPr>
          <w:rFonts w:ascii="Arial" w:hAnsi="Arial" w:cs="Arial"/>
          <w:b/>
          <w:smallCaps/>
          <w:highlight w:val="lightGray"/>
          <w:lang w:val="es-ES"/>
        </w:rPr>
      </w:pPr>
    </w:p>
    <w:p w:rsidR="00B61EB7" w:rsidRPr="00FE377A" w:rsidRDefault="00B61EB7" w:rsidP="007E6104">
      <w:pPr>
        <w:tabs>
          <w:tab w:val="left" w:pos="1440"/>
          <w:tab w:val="left" w:pos="3060"/>
        </w:tabs>
        <w:ind w:left="567" w:hanging="567"/>
        <w:jc w:val="center"/>
        <w:rPr>
          <w:rFonts w:ascii="Arial" w:hAnsi="Arial" w:cs="Arial"/>
          <w:b/>
          <w:smallCaps/>
          <w:highlight w:val="lightGray"/>
          <w:lang w:val="es-ES"/>
        </w:rPr>
      </w:pPr>
    </w:p>
    <w:p w:rsidR="0043368E" w:rsidRPr="00FE377A" w:rsidRDefault="00E954ED" w:rsidP="0043368E">
      <w:pPr>
        <w:pStyle w:val="Newpage"/>
        <w:ind w:left="567" w:hanging="567"/>
        <w:rPr>
          <w:rFonts w:ascii="Arial" w:hAnsi="Arial"/>
          <w:bCs/>
          <w:sz w:val="22"/>
          <w:szCs w:val="22"/>
          <w:highlight w:val="lightGray"/>
          <w:lang w:val="es-ES"/>
        </w:rPr>
      </w:pPr>
      <w:r w:rsidRPr="00FE377A">
        <w:rPr>
          <w:rFonts w:ascii="Arial" w:hAnsi="Arial"/>
          <w:bCs/>
          <w:sz w:val="22"/>
          <w:szCs w:val="22"/>
          <w:highlight w:val="lightGray"/>
          <w:lang w:val="es-ES"/>
        </w:rPr>
        <w:t>Programa de Inversión Pública</w:t>
      </w:r>
    </w:p>
    <w:p w:rsidR="0043368E" w:rsidRPr="00FE377A" w:rsidRDefault="009D5AE0" w:rsidP="0043368E">
      <w:pPr>
        <w:pStyle w:val="Newpage"/>
        <w:ind w:left="567" w:hanging="567"/>
        <w:rPr>
          <w:rFonts w:ascii="Arial" w:hAnsi="Arial"/>
          <w:bCs/>
          <w:sz w:val="22"/>
          <w:szCs w:val="22"/>
          <w:highlight w:val="lightGray"/>
          <w:lang w:val="es-ES"/>
        </w:rPr>
      </w:pPr>
      <w:r w:rsidRPr="00FE377A">
        <w:rPr>
          <w:rFonts w:ascii="Arial" w:hAnsi="Arial"/>
          <w:bCs/>
          <w:sz w:val="22"/>
          <w:szCs w:val="22"/>
          <w:lang w:val="es-ES"/>
        </w:rPr>
        <w:t xml:space="preserve">        </w:t>
      </w:r>
      <w:r w:rsidRPr="00FE377A">
        <w:rPr>
          <w:rFonts w:ascii="Arial" w:hAnsi="Arial"/>
          <w:bCs/>
          <w:sz w:val="22"/>
          <w:szCs w:val="22"/>
          <w:highlight w:val="lightGray"/>
          <w:lang w:val="es-ES"/>
        </w:rPr>
        <w:t xml:space="preserve"> </w:t>
      </w:r>
      <w:r w:rsidR="00E954ED" w:rsidRPr="00FE377A">
        <w:rPr>
          <w:rFonts w:ascii="Arial" w:hAnsi="Arial"/>
          <w:bCs/>
          <w:sz w:val="22"/>
          <w:szCs w:val="22"/>
          <w:highlight w:val="lightGray"/>
          <w:lang w:val="es-ES"/>
        </w:rPr>
        <w:t>P</w:t>
      </w:r>
      <w:r w:rsidR="00F76EDD" w:rsidRPr="00FE377A">
        <w:rPr>
          <w:rFonts w:ascii="Arial" w:hAnsi="Arial"/>
          <w:bCs/>
          <w:sz w:val="22"/>
          <w:szCs w:val="22"/>
          <w:highlight w:val="lightGray"/>
          <w:lang w:val="es-ES"/>
        </w:rPr>
        <w:t>R</w:t>
      </w:r>
      <w:r w:rsidR="0043368E" w:rsidRPr="00FE377A">
        <w:rPr>
          <w:rFonts w:ascii="Arial" w:hAnsi="Arial"/>
          <w:bCs/>
          <w:sz w:val="22"/>
          <w:szCs w:val="22"/>
          <w:highlight w:val="lightGray"/>
          <w:lang w:val="es-ES"/>
        </w:rPr>
        <w:t>-L1</w:t>
      </w:r>
      <w:r w:rsidR="00F76EDD" w:rsidRPr="00FE377A">
        <w:rPr>
          <w:rFonts w:ascii="Arial" w:hAnsi="Arial"/>
          <w:bCs/>
          <w:sz w:val="22"/>
          <w:szCs w:val="22"/>
          <w:highlight w:val="lightGray"/>
          <w:lang w:val="es-ES"/>
        </w:rPr>
        <w:t>10</w:t>
      </w:r>
      <w:r w:rsidR="00E954ED" w:rsidRPr="00FE377A">
        <w:rPr>
          <w:rFonts w:ascii="Arial" w:hAnsi="Arial"/>
          <w:bCs/>
          <w:sz w:val="22"/>
          <w:szCs w:val="22"/>
          <w:highlight w:val="lightGray"/>
          <w:lang w:val="es-ES"/>
        </w:rPr>
        <w:t>1</w:t>
      </w:r>
    </w:p>
    <w:p w:rsidR="00B84211" w:rsidRDefault="00B84211" w:rsidP="007E6104">
      <w:pPr>
        <w:pStyle w:val="Newpage"/>
        <w:ind w:left="567" w:hanging="567"/>
        <w:rPr>
          <w:rFonts w:ascii="Arial" w:hAnsi="Arial"/>
          <w:b w:val="0"/>
          <w:caps/>
          <w:smallCaps w:val="0"/>
          <w:sz w:val="22"/>
          <w:szCs w:val="22"/>
          <w:lang w:val="es-ES"/>
        </w:rPr>
      </w:pPr>
    </w:p>
    <w:p w:rsidR="00B61EB7" w:rsidRDefault="00B61EB7" w:rsidP="007E6104">
      <w:pPr>
        <w:pStyle w:val="Newpage"/>
        <w:ind w:left="567" w:hanging="567"/>
        <w:rPr>
          <w:rFonts w:ascii="Arial" w:hAnsi="Arial"/>
          <w:b w:val="0"/>
          <w:caps/>
          <w:smallCaps w:val="0"/>
          <w:sz w:val="22"/>
          <w:szCs w:val="22"/>
          <w:lang w:val="es-ES"/>
        </w:rPr>
      </w:pPr>
    </w:p>
    <w:p w:rsidR="00B61EB7" w:rsidRDefault="00B61EB7" w:rsidP="007E6104">
      <w:pPr>
        <w:pStyle w:val="Newpage"/>
        <w:ind w:left="567" w:hanging="567"/>
        <w:rPr>
          <w:rFonts w:ascii="Arial" w:hAnsi="Arial"/>
          <w:b w:val="0"/>
          <w:caps/>
          <w:smallCaps w:val="0"/>
          <w:sz w:val="22"/>
          <w:szCs w:val="22"/>
          <w:lang w:val="es-ES"/>
        </w:rPr>
      </w:pPr>
    </w:p>
    <w:p w:rsidR="00B61EB7" w:rsidRPr="00FE377A" w:rsidRDefault="00B61EB7" w:rsidP="007E6104">
      <w:pPr>
        <w:pStyle w:val="Newpage"/>
        <w:ind w:left="567" w:hanging="567"/>
        <w:rPr>
          <w:rFonts w:ascii="Arial" w:hAnsi="Arial"/>
          <w:b w:val="0"/>
          <w:caps/>
          <w:smallCaps w:val="0"/>
          <w:sz w:val="22"/>
          <w:szCs w:val="22"/>
          <w:lang w:val="es-ES"/>
        </w:rPr>
      </w:pPr>
    </w:p>
    <w:p w:rsidR="00B84211" w:rsidRPr="00FE377A" w:rsidRDefault="00B84211" w:rsidP="007E6104">
      <w:pPr>
        <w:tabs>
          <w:tab w:val="left" w:pos="1440"/>
          <w:tab w:val="left" w:pos="3060"/>
        </w:tabs>
        <w:ind w:left="567" w:hanging="567"/>
        <w:jc w:val="center"/>
        <w:rPr>
          <w:rFonts w:ascii="Arial" w:hAnsi="Arial" w:cs="Arial"/>
          <w:smallCaps/>
          <w:lang w:val="es-ES"/>
        </w:rPr>
      </w:pPr>
    </w:p>
    <w:p w:rsidR="00B84211" w:rsidRPr="00FE377A" w:rsidRDefault="007A1860" w:rsidP="007E6104">
      <w:pPr>
        <w:tabs>
          <w:tab w:val="left" w:pos="1440"/>
          <w:tab w:val="left" w:pos="3060"/>
        </w:tabs>
        <w:ind w:left="567" w:hanging="567"/>
        <w:jc w:val="center"/>
        <w:outlineLvl w:val="0"/>
        <w:rPr>
          <w:rFonts w:ascii="Arial" w:hAnsi="Arial" w:cs="Arial"/>
          <w:b/>
          <w:smallCaps/>
          <w:lang w:val="es-ES"/>
        </w:rPr>
      </w:pPr>
      <w:r w:rsidRPr="00FE377A">
        <w:rPr>
          <w:rFonts w:ascii="Arial" w:hAnsi="Arial" w:cs="Arial"/>
          <w:b/>
          <w:smallCaps/>
          <w:lang w:val="es-ES"/>
        </w:rPr>
        <w:t>Análisis Económico</w:t>
      </w:r>
    </w:p>
    <w:p w:rsidR="00B84211" w:rsidRPr="00FE377A" w:rsidRDefault="00B84211" w:rsidP="007E6104">
      <w:pPr>
        <w:tabs>
          <w:tab w:val="left" w:pos="1440"/>
          <w:tab w:val="left" w:pos="3060"/>
        </w:tabs>
        <w:ind w:left="567" w:hanging="567"/>
        <w:jc w:val="center"/>
        <w:outlineLvl w:val="0"/>
        <w:rPr>
          <w:rFonts w:ascii="Arial" w:hAnsi="Arial" w:cs="Arial"/>
          <w:b/>
          <w:smallCaps/>
          <w:lang w:val="es-ES"/>
        </w:rPr>
      </w:pPr>
    </w:p>
    <w:p w:rsidR="00B84211" w:rsidRPr="00FE377A" w:rsidRDefault="00B84211" w:rsidP="007E6104">
      <w:pPr>
        <w:pStyle w:val="ListParagraph"/>
        <w:spacing w:before="120" w:after="0" w:line="360" w:lineRule="auto"/>
        <w:ind w:left="567" w:hanging="567"/>
        <w:jc w:val="center"/>
        <w:rPr>
          <w:rFonts w:ascii="Arial" w:hAnsi="Arial" w:cs="Arial"/>
          <w:b/>
          <w:lang w:val="es-ES"/>
        </w:rPr>
      </w:pPr>
    </w:p>
    <w:p w:rsidR="00B84211" w:rsidRPr="00FE377A" w:rsidRDefault="00B84211" w:rsidP="007E6104">
      <w:pPr>
        <w:pStyle w:val="ListParagraph"/>
        <w:spacing w:before="120" w:after="0" w:line="360" w:lineRule="auto"/>
        <w:ind w:left="567" w:hanging="567"/>
        <w:jc w:val="center"/>
        <w:rPr>
          <w:rFonts w:ascii="Arial" w:hAnsi="Arial" w:cs="Arial"/>
          <w:b/>
          <w:lang w:val="es-ES"/>
        </w:rPr>
      </w:pPr>
    </w:p>
    <w:p w:rsidR="00B84211" w:rsidRPr="00FE377A" w:rsidRDefault="00B84211" w:rsidP="007E6104">
      <w:pPr>
        <w:pStyle w:val="ListParagraph"/>
        <w:spacing w:before="120" w:after="0" w:line="360" w:lineRule="auto"/>
        <w:ind w:left="567" w:hanging="567"/>
        <w:jc w:val="center"/>
        <w:rPr>
          <w:rFonts w:ascii="Arial" w:hAnsi="Arial" w:cs="Arial"/>
          <w:b/>
          <w:lang w:val="es-ES"/>
        </w:rPr>
      </w:pPr>
    </w:p>
    <w:p w:rsidR="00B84211" w:rsidRPr="00FE377A" w:rsidRDefault="00B84211" w:rsidP="007E6104">
      <w:pPr>
        <w:pStyle w:val="ListParagraph"/>
        <w:spacing w:before="120" w:after="0" w:line="360" w:lineRule="auto"/>
        <w:ind w:left="567" w:hanging="567"/>
        <w:jc w:val="both"/>
        <w:rPr>
          <w:rFonts w:ascii="Arial" w:hAnsi="Arial" w:cs="Arial"/>
          <w:b/>
          <w:lang w:val="es-ES"/>
        </w:rPr>
      </w:pPr>
    </w:p>
    <w:p w:rsidR="00B84211" w:rsidRPr="00FE377A" w:rsidRDefault="00B84211" w:rsidP="007E6104">
      <w:pPr>
        <w:pStyle w:val="ListParagraph"/>
        <w:spacing w:before="120" w:after="0" w:line="360" w:lineRule="auto"/>
        <w:ind w:left="567" w:hanging="567"/>
        <w:jc w:val="both"/>
        <w:rPr>
          <w:rFonts w:ascii="Arial" w:hAnsi="Arial" w:cs="Arial"/>
          <w:b/>
          <w:lang w:val="es-ES"/>
        </w:rPr>
      </w:pPr>
    </w:p>
    <w:p w:rsidR="00B84211" w:rsidRPr="00FE377A" w:rsidRDefault="00B84211" w:rsidP="007E6104">
      <w:pPr>
        <w:pStyle w:val="ListParagraph"/>
        <w:spacing w:before="120" w:after="0" w:line="360" w:lineRule="auto"/>
        <w:ind w:left="567" w:hanging="567"/>
        <w:jc w:val="both"/>
        <w:rPr>
          <w:rFonts w:ascii="Arial" w:hAnsi="Arial" w:cs="Arial"/>
          <w:b/>
          <w:lang w:val="es-ES"/>
        </w:rPr>
      </w:pPr>
    </w:p>
    <w:p w:rsidR="00B84211" w:rsidRPr="00FE377A" w:rsidRDefault="00B84211" w:rsidP="007E6104">
      <w:pPr>
        <w:pStyle w:val="ListParagraph"/>
        <w:spacing w:before="120" w:after="0" w:line="360" w:lineRule="auto"/>
        <w:ind w:left="567" w:hanging="567"/>
        <w:jc w:val="both"/>
        <w:rPr>
          <w:rFonts w:ascii="Arial" w:hAnsi="Arial" w:cs="Arial"/>
          <w:b/>
          <w:lang w:val="es-ES"/>
        </w:rPr>
      </w:pPr>
    </w:p>
    <w:p w:rsidR="00B84211" w:rsidRPr="00FE377A" w:rsidRDefault="00B84211" w:rsidP="007E6104">
      <w:pPr>
        <w:tabs>
          <w:tab w:val="left" w:pos="1440"/>
          <w:tab w:val="left" w:pos="3060"/>
        </w:tabs>
        <w:ind w:left="567" w:hanging="567"/>
        <w:jc w:val="both"/>
        <w:rPr>
          <w:rFonts w:ascii="Arial" w:hAnsi="Arial" w:cs="Arial"/>
          <w:lang w:val="es-ES"/>
        </w:rPr>
      </w:pPr>
    </w:p>
    <w:p w:rsidR="00B84211" w:rsidRPr="00FE377A" w:rsidRDefault="00B84211" w:rsidP="007E6104">
      <w:pPr>
        <w:tabs>
          <w:tab w:val="left" w:pos="1440"/>
          <w:tab w:val="left" w:pos="3060"/>
        </w:tabs>
        <w:ind w:left="567" w:hanging="567"/>
        <w:jc w:val="both"/>
        <w:rPr>
          <w:rFonts w:ascii="Arial" w:hAnsi="Arial" w:cs="Arial"/>
          <w:lang w:val="es-ES"/>
        </w:rPr>
      </w:pPr>
    </w:p>
    <w:p w:rsidR="00B84211" w:rsidRPr="00FE377A" w:rsidRDefault="007A1860" w:rsidP="007E6104">
      <w:pPr>
        <w:pStyle w:val="BodyText"/>
        <w:pBdr>
          <w:top w:val="single" w:sz="4" w:space="1" w:color="auto"/>
          <w:left w:val="single" w:sz="4" w:space="4" w:color="auto"/>
          <w:bottom w:val="single" w:sz="4" w:space="1" w:color="auto"/>
          <w:right w:val="single" w:sz="4" w:space="4" w:color="auto"/>
        </w:pBdr>
        <w:tabs>
          <w:tab w:val="left" w:pos="1440"/>
        </w:tabs>
        <w:ind w:left="567" w:hanging="567"/>
        <w:jc w:val="both"/>
        <w:rPr>
          <w:rFonts w:ascii="Arial" w:hAnsi="Arial" w:cs="Arial"/>
          <w:b/>
          <w:sz w:val="22"/>
          <w:szCs w:val="22"/>
          <w:lang w:val="es-ES"/>
        </w:rPr>
      </w:pPr>
      <w:r w:rsidRPr="00FE377A">
        <w:rPr>
          <w:rFonts w:ascii="Arial" w:hAnsi="Arial" w:cs="Arial"/>
          <w:sz w:val="22"/>
          <w:szCs w:val="22"/>
          <w:lang w:val="es-ES"/>
        </w:rPr>
        <w:t>Este documento ha sido preparado por: M</w:t>
      </w:r>
      <w:r w:rsidR="009A4966" w:rsidRPr="00FE377A">
        <w:rPr>
          <w:rFonts w:ascii="Arial" w:hAnsi="Arial" w:cs="Arial"/>
          <w:sz w:val="22"/>
          <w:szCs w:val="22"/>
          <w:lang w:val="es-ES"/>
        </w:rPr>
        <w:t>artin</w:t>
      </w:r>
      <w:r w:rsidRPr="00FE377A">
        <w:rPr>
          <w:rFonts w:ascii="Arial" w:hAnsi="Arial" w:cs="Arial"/>
          <w:sz w:val="22"/>
          <w:szCs w:val="22"/>
          <w:lang w:val="es-ES"/>
        </w:rPr>
        <w:t xml:space="preserve"> </w:t>
      </w:r>
      <w:r w:rsidR="009A4966" w:rsidRPr="00FE377A">
        <w:rPr>
          <w:rFonts w:ascii="Arial" w:hAnsi="Arial" w:cs="Arial"/>
          <w:sz w:val="22"/>
          <w:szCs w:val="22"/>
          <w:lang w:val="es-ES"/>
        </w:rPr>
        <w:t>Rossi</w:t>
      </w:r>
      <w:r w:rsidRPr="00FE377A">
        <w:rPr>
          <w:rFonts w:ascii="Arial" w:hAnsi="Arial" w:cs="Arial"/>
          <w:sz w:val="22"/>
          <w:szCs w:val="22"/>
          <w:lang w:val="es-ES"/>
        </w:rPr>
        <w:t xml:space="preserve"> (</w:t>
      </w:r>
      <w:r w:rsidR="008E3746" w:rsidRPr="00FE377A">
        <w:rPr>
          <w:rFonts w:ascii="Arial" w:hAnsi="Arial" w:cs="Arial"/>
          <w:sz w:val="22"/>
          <w:szCs w:val="22"/>
          <w:lang w:val="es-ES"/>
        </w:rPr>
        <w:t>Consultor</w:t>
      </w:r>
      <w:r w:rsidRPr="00FE377A">
        <w:rPr>
          <w:rFonts w:ascii="Arial" w:hAnsi="Arial" w:cs="Arial"/>
          <w:sz w:val="22"/>
          <w:szCs w:val="22"/>
          <w:lang w:val="es-ES"/>
        </w:rPr>
        <w:t>)</w:t>
      </w:r>
      <w:r w:rsidR="007D03A1" w:rsidRPr="00FE377A">
        <w:rPr>
          <w:rFonts w:ascii="Arial" w:hAnsi="Arial" w:cs="Arial"/>
          <w:sz w:val="22"/>
          <w:szCs w:val="22"/>
          <w:lang w:val="es-ES"/>
        </w:rPr>
        <w:t>.</w:t>
      </w:r>
    </w:p>
    <w:p w:rsidR="00764D5A" w:rsidRPr="00FE377A" w:rsidRDefault="00CF5271" w:rsidP="009D5AE0">
      <w:pPr>
        <w:spacing w:after="0" w:line="240" w:lineRule="auto"/>
        <w:rPr>
          <w:rFonts w:ascii="Arial" w:hAnsi="Arial" w:cs="Arial"/>
          <w:lang w:val="es-ES"/>
        </w:rPr>
      </w:pPr>
      <w:r w:rsidRPr="00FE377A">
        <w:rPr>
          <w:rFonts w:ascii="Arial" w:hAnsi="Arial" w:cs="Arial"/>
          <w:b/>
          <w:lang w:val="es-ES"/>
        </w:rPr>
        <w:br w:type="page"/>
      </w:r>
    </w:p>
    <w:p w:rsidR="00B84211" w:rsidRPr="00FE377A" w:rsidRDefault="007A1860" w:rsidP="009D4CD2">
      <w:pPr>
        <w:numPr>
          <w:ilvl w:val="0"/>
          <w:numId w:val="1"/>
        </w:numPr>
        <w:spacing w:after="0" w:line="480" w:lineRule="auto"/>
        <w:ind w:left="567" w:hanging="567"/>
        <w:jc w:val="center"/>
        <w:rPr>
          <w:rFonts w:ascii="Arial" w:hAnsi="Arial" w:cs="Arial"/>
          <w:b/>
          <w:lang w:val="es-ES"/>
        </w:rPr>
      </w:pPr>
      <w:r w:rsidRPr="00FE377A">
        <w:rPr>
          <w:rFonts w:ascii="Arial" w:hAnsi="Arial" w:cs="Arial"/>
          <w:b/>
          <w:lang w:val="es-ES"/>
        </w:rPr>
        <w:lastRenderedPageBreak/>
        <w:t>Introducció</w:t>
      </w:r>
      <w:r w:rsidR="001C3DCA" w:rsidRPr="00FE377A">
        <w:rPr>
          <w:rFonts w:ascii="Arial" w:hAnsi="Arial" w:cs="Arial"/>
          <w:b/>
          <w:lang w:val="es-ES"/>
        </w:rPr>
        <w:t>n</w:t>
      </w:r>
    </w:p>
    <w:p w:rsidR="00B84211" w:rsidRPr="00FE377A" w:rsidRDefault="007A1860" w:rsidP="009D4CD2">
      <w:pPr>
        <w:pStyle w:val="Paragraph"/>
        <w:numPr>
          <w:ilvl w:val="1"/>
          <w:numId w:val="1"/>
        </w:numPr>
        <w:ind w:left="720" w:hanging="720"/>
        <w:rPr>
          <w:rFonts w:ascii="Arial" w:hAnsi="Arial" w:cs="Arial"/>
          <w:kern w:val="28"/>
          <w:sz w:val="22"/>
          <w:szCs w:val="22"/>
        </w:rPr>
      </w:pPr>
      <w:r w:rsidRPr="00FE377A">
        <w:rPr>
          <w:rFonts w:ascii="Arial" w:hAnsi="Arial" w:cs="Arial"/>
          <w:kern w:val="28"/>
          <w:sz w:val="22"/>
          <w:szCs w:val="22"/>
        </w:rPr>
        <w:t xml:space="preserve">Este documento presenta el análisis económico ex-ante </w:t>
      </w:r>
      <w:r w:rsidR="00E05BAC" w:rsidRPr="00FE377A">
        <w:rPr>
          <w:rFonts w:ascii="Arial" w:hAnsi="Arial" w:cs="Arial"/>
          <w:kern w:val="28"/>
          <w:sz w:val="22"/>
          <w:szCs w:val="22"/>
        </w:rPr>
        <w:t xml:space="preserve">del </w:t>
      </w:r>
      <w:r w:rsidR="009D5AE0" w:rsidRPr="00FE377A">
        <w:rPr>
          <w:rFonts w:ascii="Arial" w:hAnsi="Arial" w:cs="Arial"/>
          <w:bCs/>
          <w:kern w:val="28"/>
          <w:sz w:val="22"/>
          <w:szCs w:val="22"/>
          <w:lang w:val="es-AR"/>
        </w:rPr>
        <w:t xml:space="preserve">Programa de </w:t>
      </w:r>
      <w:r w:rsidR="009D4CD2" w:rsidRPr="00FE377A">
        <w:rPr>
          <w:rFonts w:ascii="Arial" w:hAnsi="Arial" w:cs="Arial"/>
          <w:bCs/>
          <w:kern w:val="28"/>
          <w:sz w:val="22"/>
          <w:szCs w:val="22"/>
          <w:lang w:val="es-AR"/>
        </w:rPr>
        <w:t xml:space="preserve">Gestión de </w:t>
      </w:r>
      <w:r w:rsidR="00B70650" w:rsidRPr="00FE377A">
        <w:rPr>
          <w:rFonts w:ascii="Arial" w:hAnsi="Arial" w:cs="Arial"/>
          <w:bCs/>
          <w:kern w:val="28"/>
          <w:sz w:val="22"/>
          <w:szCs w:val="22"/>
          <w:lang w:val="es-AR"/>
        </w:rPr>
        <w:t>Inversión Pública</w:t>
      </w:r>
      <w:r w:rsidR="00F35EFB" w:rsidRPr="00FE377A">
        <w:rPr>
          <w:rFonts w:ascii="Arial" w:hAnsi="Arial" w:cs="Arial"/>
          <w:bCs/>
          <w:kern w:val="28"/>
          <w:sz w:val="22"/>
          <w:szCs w:val="22"/>
          <w:lang w:val="es-AR"/>
        </w:rPr>
        <w:t xml:space="preserve"> </w:t>
      </w:r>
      <w:r w:rsidRPr="00FE377A">
        <w:rPr>
          <w:rFonts w:ascii="Arial" w:hAnsi="Arial" w:cs="Arial"/>
          <w:kern w:val="28"/>
          <w:sz w:val="22"/>
          <w:szCs w:val="22"/>
        </w:rPr>
        <w:t>(</w:t>
      </w:r>
      <w:r w:rsidR="00B70650" w:rsidRPr="00FE377A">
        <w:rPr>
          <w:rFonts w:ascii="Arial" w:hAnsi="Arial" w:cs="Arial"/>
          <w:kern w:val="28"/>
          <w:sz w:val="22"/>
          <w:szCs w:val="22"/>
        </w:rPr>
        <w:t>P</w:t>
      </w:r>
      <w:r w:rsidR="00F76EDD" w:rsidRPr="00FE377A">
        <w:rPr>
          <w:rFonts w:ascii="Arial" w:hAnsi="Arial" w:cs="Arial"/>
          <w:kern w:val="28"/>
          <w:sz w:val="22"/>
          <w:szCs w:val="22"/>
        </w:rPr>
        <w:t>R</w:t>
      </w:r>
      <w:r w:rsidR="002308DC" w:rsidRPr="00FE377A">
        <w:rPr>
          <w:rFonts w:ascii="Arial" w:hAnsi="Arial" w:cs="Arial"/>
          <w:kern w:val="28"/>
          <w:sz w:val="22"/>
          <w:szCs w:val="22"/>
        </w:rPr>
        <w:t>-</w:t>
      </w:r>
      <w:r w:rsidR="00F35EFB" w:rsidRPr="00FE377A">
        <w:rPr>
          <w:rFonts w:ascii="Arial" w:hAnsi="Arial" w:cs="Arial"/>
          <w:kern w:val="28"/>
          <w:sz w:val="22"/>
          <w:szCs w:val="22"/>
        </w:rPr>
        <w:t>L</w:t>
      </w:r>
      <w:r w:rsidR="00942E03" w:rsidRPr="00FE377A">
        <w:rPr>
          <w:rFonts w:ascii="Arial" w:hAnsi="Arial" w:cs="Arial"/>
          <w:kern w:val="28"/>
          <w:sz w:val="22"/>
          <w:szCs w:val="22"/>
        </w:rPr>
        <w:t>1</w:t>
      </w:r>
      <w:r w:rsidR="00F76EDD" w:rsidRPr="00FE377A">
        <w:rPr>
          <w:rFonts w:ascii="Arial" w:hAnsi="Arial" w:cs="Arial"/>
          <w:kern w:val="28"/>
          <w:sz w:val="22"/>
          <w:szCs w:val="22"/>
        </w:rPr>
        <w:t>10</w:t>
      </w:r>
      <w:r w:rsidR="00B70650" w:rsidRPr="00FE377A">
        <w:rPr>
          <w:rFonts w:ascii="Arial" w:hAnsi="Arial" w:cs="Arial"/>
          <w:kern w:val="28"/>
          <w:sz w:val="22"/>
          <w:szCs w:val="22"/>
        </w:rPr>
        <w:t>1</w:t>
      </w:r>
      <w:r w:rsidRPr="00FE377A">
        <w:rPr>
          <w:rFonts w:ascii="Arial" w:hAnsi="Arial" w:cs="Arial"/>
          <w:kern w:val="28"/>
          <w:sz w:val="22"/>
          <w:szCs w:val="22"/>
        </w:rPr>
        <w:t xml:space="preserve">), cuya ejecución se tiene prevista para </w:t>
      </w:r>
      <w:r w:rsidR="004C19AB" w:rsidRPr="00FE377A">
        <w:rPr>
          <w:rFonts w:ascii="Arial" w:hAnsi="Arial" w:cs="Arial"/>
          <w:kern w:val="28"/>
          <w:sz w:val="22"/>
          <w:szCs w:val="22"/>
        </w:rPr>
        <w:t xml:space="preserve">el </w:t>
      </w:r>
      <w:r w:rsidR="0068304C" w:rsidRPr="00FE377A">
        <w:rPr>
          <w:rFonts w:ascii="Arial" w:hAnsi="Arial" w:cs="Arial"/>
          <w:kern w:val="28"/>
          <w:sz w:val="22"/>
          <w:szCs w:val="22"/>
        </w:rPr>
        <w:t>año</w:t>
      </w:r>
      <w:r w:rsidR="004C19AB" w:rsidRPr="00FE377A">
        <w:rPr>
          <w:rFonts w:ascii="Arial" w:hAnsi="Arial" w:cs="Arial"/>
          <w:kern w:val="28"/>
          <w:sz w:val="22"/>
          <w:szCs w:val="22"/>
        </w:rPr>
        <w:t xml:space="preserve"> 201</w:t>
      </w:r>
      <w:r w:rsidR="00257A69" w:rsidRPr="00FE377A">
        <w:rPr>
          <w:rFonts w:ascii="Arial" w:hAnsi="Arial" w:cs="Arial"/>
          <w:kern w:val="28"/>
          <w:sz w:val="22"/>
          <w:szCs w:val="22"/>
        </w:rPr>
        <w:t>6</w:t>
      </w:r>
      <w:r w:rsidR="004C19AB" w:rsidRPr="00FE377A">
        <w:rPr>
          <w:rFonts w:ascii="Arial" w:hAnsi="Arial" w:cs="Arial"/>
          <w:kern w:val="28"/>
          <w:sz w:val="22"/>
          <w:szCs w:val="22"/>
        </w:rPr>
        <w:t>.</w:t>
      </w:r>
      <w:r w:rsidR="00E05BAC" w:rsidRPr="00FE377A">
        <w:rPr>
          <w:rFonts w:ascii="Arial" w:hAnsi="Arial" w:cs="Arial"/>
          <w:kern w:val="28"/>
          <w:sz w:val="22"/>
          <w:szCs w:val="22"/>
        </w:rPr>
        <w:t xml:space="preserve"> </w:t>
      </w:r>
    </w:p>
    <w:p w:rsidR="00AF7E44" w:rsidRPr="00FE377A" w:rsidRDefault="004C19AB" w:rsidP="009D4CD2">
      <w:pPr>
        <w:pStyle w:val="Paragraph"/>
        <w:numPr>
          <w:ilvl w:val="1"/>
          <w:numId w:val="1"/>
        </w:numPr>
        <w:ind w:left="720" w:hanging="720"/>
        <w:rPr>
          <w:rFonts w:ascii="Arial" w:hAnsi="Arial" w:cs="Arial"/>
          <w:kern w:val="28"/>
          <w:sz w:val="22"/>
          <w:szCs w:val="22"/>
          <w:lang w:val="es-AR"/>
        </w:rPr>
      </w:pPr>
      <w:r w:rsidRPr="00FE377A">
        <w:rPr>
          <w:rFonts w:ascii="Arial" w:hAnsi="Arial" w:cs="Arial"/>
          <w:kern w:val="28"/>
          <w:sz w:val="22"/>
          <w:szCs w:val="22"/>
        </w:rPr>
        <w:t xml:space="preserve">El </w:t>
      </w:r>
      <w:r w:rsidR="00AE2F8D" w:rsidRPr="00FE377A">
        <w:rPr>
          <w:rFonts w:ascii="Arial" w:hAnsi="Arial" w:cs="Arial"/>
          <w:kern w:val="28"/>
          <w:sz w:val="22"/>
          <w:szCs w:val="22"/>
        </w:rPr>
        <w:t xml:space="preserve">Programa de </w:t>
      </w:r>
      <w:r w:rsidR="00AF7E44" w:rsidRPr="00FE377A">
        <w:rPr>
          <w:rFonts w:ascii="Arial" w:hAnsi="Arial" w:cs="Arial"/>
          <w:kern w:val="28"/>
          <w:sz w:val="22"/>
          <w:szCs w:val="22"/>
        </w:rPr>
        <w:t>Gestión de la</w:t>
      </w:r>
      <w:r w:rsidR="00AE2F8D" w:rsidRPr="00FE377A">
        <w:rPr>
          <w:rFonts w:ascii="Arial" w:hAnsi="Arial" w:cs="Arial"/>
          <w:kern w:val="28"/>
          <w:sz w:val="22"/>
          <w:szCs w:val="22"/>
        </w:rPr>
        <w:t xml:space="preserve"> </w:t>
      </w:r>
      <w:r w:rsidR="0081733D" w:rsidRPr="00FE377A">
        <w:rPr>
          <w:rFonts w:ascii="Arial" w:hAnsi="Arial" w:cs="Arial"/>
          <w:kern w:val="28"/>
          <w:sz w:val="22"/>
          <w:szCs w:val="22"/>
        </w:rPr>
        <w:t>Inversión Pública</w:t>
      </w:r>
      <w:r w:rsidR="00AE2F8D" w:rsidRPr="00FE377A">
        <w:rPr>
          <w:rFonts w:ascii="Arial" w:hAnsi="Arial" w:cs="Arial"/>
          <w:kern w:val="28"/>
          <w:sz w:val="22"/>
          <w:szCs w:val="22"/>
        </w:rPr>
        <w:t xml:space="preserve"> </w:t>
      </w:r>
      <w:r w:rsidRPr="00FE377A">
        <w:rPr>
          <w:rFonts w:ascii="Arial" w:hAnsi="Arial" w:cs="Arial"/>
          <w:kern w:val="28"/>
          <w:sz w:val="22"/>
          <w:szCs w:val="22"/>
        </w:rPr>
        <w:t>(</w:t>
      </w:r>
      <w:r w:rsidR="008A4318" w:rsidRPr="00FE377A">
        <w:rPr>
          <w:rFonts w:ascii="Arial" w:hAnsi="Arial" w:cs="Arial"/>
          <w:kern w:val="28"/>
          <w:sz w:val="22"/>
          <w:szCs w:val="22"/>
        </w:rPr>
        <w:t xml:space="preserve">“el </w:t>
      </w:r>
      <w:r w:rsidR="00AE2F8D" w:rsidRPr="00FE377A">
        <w:rPr>
          <w:rFonts w:ascii="Arial" w:hAnsi="Arial" w:cs="Arial"/>
          <w:kern w:val="28"/>
          <w:sz w:val="22"/>
          <w:szCs w:val="22"/>
        </w:rPr>
        <w:t>Programa</w:t>
      </w:r>
      <w:r w:rsidR="008A4318" w:rsidRPr="00FE377A">
        <w:rPr>
          <w:rFonts w:ascii="Arial" w:hAnsi="Arial" w:cs="Arial"/>
          <w:kern w:val="28"/>
          <w:sz w:val="22"/>
          <w:szCs w:val="22"/>
        </w:rPr>
        <w:t xml:space="preserve">”, en adelante) tiene </w:t>
      </w:r>
      <w:r w:rsidR="00E97905" w:rsidRPr="00FE377A">
        <w:rPr>
          <w:rFonts w:ascii="Arial" w:hAnsi="Arial" w:cs="Arial"/>
          <w:kern w:val="28"/>
          <w:sz w:val="22"/>
          <w:szCs w:val="22"/>
        </w:rPr>
        <w:t>como objetivo</w:t>
      </w:r>
      <w:r w:rsidR="00AE2F8D" w:rsidRPr="00FE377A">
        <w:rPr>
          <w:rFonts w:ascii="Arial" w:hAnsi="Arial" w:cs="Arial"/>
          <w:kern w:val="28"/>
          <w:sz w:val="22"/>
          <w:szCs w:val="22"/>
        </w:rPr>
        <w:t xml:space="preserve"> </w:t>
      </w:r>
      <w:r w:rsidR="009D4CD2" w:rsidRPr="00FE377A">
        <w:rPr>
          <w:rFonts w:ascii="Arial" w:hAnsi="Arial" w:cs="Arial"/>
          <w:kern w:val="28"/>
          <w:sz w:val="22"/>
          <w:szCs w:val="22"/>
          <w:lang w:val="es-ES_tradnl"/>
        </w:rPr>
        <w:t xml:space="preserve">mejorar la eficiencia en el financiamiento y la gestión de la inversión pública a través de medidas de política dirigidas a: (i) fortalecer el marco estratégico, legal e institucional del </w:t>
      </w:r>
      <w:r w:rsidR="009D4CD2" w:rsidRPr="00832CB9">
        <w:rPr>
          <w:rFonts w:ascii="Arial" w:hAnsi="Arial" w:cs="Arial"/>
          <w:kern w:val="28"/>
          <w:sz w:val="22"/>
          <w:szCs w:val="22"/>
          <w:lang w:val="es-ES_tradnl"/>
        </w:rPr>
        <w:t>Sistema Nacional de Inversión Pública</w:t>
      </w:r>
      <w:r w:rsidR="009D4CD2" w:rsidRPr="00FE377A">
        <w:rPr>
          <w:rFonts w:ascii="Arial" w:hAnsi="Arial" w:cs="Arial"/>
          <w:kern w:val="28"/>
          <w:sz w:val="22"/>
          <w:szCs w:val="22"/>
          <w:lang w:val="es-ES_tradnl"/>
        </w:rPr>
        <w:t xml:space="preserve">; (ii) mejorar las capacidades para la gestión de los programas y proyectos de inversión pública; y (iii) promover el uso de </w:t>
      </w:r>
      <w:r w:rsidR="001D03BD">
        <w:rPr>
          <w:rFonts w:ascii="Arial" w:hAnsi="Arial" w:cs="Arial"/>
          <w:kern w:val="28"/>
          <w:sz w:val="22"/>
          <w:szCs w:val="22"/>
          <w:lang w:val="es-ES_tradnl"/>
        </w:rPr>
        <w:t>APP</w:t>
      </w:r>
      <w:r w:rsidR="009D4CD2" w:rsidRPr="00FE377A">
        <w:rPr>
          <w:rFonts w:ascii="Arial" w:hAnsi="Arial" w:cs="Arial"/>
          <w:kern w:val="28"/>
          <w:sz w:val="22"/>
          <w:szCs w:val="22"/>
          <w:lang w:val="es-ES_tradnl"/>
        </w:rPr>
        <w:t xml:space="preserve"> para el financiamiento y la gestión de la inversión pública.</w:t>
      </w:r>
    </w:p>
    <w:p w:rsidR="00B84211" w:rsidRPr="00FE377A" w:rsidRDefault="00D8256F" w:rsidP="009D4CD2">
      <w:pPr>
        <w:pStyle w:val="Paragraph"/>
        <w:numPr>
          <w:ilvl w:val="1"/>
          <w:numId w:val="1"/>
        </w:numPr>
        <w:ind w:left="720" w:hanging="720"/>
        <w:rPr>
          <w:rFonts w:ascii="Arial" w:hAnsi="Arial" w:cs="Arial"/>
          <w:kern w:val="28"/>
          <w:sz w:val="22"/>
          <w:szCs w:val="22"/>
        </w:rPr>
      </w:pPr>
      <w:r w:rsidRPr="00FE377A">
        <w:rPr>
          <w:rFonts w:ascii="Arial" w:hAnsi="Arial" w:cs="Arial"/>
          <w:kern w:val="28"/>
          <w:sz w:val="22"/>
          <w:szCs w:val="22"/>
        </w:rPr>
        <w:t>L</w:t>
      </w:r>
      <w:r w:rsidR="004E4981" w:rsidRPr="00FE377A">
        <w:rPr>
          <w:rFonts w:ascii="Arial" w:hAnsi="Arial" w:cs="Arial"/>
          <w:kern w:val="28"/>
          <w:sz w:val="22"/>
          <w:szCs w:val="22"/>
        </w:rPr>
        <w:t xml:space="preserve">as actividades </w:t>
      </w:r>
      <w:r w:rsidR="00096255" w:rsidRPr="00FE377A">
        <w:rPr>
          <w:rFonts w:ascii="Arial" w:hAnsi="Arial" w:cs="Arial"/>
          <w:kern w:val="28"/>
          <w:sz w:val="22"/>
          <w:szCs w:val="22"/>
        </w:rPr>
        <w:t xml:space="preserve">pueden encuadrarse en </w:t>
      </w:r>
      <w:r w:rsidR="00AF7E44" w:rsidRPr="00FE377A">
        <w:rPr>
          <w:rFonts w:ascii="Arial" w:hAnsi="Arial" w:cs="Arial"/>
          <w:kern w:val="28"/>
          <w:sz w:val="22"/>
          <w:szCs w:val="22"/>
        </w:rPr>
        <w:t xml:space="preserve">cuatro </w:t>
      </w:r>
      <w:r w:rsidR="00096255" w:rsidRPr="00FE377A">
        <w:rPr>
          <w:rFonts w:ascii="Arial" w:hAnsi="Arial" w:cs="Arial"/>
          <w:kern w:val="28"/>
          <w:sz w:val="22"/>
          <w:szCs w:val="22"/>
        </w:rPr>
        <w:t xml:space="preserve">componentes: </w:t>
      </w:r>
      <w:r w:rsidR="00B67967" w:rsidRPr="00FE377A">
        <w:rPr>
          <w:rFonts w:ascii="Arial" w:hAnsi="Arial" w:cs="Arial"/>
          <w:kern w:val="28"/>
          <w:sz w:val="22"/>
          <w:szCs w:val="22"/>
        </w:rPr>
        <w:t xml:space="preserve">(i) </w:t>
      </w:r>
      <w:r w:rsidR="00AF7E44" w:rsidRPr="00FE377A">
        <w:rPr>
          <w:rFonts w:ascii="Arial" w:hAnsi="Arial" w:cs="Arial"/>
          <w:kern w:val="28"/>
          <w:sz w:val="22"/>
          <w:szCs w:val="22"/>
        </w:rPr>
        <w:t>E</w:t>
      </w:r>
      <w:r w:rsidR="00CB6534" w:rsidRPr="00FE377A">
        <w:rPr>
          <w:rFonts w:ascii="Arial" w:hAnsi="Arial" w:cs="Arial"/>
          <w:kern w:val="28"/>
          <w:sz w:val="22"/>
          <w:szCs w:val="22"/>
        </w:rPr>
        <w:t>stabilidad macroeconómica</w:t>
      </w:r>
      <w:r w:rsidR="00B67967" w:rsidRPr="00FE377A">
        <w:rPr>
          <w:rFonts w:ascii="Arial" w:hAnsi="Arial" w:cs="Arial"/>
          <w:kern w:val="28"/>
          <w:sz w:val="22"/>
          <w:szCs w:val="22"/>
        </w:rPr>
        <w:t xml:space="preserve">; (ii) </w:t>
      </w:r>
      <w:r w:rsidR="00AF7E44" w:rsidRPr="00FE377A">
        <w:rPr>
          <w:rFonts w:ascii="Arial" w:hAnsi="Arial" w:cs="Arial"/>
          <w:kern w:val="28"/>
          <w:sz w:val="22"/>
          <w:szCs w:val="22"/>
          <w:lang w:val="es-ES_tradnl"/>
        </w:rPr>
        <w:t>Fortalecimiento del marco estratégico, legal e institucional del SNIP</w:t>
      </w:r>
      <w:r w:rsidR="00B67967" w:rsidRPr="00FE377A">
        <w:rPr>
          <w:rFonts w:ascii="Arial" w:hAnsi="Arial" w:cs="Arial"/>
          <w:kern w:val="28"/>
          <w:sz w:val="22"/>
          <w:szCs w:val="22"/>
        </w:rPr>
        <w:t xml:space="preserve">; (iii) </w:t>
      </w:r>
      <w:r w:rsidR="00AF7E44" w:rsidRPr="00FE377A">
        <w:rPr>
          <w:rFonts w:ascii="Arial" w:hAnsi="Arial" w:cs="Arial"/>
          <w:kern w:val="28"/>
          <w:sz w:val="22"/>
          <w:szCs w:val="22"/>
          <w:lang w:val="es-ES_tradnl"/>
        </w:rPr>
        <w:t>Mejoramiento de las capacidades para la gestión de programas de inversión pública; y (iv)</w:t>
      </w:r>
      <w:r w:rsidR="00AF7E44" w:rsidRPr="00FE377A">
        <w:rPr>
          <w:rFonts w:ascii="Arial" w:hAnsi="Arial" w:cs="Arial"/>
          <w:b/>
          <w:sz w:val="22"/>
          <w:szCs w:val="22"/>
          <w:lang w:val="es-ES_tradnl"/>
        </w:rPr>
        <w:t xml:space="preserve"> </w:t>
      </w:r>
      <w:r w:rsidR="00AF7E44" w:rsidRPr="00FE377A">
        <w:rPr>
          <w:rFonts w:ascii="Arial" w:hAnsi="Arial" w:cs="Arial"/>
          <w:kern w:val="28"/>
          <w:sz w:val="22"/>
          <w:szCs w:val="22"/>
          <w:lang w:val="es-ES_tradnl"/>
        </w:rPr>
        <w:t xml:space="preserve">Desarrollo de </w:t>
      </w:r>
      <w:r w:rsidR="001D03BD">
        <w:rPr>
          <w:rFonts w:ascii="Arial" w:hAnsi="Arial" w:cs="Arial"/>
          <w:kern w:val="28"/>
          <w:sz w:val="22"/>
          <w:szCs w:val="22"/>
          <w:lang w:val="es-ES_tradnl"/>
        </w:rPr>
        <w:t>APP</w:t>
      </w:r>
      <w:r w:rsidR="00AF7E44" w:rsidRPr="00FE377A">
        <w:rPr>
          <w:rFonts w:ascii="Arial" w:hAnsi="Arial" w:cs="Arial"/>
          <w:kern w:val="28"/>
          <w:sz w:val="22"/>
          <w:szCs w:val="22"/>
          <w:lang w:val="es-ES_tradnl"/>
        </w:rPr>
        <w:t xml:space="preserve"> para el financiamiento y la gestión de la inversión pública</w:t>
      </w:r>
      <w:r w:rsidR="00CD7B0D" w:rsidRPr="00FE377A">
        <w:rPr>
          <w:rFonts w:ascii="Arial" w:hAnsi="Arial" w:cs="Arial"/>
          <w:kern w:val="28"/>
          <w:sz w:val="22"/>
          <w:szCs w:val="22"/>
        </w:rPr>
        <w:t>.</w:t>
      </w:r>
    </w:p>
    <w:p w:rsidR="00B84211" w:rsidRPr="00FE377A" w:rsidRDefault="00C355F9" w:rsidP="009D4CD2">
      <w:pPr>
        <w:numPr>
          <w:ilvl w:val="0"/>
          <w:numId w:val="1"/>
        </w:numPr>
        <w:spacing w:before="240" w:after="240" w:line="240" w:lineRule="auto"/>
        <w:ind w:left="567" w:hanging="567"/>
        <w:jc w:val="center"/>
        <w:rPr>
          <w:rFonts w:ascii="Arial" w:hAnsi="Arial" w:cs="Arial"/>
          <w:b/>
          <w:lang w:val="es-ES"/>
        </w:rPr>
      </w:pPr>
      <w:r w:rsidRPr="00FE377A">
        <w:rPr>
          <w:rFonts w:ascii="Arial" w:hAnsi="Arial" w:cs="Arial"/>
          <w:b/>
          <w:lang w:val="es-ES"/>
        </w:rPr>
        <w:t>Metodología</w:t>
      </w:r>
      <w:r w:rsidR="006171F1" w:rsidRPr="00FE377A">
        <w:rPr>
          <w:rFonts w:ascii="Arial" w:hAnsi="Arial" w:cs="Arial"/>
          <w:b/>
          <w:lang w:val="es-ES"/>
        </w:rPr>
        <w:t xml:space="preserve"> </w:t>
      </w:r>
    </w:p>
    <w:p w:rsidR="002F39C9" w:rsidRPr="00FE377A" w:rsidRDefault="007B3237" w:rsidP="009D4CD2">
      <w:pPr>
        <w:pStyle w:val="Paragraph"/>
        <w:numPr>
          <w:ilvl w:val="1"/>
          <w:numId w:val="1"/>
        </w:numPr>
        <w:spacing w:before="0"/>
        <w:ind w:left="720" w:hanging="720"/>
        <w:rPr>
          <w:rFonts w:ascii="Arial" w:hAnsi="Arial" w:cs="Arial"/>
          <w:sz w:val="22"/>
          <w:szCs w:val="22"/>
        </w:rPr>
      </w:pPr>
      <w:r w:rsidRPr="00FE377A">
        <w:rPr>
          <w:rFonts w:ascii="Arial" w:hAnsi="Arial" w:cs="Arial"/>
          <w:sz w:val="22"/>
          <w:szCs w:val="22"/>
        </w:rPr>
        <w:t>Descripción de la intervención</w:t>
      </w:r>
      <w:r w:rsidR="009D4CD2" w:rsidRPr="00FE377A">
        <w:rPr>
          <w:rFonts w:ascii="Arial" w:hAnsi="Arial" w:cs="Arial"/>
          <w:sz w:val="22"/>
          <w:szCs w:val="22"/>
        </w:rPr>
        <w:t>:</w:t>
      </w:r>
    </w:p>
    <w:p w:rsidR="00176EF6" w:rsidRPr="00FE377A" w:rsidRDefault="00176EF6" w:rsidP="009D4CD2">
      <w:pPr>
        <w:pStyle w:val="Paragraph"/>
        <w:numPr>
          <w:ilvl w:val="1"/>
          <w:numId w:val="1"/>
        </w:numPr>
        <w:ind w:left="720" w:hanging="720"/>
        <w:rPr>
          <w:rFonts w:ascii="Arial" w:hAnsi="Arial" w:cs="Arial"/>
          <w:sz w:val="22"/>
          <w:szCs w:val="22"/>
        </w:rPr>
      </w:pPr>
      <w:r w:rsidRPr="00FE377A">
        <w:rPr>
          <w:rFonts w:ascii="Arial" w:hAnsi="Arial" w:cs="Arial"/>
          <w:b/>
          <w:sz w:val="22"/>
          <w:szCs w:val="22"/>
        </w:rPr>
        <w:t xml:space="preserve">Componente 1. </w:t>
      </w:r>
      <w:r w:rsidR="00AF7E44" w:rsidRPr="00FE377A">
        <w:rPr>
          <w:rFonts w:ascii="Arial" w:hAnsi="Arial" w:cs="Arial"/>
          <w:b/>
          <w:sz w:val="22"/>
          <w:szCs w:val="22"/>
        </w:rPr>
        <w:t>E</w:t>
      </w:r>
      <w:r w:rsidR="00E8214B" w:rsidRPr="00FE377A">
        <w:rPr>
          <w:rFonts w:ascii="Arial" w:hAnsi="Arial" w:cs="Arial"/>
          <w:b/>
          <w:sz w:val="22"/>
          <w:szCs w:val="22"/>
        </w:rPr>
        <w:t xml:space="preserve">stabilidad macroeconómica. </w:t>
      </w:r>
      <w:r w:rsidR="00E8214B" w:rsidRPr="00FE377A">
        <w:rPr>
          <w:rFonts w:ascii="Arial" w:hAnsi="Arial" w:cs="Arial"/>
          <w:sz w:val="22"/>
          <w:szCs w:val="22"/>
        </w:rPr>
        <w:t>El objetivo de este componente es asegurar un contexto macroeconómico congruente con los objetivos del programa, según lo establecido en la Matriz de Política (Apéndice III</w:t>
      </w:r>
      <w:r w:rsidR="00E97D2D" w:rsidRPr="00FE377A">
        <w:rPr>
          <w:rFonts w:ascii="Arial" w:hAnsi="Arial" w:cs="Arial"/>
          <w:sz w:val="22"/>
          <w:szCs w:val="22"/>
        </w:rPr>
        <w:t xml:space="preserve"> del Programa</w:t>
      </w:r>
      <w:r w:rsidR="00E8214B" w:rsidRPr="00FE377A">
        <w:rPr>
          <w:rFonts w:ascii="Arial" w:hAnsi="Arial" w:cs="Arial"/>
          <w:sz w:val="22"/>
          <w:szCs w:val="22"/>
        </w:rPr>
        <w:t>)</w:t>
      </w:r>
      <w:r w:rsidR="00913223" w:rsidRPr="00FE377A">
        <w:rPr>
          <w:rFonts w:ascii="Arial" w:hAnsi="Arial" w:cs="Arial"/>
          <w:sz w:val="22"/>
          <w:szCs w:val="22"/>
        </w:rPr>
        <w:t>.</w:t>
      </w:r>
    </w:p>
    <w:p w:rsidR="00176EF6" w:rsidRPr="00FE377A" w:rsidRDefault="00176EF6" w:rsidP="009D4CD2">
      <w:pPr>
        <w:pStyle w:val="Paragraph"/>
        <w:numPr>
          <w:ilvl w:val="1"/>
          <w:numId w:val="1"/>
        </w:numPr>
        <w:ind w:left="720" w:hanging="720"/>
        <w:rPr>
          <w:rFonts w:ascii="Arial" w:hAnsi="Arial" w:cs="Arial"/>
          <w:sz w:val="22"/>
          <w:szCs w:val="22"/>
        </w:rPr>
      </w:pPr>
      <w:r w:rsidRPr="00FE377A">
        <w:rPr>
          <w:rFonts w:ascii="Arial" w:hAnsi="Arial" w:cs="Arial"/>
          <w:b/>
          <w:sz w:val="22"/>
          <w:szCs w:val="22"/>
        </w:rPr>
        <w:t xml:space="preserve">Componente 2. </w:t>
      </w:r>
      <w:r w:rsidR="00AF7E44" w:rsidRPr="00FE377A">
        <w:rPr>
          <w:rFonts w:ascii="Arial" w:hAnsi="Arial" w:cs="Arial"/>
          <w:b/>
          <w:sz w:val="22"/>
          <w:szCs w:val="22"/>
          <w:lang w:val="es-ES_tradnl"/>
        </w:rPr>
        <w:t>Fortalecimiento del marco estratégico, legal e institucional del SNIP</w:t>
      </w:r>
      <w:r w:rsidR="00E8214B" w:rsidRPr="00FE377A">
        <w:rPr>
          <w:rFonts w:ascii="Arial" w:hAnsi="Arial" w:cs="Arial"/>
          <w:b/>
          <w:sz w:val="22"/>
          <w:szCs w:val="22"/>
        </w:rPr>
        <w:t xml:space="preserve">. </w:t>
      </w:r>
      <w:r w:rsidR="00E8214B" w:rsidRPr="00FE377A">
        <w:rPr>
          <w:rFonts w:ascii="Arial" w:hAnsi="Arial" w:cs="Arial"/>
          <w:sz w:val="22"/>
          <w:szCs w:val="22"/>
        </w:rPr>
        <w:t>El objetivo del componente es brindar las herramientas para lograr la consolidación institucional del SNIP mediante: (i) el establecimiento de un marco estratégico de largo plazo de desarrollo del país;</w:t>
      </w:r>
      <w:r w:rsidR="00AF7E44" w:rsidRPr="00FE377A">
        <w:rPr>
          <w:rFonts w:ascii="Arial" w:hAnsi="Arial" w:cs="Arial"/>
          <w:sz w:val="22"/>
          <w:szCs w:val="22"/>
        </w:rPr>
        <w:t xml:space="preserve"> y</w:t>
      </w:r>
      <w:r w:rsidR="00E8214B" w:rsidRPr="00FE377A">
        <w:rPr>
          <w:rFonts w:ascii="Arial" w:hAnsi="Arial" w:cs="Arial"/>
          <w:sz w:val="22"/>
          <w:szCs w:val="22"/>
        </w:rPr>
        <w:t xml:space="preserve"> (ii) el mejoramiento de las normas, los procesos y las herramientas del ente rector</w:t>
      </w:r>
      <w:r w:rsidRPr="00FE377A">
        <w:rPr>
          <w:rFonts w:ascii="Arial" w:hAnsi="Arial" w:cs="Arial"/>
          <w:sz w:val="22"/>
          <w:szCs w:val="22"/>
        </w:rPr>
        <w:t xml:space="preserve">. </w:t>
      </w:r>
    </w:p>
    <w:p w:rsidR="001B5F82" w:rsidRPr="00FE377A" w:rsidRDefault="00176EF6" w:rsidP="009D4CD2">
      <w:pPr>
        <w:pStyle w:val="Paragraph"/>
        <w:numPr>
          <w:ilvl w:val="1"/>
          <w:numId w:val="1"/>
        </w:numPr>
        <w:ind w:left="720" w:hanging="720"/>
        <w:rPr>
          <w:rFonts w:ascii="Arial" w:hAnsi="Arial" w:cs="Arial"/>
          <w:sz w:val="22"/>
          <w:szCs w:val="22"/>
        </w:rPr>
      </w:pPr>
      <w:r w:rsidRPr="00FE377A">
        <w:rPr>
          <w:rFonts w:ascii="Arial" w:hAnsi="Arial" w:cs="Arial"/>
          <w:b/>
          <w:sz w:val="22"/>
          <w:szCs w:val="22"/>
        </w:rPr>
        <w:t xml:space="preserve">Componente 3. </w:t>
      </w:r>
      <w:r w:rsidR="00E8214B" w:rsidRPr="00FE377A">
        <w:rPr>
          <w:rFonts w:ascii="Arial" w:hAnsi="Arial" w:cs="Arial"/>
          <w:b/>
          <w:sz w:val="22"/>
          <w:szCs w:val="22"/>
        </w:rPr>
        <w:t xml:space="preserve">Mejoramiento de la gestión de programas de inversión pública. </w:t>
      </w:r>
      <w:r w:rsidR="00E8214B" w:rsidRPr="00FE377A">
        <w:rPr>
          <w:rFonts w:ascii="Arial" w:hAnsi="Arial" w:cs="Arial"/>
          <w:sz w:val="22"/>
          <w:szCs w:val="22"/>
        </w:rPr>
        <w:t xml:space="preserve">El objetivo del componente es apoyar a las entidades que conforman el SNIP en mejorar su capacidad para gestionar programas de inversión pública mediante: </w:t>
      </w:r>
      <w:r w:rsidR="00AF7E44" w:rsidRPr="00FE377A">
        <w:rPr>
          <w:rFonts w:ascii="Arial" w:hAnsi="Arial" w:cs="Arial"/>
          <w:sz w:val="22"/>
          <w:szCs w:val="22"/>
          <w:lang w:val="es-ES_tradnl"/>
        </w:rPr>
        <w:t xml:space="preserve">(i) la construcción de las capacidades de los cuadros técnicos de las instituciones que conforman el SNIP; </w:t>
      </w:r>
      <w:r w:rsidR="00E8214B" w:rsidRPr="00FE377A">
        <w:rPr>
          <w:rFonts w:ascii="Arial" w:hAnsi="Arial" w:cs="Arial"/>
          <w:sz w:val="22"/>
          <w:szCs w:val="22"/>
        </w:rPr>
        <w:t>(i</w:t>
      </w:r>
      <w:r w:rsidR="00AF7E44" w:rsidRPr="00FE377A">
        <w:rPr>
          <w:rFonts w:ascii="Arial" w:hAnsi="Arial" w:cs="Arial"/>
          <w:sz w:val="22"/>
          <w:szCs w:val="22"/>
        </w:rPr>
        <w:t>i</w:t>
      </w:r>
      <w:r w:rsidR="00E8214B" w:rsidRPr="00FE377A">
        <w:rPr>
          <w:rFonts w:ascii="Arial" w:hAnsi="Arial" w:cs="Arial"/>
          <w:sz w:val="22"/>
          <w:szCs w:val="22"/>
        </w:rPr>
        <w:t>) el fortalecimiento de la etapa de pre-inversión;</w:t>
      </w:r>
      <w:r w:rsidR="00AF7E44" w:rsidRPr="00FE377A">
        <w:rPr>
          <w:rFonts w:ascii="Arial" w:hAnsi="Arial" w:cs="Arial"/>
          <w:sz w:val="22"/>
          <w:szCs w:val="22"/>
        </w:rPr>
        <w:t xml:space="preserve"> y</w:t>
      </w:r>
      <w:r w:rsidR="00E8214B" w:rsidRPr="00FE377A">
        <w:rPr>
          <w:rFonts w:ascii="Arial" w:hAnsi="Arial" w:cs="Arial"/>
          <w:sz w:val="22"/>
          <w:szCs w:val="22"/>
        </w:rPr>
        <w:t xml:space="preserve"> (i</w:t>
      </w:r>
      <w:r w:rsidR="00AF7E44" w:rsidRPr="00FE377A">
        <w:rPr>
          <w:rFonts w:ascii="Arial" w:hAnsi="Arial" w:cs="Arial"/>
          <w:sz w:val="22"/>
          <w:szCs w:val="22"/>
        </w:rPr>
        <w:t>i</w:t>
      </w:r>
      <w:r w:rsidR="00E8214B" w:rsidRPr="00FE377A">
        <w:rPr>
          <w:rFonts w:ascii="Arial" w:hAnsi="Arial" w:cs="Arial"/>
          <w:sz w:val="22"/>
          <w:szCs w:val="22"/>
        </w:rPr>
        <w:t>i) el mejoramiento de los procesos de programación presupuestaria y la gestión fiduciaria</w:t>
      </w:r>
      <w:r w:rsidR="00AF7E44" w:rsidRPr="00FE377A">
        <w:rPr>
          <w:rFonts w:ascii="Arial" w:hAnsi="Arial" w:cs="Arial"/>
          <w:sz w:val="22"/>
          <w:szCs w:val="22"/>
        </w:rPr>
        <w:t>.</w:t>
      </w:r>
    </w:p>
    <w:p w:rsidR="00AF7E44" w:rsidRPr="00FE377A" w:rsidRDefault="00AF7E44" w:rsidP="009D4CD2">
      <w:pPr>
        <w:pStyle w:val="Paragraph"/>
        <w:numPr>
          <w:ilvl w:val="1"/>
          <w:numId w:val="1"/>
        </w:numPr>
        <w:ind w:left="720" w:hanging="720"/>
        <w:rPr>
          <w:rFonts w:ascii="Arial" w:hAnsi="Arial" w:cs="Arial"/>
          <w:sz w:val="22"/>
          <w:szCs w:val="22"/>
        </w:rPr>
      </w:pPr>
      <w:r w:rsidRPr="00FE377A">
        <w:rPr>
          <w:rFonts w:ascii="Arial" w:hAnsi="Arial" w:cs="Arial"/>
          <w:b/>
          <w:sz w:val="22"/>
          <w:szCs w:val="22"/>
          <w:lang w:val="es-ES_tradnl"/>
        </w:rPr>
        <w:t xml:space="preserve">Componente 4. Desarrollo de </w:t>
      </w:r>
      <w:r w:rsidR="001D03BD">
        <w:rPr>
          <w:rFonts w:ascii="Arial" w:hAnsi="Arial" w:cs="Arial"/>
          <w:b/>
          <w:sz w:val="22"/>
          <w:szCs w:val="22"/>
          <w:lang w:val="es-ES_tradnl"/>
        </w:rPr>
        <w:t>APP</w:t>
      </w:r>
      <w:r w:rsidRPr="00FE377A">
        <w:rPr>
          <w:rFonts w:ascii="Arial" w:hAnsi="Arial" w:cs="Arial"/>
          <w:b/>
          <w:sz w:val="22"/>
          <w:szCs w:val="22"/>
          <w:lang w:val="es-ES_tradnl"/>
        </w:rPr>
        <w:t xml:space="preserve"> para el financiamiento y la gestión de la inversión pública. </w:t>
      </w:r>
      <w:r w:rsidR="001D03BD" w:rsidRPr="001D03BD">
        <w:rPr>
          <w:rFonts w:ascii="Arial" w:hAnsi="Arial" w:cs="Arial"/>
          <w:sz w:val="22"/>
          <w:szCs w:val="22"/>
          <w:lang w:val="es-ES_tradnl"/>
        </w:rPr>
        <w:t>El objetivo de este componente es poner en práctica la Ley de APP para el financiamiento y la gestión de grandes proyectos de inversión pública. La acción de política para el primer tramo es: contar con un dictamen de viabilidad de la DSIP del MH sobre los estudios de pre-factibilidad de al menos dos proyectos de inversión bajo la modalidad de APP</w:t>
      </w:r>
      <w:r w:rsidR="001D03BD" w:rsidRPr="001D03BD">
        <w:rPr>
          <w:rFonts w:ascii="Arial" w:hAnsi="Arial" w:cs="Arial"/>
          <w:sz w:val="22"/>
          <w:szCs w:val="22"/>
          <w:vertAlign w:val="superscript"/>
          <w:lang w:val="es-ES_tradnl"/>
        </w:rPr>
        <w:footnoteReference w:id="1"/>
      </w:r>
      <w:r w:rsidR="001D03BD" w:rsidRPr="001D03BD">
        <w:rPr>
          <w:rFonts w:ascii="Arial" w:hAnsi="Arial" w:cs="Arial"/>
          <w:sz w:val="22"/>
          <w:szCs w:val="22"/>
          <w:lang w:val="es-ES_tradnl"/>
        </w:rPr>
        <w:t>.</w:t>
      </w:r>
      <w:r w:rsidR="001D03BD">
        <w:rPr>
          <w:rFonts w:ascii="Arial" w:hAnsi="Arial" w:cs="Arial"/>
          <w:sz w:val="22"/>
          <w:szCs w:val="22"/>
          <w:lang w:val="es-ES_tradnl"/>
        </w:rPr>
        <w:t xml:space="preserve"> </w:t>
      </w:r>
      <w:r w:rsidR="001D03BD" w:rsidRPr="001D03BD">
        <w:rPr>
          <w:rFonts w:ascii="Arial" w:hAnsi="Arial" w:cs="Arial"/>
          <w:sz w:val="22"/>
          <w:szCs w:val="22"/>
          <w:lang w:val="es-ES_tradnl"/>
        </w:rPr>
        <w:t>Finalmente, la acción de política para el segundo tramo es: la publicación de las bases y condiciones de licitación de al menos un proyecto de APP</w:t>
      </w:r>
      <w:r w:rsidR="001D03BD" w:rsidRPr="001D03BD">
        <w:rPr>
          <w:rFonts w:ascii="Arial" w:hAnsi="Arial" w:cs="Arial"/>
          <w:sz w:val="22"/>
          <w:szCs w:val="22"/>
          <w:vertAlign w:val="superscript"/>
          <w:lang w:val="es-ES_tradnl"/>
        </w:rPr>
        <w:footnoteReference w:id="2"/>
      </w:r>
      <w:r w:rsidR="00FE377A">
        <w:rPr>
          <w:rFonts w:ascii="Arial" w:hAnsi="Arial" w:cs="Arial"/>
          <w:sz w:val="22"/>
          <w:szCs w:val="22"/>
          <w:lang w:val="es-ES_tradnl"/>
        </w:rPr>
        <w:t>.</w:t>
      </w:r>
    </w:p>
    <w:p w:rsidR="00B84211" w:rsidRPr="00FE377A" w:rsidRDefault="007B3237" w:rsidP="00FE377A">
      <w:pPr>
        <w:pStyle w:val="Paragraph"/>
        <w:numPr>
          <w:ilvl w:val="1"/>
          <w:numId w:val="1"/>
        </w:numPr>
        <w:spacing w:before="600"/>
        <w:ind w:left="720" w:hanging="720"/>
        <w:rPr>
          <w:rFonts w:ascii="Arial" w:hAnsi="Arial" w:cs="Arial"/>
          <w:b/>
          <w:sz w:val="22"/>
          <w:szCs w:val="22"/>
        </w:rPr>
      </w:pPr>
      <w:r w:rsidRPr="00FE377A">
        <w:rPr>
          <w:rFonts w:ascii="Arial" w:hAnsi="Arial" w:cs="Arial"/>
          <w:b/>
          <w:sz w:val="22"/>
          <w:szCs w:val="22"/>
        </w:rPr>
        <w:lastRenderedPageBreak/>
        <w:t>Beneficios esperados</w:t>
      </w:r>
      <w:r w:rsidR="00C91711" w:rsidRPr="00FE377A">
        <w:rPr>
          <w:rFonts w:ascii="Arial" w:hAnsi="Arial" w:cs="Arial"/>
          <w:b/>
          <w:sz w:val="22"/>
          <w:szCs w:val="22"/>
        </w:rPr>
        <w:t xml:space="preserve"> 1- </w:t>
      </w:r>
      <w:r w:rsidR="00716826" w:rsidRPr="00FE377A">
        <w:rPr>
          <w:rFonts w:ascii="Arial" w:hAnsi="Arial" w:cs="Arial"/>
          <w:b/>
          <w:sz w:val="22"/>
          <w:szCs w:val="22"/>
        </w:rPr>
        <w:t xml:space="preserve">Ley de </w:t>
      </w:r>
      <w:r w:rsidR="00B733B1" w:rsidRPr="00FE377A">
        <w:rPr>
          <w:rFonts w:ascii="Arial" w:hAnsi="Arial" w:cs="Arial"/>
          <w:b/>
          <w:sz w:val="22"/>
          <w:szCs w:val="22"/>
        </w:rPr>
        <w:t>Alianzas</w:t>
      </w:r>
      <w:r w:rsidR="00716826" w:rsidRPr="00FE377A">
        <w:rPr>
          <w:rFonts w:ascii="Arial" w:hAnsi="Arial" w:cs="Arial"/>
          <w:b/>
          <w:sz w:val="22"/>
          <w:szCs w:val="22"/>
        </w:rPr>
        <w:t xml:space="preserve"> Públic</w:t>
      </w:r>
      <w:r w:rsidR="00B733B1" w:rsidRPr="00FE377A">
        <w:rPr>
          <w:rFonts w:ascii="Arial" w:hAnsi="Arial" w:cs="Arial"/>
          <w:b/>
          <w:sz w:val="22"/>
          <w:szCs w:val="22"/>
        </w:rPr>
        <w:t>o</w:t>
      </w:r>
      <w:r w:rsidR="00716826" w:rsidRPr="00FE377A">
        <w:rPr>
          <w:rFonts w:ascii="Arial" w:hAnsi="Arial" w:cs="Arial"/>
          <w:b/>
          <w:sz w:val="22"/>
          <w:szCs w:val="22"/>
        </w:rPr>
        <w:t xml:space="preserve"> Privada</w:t>
      </w:r>
      <w:r w:rsidR="009D4CD2" w:rsidRPr="00FE377A">
        <w:rPr>
          <w:rFonts w:ascii="Arial" w:hAnsi="Arial" w:cs="Arial"/>
          <w:b/>
          <w:sz w:val="22"/>
          <w:szCs w:val="22"/>
        </w:rPr>
        <w:t xml:space="preserve"> (APP)</w:t>
      </w:r>
      <w:r w:rsidR="00716826" w:rsidRPr="00FE377A">
        <w:rPr>
          <w:rFonts w:ascii="Arial" w:hAnsi="Arial" w:cs="Arial"/>
          <w:b/>
          <w:sz w:val="22"/>
          <w:szCs w:val="22"/>
        </w:rPr>
        <w:t>.</w:t>
      </w:r>
    </w:p>
    <w:p w:rsidR="00123F4E" w:rsidRPr="00FE377A" w:rsidRDefault="0069387D" w:rsidP="009D4CD2">
      <w:pPr>
        <w:pStyle w:val="Vieta"/>
        <w:spacing w:before="120" w:after="120" w:line="240" w:lineRule="auto"/>
        <w:ind w:left="1440" w:hanging="720"/>
        <w:rPr>
          <w:rFonts w:ascii="Arial" w:hAnsi="Arial" w:cs="Arial"/>
          <w:sz w:val="22"/>
          <w:szCs w:val="22"/>
        </w:rPr>
      </w:pPr>
      <w:r w:rsidRPr="00FE377A">
        <w:rPr>
          <w:rFonts w:ascii="Arial" w:hAnsi="Arial" w:cs="Arial"/>
          <w:sz w:val="22"/>
          <w:szCs w:val="22"/>
        </w:rPr>
        <w:t>Como parte del mejoramiento de las normas, los procesos y las herramientas del SNIP, el Programa tiene como objetivo la implementación de la Ley de Alianzas Público Privada (</w:t>
      </w:r>
      <w:r w:rsidR="009D4CD2" w:rsidRPr="00FE377A">
        <w:rPr>
          <w:rFonts w:ascii="Arial" w:hAnsi="Arial" w:cs="Arial"/>
          <w:sz w:val="22"/>
          <w:szCs w:val="22"/>
        </w:rPr>
        <w:t>A</w:t>
      </w:r>
      <w:r w:rsidRPr="00FE377A">
        <w:rPr>
          <w:rFonts w:ascii="Arial" w:hAnsi="Arial" w:cs="Arial"/>
          <w:sz w:val="22"/>
          <w:szCs w:val="22"/>
        </w:rPr>
        <w:t>PP).</w:t>
      </w:r>
    </w:p>
    <w:p w:rsidR="00CC43B1" w:rsidRPr="00FE377A" w:rsidRDefault="0069387D" w:rsidP="009D4CD2">
      <w:pPr>
        <w:pStyle w:val="Vieta"/>
        <w:spacing w:before="120" w:after="120" w:line="240" w:lineRule="auto"/>
        <w:ind w:left="1440" w:hanging="720"/>
        <w:rPr>
          <w:rFonts w:ascii="Arial" w:hAnsi="Arial" w:cs="Arial"/>
          <w:sz w:val="22"/>
          <w:szCs w:val="22"/>
          <w:lang w:val="es-AR"/>
        </w:rPr>
      </w:pPr>
      <w:r w:rsidRPr="00FE377A">
        <w:rPr>
          <w:rFonts w:ascii="Arial" w:hAnsi="Arial" w:cs="Arial"/>
          <w:sz w:val="22"/>
          <w:szCs w:val="22"/>
        </w:rPr>
        <w:t xml:space="preserve">La implementación de </w:t>
      </w:r>
      <w:r w:rsidR="009D4CD2" w:rsidRPr="00FE377A">
        <w:rPr>
          <w:rFonts w:ascii="Arial" w:hAnsi="Arial" w:cs="Arial"/>
          <w:sz w:val="22"/>
          <w:szCs w:val="22"/>
        </w:rPr>
        <w:t>A</w:t>
      </w:r>
      <w:r w:rsidRPr="00FE377A">
        <w:rPr>
          <w:rFonts w:ascii="Arial" w:hAnsi="Arial" w:cs="Arial"/>
          <w:sz w:val="22"/>
          <w:szCs w:val="22"/>
        </w:rPr>
        <w:t xml:space="preserve">PP es condición necesaria para la autorización y ejecución de proyectos de infraestructura </w:t>
      </w:r>
      <w:r w:rsidR="00644335" w:rsidRPr="00FE377A">
        <w:rPr>
          <w:rFonts w:ascii="Arial" w:hAnsi="Arial" w:cs="Arial"/>
          <w:sz w:val="22"/>
          <w:szCs w:val="22"/>
        </w:rPr>
        <w:t>que actualmente cuentan con elevado grado de avance</w:t>
      </w:r>
      <w:r w:rsidR="001D03BD">
        <w:rPr>
          <w:rFonts w:ascii="Arial" w:hAnsi="Arial" w:cs="Arial"/>
          <w:sz w:val="22"/>
          <w:szCs w:val="22"/>
        </w:rPr>
        <w:t xml:space="preserve"> en su etapa de formulación y estudio</w:t>
      </w:r>
      <w:r w:rsidR="00644335" w:rsidRPr="00FE377A">
        <w:rPr>
          <w:rFonts w:ascii="Arial" w:hAnsi="Arial" w:cs="Arial"/>
          <w:sz w:val="22"/>
          <w:szCs w:val="22"/>
        </w:rPr>
        <w:t>. En particular, se pueden atribuir al Programa dos</w:t>
      </w:r>
      <w:r w:rsidR="001D03BD">
        <w:rPr>
          <w:rFonts w:ascii="Arial" w:hAnsi="Arial" w:cs="Arial"/>
          <w:sz w:val="22"/>
          <w:szCs w:val="22"/>
        </w:rPr>
        <w:t xml:space="preserve"> (2)</w:t>
      </w:r>
      <w:r w:rsidR="00644335" w:rsidRPr="00FE377A">
        <w:rPr>
          <w:rFonts w:ascii="Arial" w:hAnsi="Arial" w:cs="Arial"/>
          <w:sz w:val="22"/>
          <w:szCs w:val="22"/>
        </w:rPr>
        <w:t xml:space="preserve"> importantes</w:t>
      </w:r>
      <w:r w:rsidR="009D4CD2" w:rsidRPr="00FE377A">
        <w:rPr>
          <w:rFonts w:ascii="Arial" w:hAnsi="Arial" w:cs="Arial"/>
          <w:sz w:val="22"/>
          <w:szCs w:val="22"/>
        </w:rPr>
        <w:t xml:space="preserve"> proyectos de infraestructura: (a</w:t>
      </w:r>
      <w:r w:rsidR="00644335" w:rsidRPr="00FE377A">
        <w:rPr>
          <w:rFonts w:ascii="Arial" w:hAnsi="Arial" w:cs="Arial"/>
          <w:sz w:val="22"/>
          <w:szCs w:val="22"/>
        </w:rPr>
        <w:t>)</w:t>
      </w:r>
      <w:r w:rsidR="009D4CD2" w:rsidRPr="00FE377A">
        <w:rPr>
          <w:rFonts w:ascii="Arial" w:hAnsi="Arial" w:cs="Arial"/>
          <w:sz w:val="22"/>
          <w:szCs w:val="22"/>
        </w:rPr>
        <w:t xml:space="preserve"> </w:t>
      </w:r>
      <w:r w:rsidR="009D4CD2" w:rsidRPr="00FE377A">
        <w:rPr>
          <w:rFonts w:ascii="Arial" w:hAnsi="Arial" w:cs="Arial"/>
          <w:sz w:val="22"/>
          <w:szCs w:val="22"/>
          <w:lang w:val="es-AR"/>
        </w:rPr>
        <w:t>l</w:t>
      </w:r>
      <w:r w:rsidR="00644335" w:rsidRPr="00FE377A">
        <w:rPr>
          <w:rFonts w:ascii="Arial" w:hAnsi="Arial" w:cs="Arial"/>
          <w:sz w:val="22"/>
          <w:szCs w:val="22"/>
          <w:lang w:val="es-AR"/>
        </w:rPr>
        <w:t xml:space="preserve">a construcción de una nueva terminal del aeropuerto </w:t>
      </w:r>
      <w:r w:rsidR="009D4CD2" w:rsidRPr="00FE377A">
        <w:rPr>
          <w:rFonts w:ascii="Arial" w:hAnsi="Arial" w:cs="Arial"/>
          <w:sz w:val="22"/>
          <w:szCs w:val="22"/>
          <w:lang w:val="es-AR"/>
        </w:rPr>
        <w:t>internacional Silvio Pettirossi</w:t>
      </w:r>
      <w:r w:rsidR="001D03BD" w:rsidRPr="001D03BD">
        <w:rPr>
          <w:rFonts w:ascii="Arial" w:hAnsi="Arial" w:cs="Arial"/>
          <w:kern w:val="0"/>
          <w:sz w:val="22"/>
          <w:szCs w:val="22"/>
          <w:lang w:val="es-ES_tradnl"/>
        </w:rPr>
        <w:t xml:space="preserve"> </w:t>
      </w:r>
      <w:r w:rsidR="001D03BD" w:rsidRPr="001D03BD">
        <w:rPr>
          <w:rFonts w:ascii="Arial" w:hAnsi="Arial" w:cs="Arial"/>
          <w:sz w:val="22"/>
          <w:szCs w:val="22"/>
          <w:lang w:val="es-ES_tradnl"/>
        </w:rPr>
        <w:t>para que funcione como HUB regional de pasajeros y cargas</w:t>
      </w:r>
      <w:r w:rsidR="00644335" w:rsidRPr="00FE377A">
        <w:rPr>
          <w:rFonts w:ascii="Arial" w:hAnsi="Arial" w:cs="Arial"/>
          <w:sz w:val="22"/>
          <w:szCs w:val="22"/>
          <w:lang w:val="es-AR"/>
        </w:rPr>
        <w:t>;</w:t>
      </w:r>
      <w:r w:rsidR="00AF7E44" w:rsidRPr="00FE377A">
        <w:rPr>
          <w:rFonts w:ascii="Arial" w:hAnsi="Arial" w:cs="Arial"/>
          <w:sz w:val="22"/>
          <w:szCs w:val="22"/>
          <w:lang w:val="es-AR"/>
        </w:rPr>
        <w:t xml:space="preserve"> y</w:t>
      </w:r>
      <w:r w:rsidR="00644335" w:rsidRPr="00FE377A">
        <w:rPr>
          <w:rFonts w:ascii="Arial" w:hAnsi="Arial" w:cs="Arial"/>
          <w:sz w:val="22"/>
          <w:szCs w:val="22"/>
          <w:lang w:val="es-AR"/>
        </w:rPr>
        <w:t xml:space="preserve"> </w:t>
      </w:r>
      <w:r w:rsidR="009D4CD2" w:rsidRPr="00FE377A">
        <w:rPr>
          <w:rFonts w:ascii="Arial" w:hAnsi="Arial" w:cs="Arial"/>
          <w:sz w:val="22"/>
          <w:szCs w:val="22"/>
          <w:lang w:val="es-AR"/>
        </w:rPr>
        <w:t>(b</w:t>
      </w:r>
      <w:r w:rsidR="00644335" w:rsidRPr="00FE377A">
        <w:rPr>
          <w:rFonts w:ascii="Arial" w:hAnsi="Arial" w:cs="Arial"/>
          <w:sz w:val="22"/>
          <w:szCs w:val="22"/>
          <w:lang w:val="es-AR"/>
        </w:rPr>
        <w:t>)</w:t>
      </w:r>
      <w:r w:rsidR="009D4CD2" w:rsidRPr="00FE377A">
        <w:rPr>
          <w:rFonts w:ascii="Arial" w:hAnsi="Arial" w:cs="Arial"/>
          <w:sz w:val="22"/>
          <w:szCs w:val="22"/>
          <w:lang w:val="es-AR"/>
        </w:rPr>
        <w:t xml:space="preserve"> l</w:t>
      </w:r>
      <w:r w:rsidR="00CC43B1" w:rsidRPr="00FE377A">
        <w:rPr>
          <w:rFonts w:ascii="Arial" w:hAnsi="Arial" w:cs="Arial"/>
          <w:sz w:val="22"/>
          <w:szCs w:val="22"/>
          <w:lang w:val="es-AR"/>
        </w:rPr>
        <w:t>a ampliación de las rutas 2 y 7 con la finalidad de contar con 4 carriles en cada ruta mencionada.</w:t>
      </w:r>
    </w:p>
    <w:p w:rsidR="00E96E43" w:rsidRPr="00FE377A" w:rsidRDefault="00E96E43" w:rsidP="009D4CD2">
      <w:pPr>
        <w:pStyle w:val="Vieta"/>
        <w:spacing w:before="120" w:after="120" w:line="240" w:lineRule="auto"/>
        <w:ind w:left="1440" w:hanging="720"/>
        <w:rPr>
          <w:rFonts w:ascii="Arial" w:hAnsi="Arial" w:cs="Arial"/>
          <w:sz w:val="22"/>
          <w:szCs w:val="22"/>
          <w:lang w:val="es-AR"/>
        </w:rPr>
      </w:pPr>
      <w:r w:rsidRPr="00FE377A">
        <w:rPr>
          <w:rFonts w:ascii="Arial" w:hAnsi="Arial" w:cs="Arial"/>
          <w:sz w:val="22"/>
          <w:szCs w:val="22"/>
          <w:lang w:val="es-AR"/>
        </w:rPr>
        <w:t xml:space="preserve">Los beneficios monetarios atribuibles al Programa consisten en el Valor Presente Neto de estas obras, es decir, teniendo en cuenta los </w:t>
      </w:r>
      <w:r w:rsidR="00827C45" w:rsidRPr="00FE377A">
        <w:rPr>
          <w:rFonts w:ascii="Arial" w:hAnsi="Arial" w:cs="Arial"/>
          <w:sz w:val="22"/>
          <w:szCs w:val="22"/>
          <w:lang w:val="es-AR"/>
        </w:rPr>
        <w:t xml:space="preserve">respectivos </w:t>
      </w:r>
      <w:r w:rsidRPr="00FE377A">
        <w:rPr>
          <w:rFonts w:ascii="Arial" w:hAnsi="Arial" w:cs="Arial"/>
          <w:sz w:val="22"/>
          <w:szCs w:val="22"/>
          <w:lang w:val="es-AR"/>
        </w:rPr>
        <w:t>costos de inversi</w:t>
      </w:r>
      <w:r w:rsidR="00827C45" w:rsidRPr="00FE377A">
        <w:rPr>
          <w:rFonts w:ascii="Arial" w:hAnsi="Arial" w:cs="Arial"/>
          <w:sz w:val="22"/>
          <w:szCs w:val="22"/>
          <w:lang w:val="es-AR"/>
        </w:rPr>
        <w:t>ón y mantenimiento en este indicador</w:t>
      </w:r>
      <w:r w:rsidRPr="00FE377A">
        <w:rPr>
          <w:rFonts w:ascii="Arial" w:hAnsi="Arial" w:cs="Arial"/>
          <w:sz w:val="22"/>
          <w:szCs w:val="22"/>
          <w:lang w:val="es-AR"/>
        </w:rPr>
        <w:t>.</w:t>
      </w:r>
    </w:p>
    <w:p w:rsidR="00B84211" w:rsidRPr="00FE377A" w:rsidRDefault="007B3237" w:rsidP="009D4CD2">
      <w:pPr>
        <w:pStyle w:val="Paragraph"/>
        <w:numPr>
          <w:ilvl w:val="1"/>
          <w:numId w:val="1"/>
        </w:numPr>
        <w:ind w:left="720" w:hanging="720"/>
        <w:rPr>
          <w:rFonts w:ascii="Arial" w:hAnsi="Arial" w:cs="Arial"/>
          <w:b/>
          <w:sz w:val="22"/>
          <w:szCs w:val="22"/>
        </w:rPr>
      </w:pPr>
      <w:r w:rsidRPr="00FE377A">
        <w:rPr>
          <w:rFonts w:ascii="Arial" w:hAnsi="Arial" w:cs="Arial"/>
          <w:b/>
          <w:sz w:val="22"/>
          <w:szCs w:val="22"/>
        </w:rPr>
        <w:t>Supuestos</w:t>
      </w:r>
    </w:p>
    <w:p w:rsidR="00B84211" w:rsidRPr="00FE377A" w:rsidRDefault="007B3237" w:rsidP="009D4CD2">
      <w:pPr>
        <w:pStyle w:val="Paragraph"/>
        <w:numPr>
          <w:ilvl w:val="1"/>
          <w:numId w:val="1"/>
        </w:numPr>
        <w:ind w:left="720" w:hanging="720"/>
        <w:rPr>
          <w:rFonts w:ascii="Arial" w:hAnsi="Arial" w:cs="Arial"/>
          <w:kern w:val="28"/>
          <w:sz w:val="22"/>
          <w:szCs w:val="22"/>
        </w:rPr>
      </w:pPr>
      <w:r w:rsidRPr="00FE377A">
        <w:rPr>
          <w:rFonts w:ascii="Arial" w:hAnsi="Arial" w:cs="Arial"/>
          <w:kern w:val="28"/>
          <w:sz w:val="22"/>
          <w:szCs w:val="22"/>
        </w:rPr>
        <w:t>El cálculo de los beneficios derivados de</w:t>
      </w:r>
      <w:r w:rsidR="000D575B" w:rsidRPr="00FE377A">
        <w:rPr>
          <w:rFonts w:ascii="Arial" w:hAnsi="Arial" w:cs="Arial"/>
          <w:kern w:val="28"/>
          <w:sz w:val="22"/>
          <w:szCs w:val="22"/>
        </w:rPr>
        <w:t xml:space="preserve"> </w:t>
      </w:r>
      <w:r w:rsidR="0031580F" w:rsidRPr="00FE377A">
        <w:rPr>
          <w:rFonts w:ascii="Arial" w:hAnsi="Arial" w:cs="Arial"/>
          <w:kern w:val="28"/>
          <w:sz w:val="22"/>
          <w:szCs w:val="22"/>
        </w:rPr>
        <w:t xml:space="preserve">la </w:t>
      </w:r>
      <w:r w:rsidR="00691579" w:rsidRPr="00FE377A">
        <w:rPr>
          <w:rFonts w:ascii="Arial" w:hAnsi="Arial" w:cs="Arial"/>
          <w:kern w:val="28"/>
          <w:sz w:val="22"/>
          <w:szCs w:val="22"/>
        </w:rPr>
        <w:t>implementación de l</w:t>
      </w:r>
      <w:r w:rsidR="001D03BD">
        <w:rPr>
          <w:rFonts w:ascii="Arial" w:hAnsi="Arial" w:cs="Arial"/>
          <w:kern w:val="28"/>
          <w:sz w:val="22"/>
          <w:szCs w:val="22"/>
        </w:rPr>
        <w:t xml:space="preserve">os dos proyectos de </w:t>
      </w:r>
      <w:r w:rsidR="00691579" w:rsidRPr="00FE377A">
        <w:rPr>
          <w:rFonts w:ascii="Arial" w:hAnsi="Arial" w:cs="Arial"/>
          <w:kern w:val="28"/>
          <w:sz w:val="22"/>
          <w:szCs w:val="22"/>
        </w:rPr>
        <w:t>Alianzas Público Privada</w:t>
      </w:r>
      <w:r w:rsidR="0031580F" w:rsidRPr="00FE377A">
        <w:rPr>
          <w:rFonts w:ascii="Arial" w:hAnsi="Arial" w:cs="Arial"/>
          <w:kern w:val="28"/>
          <w:sz w:val="22"/>
          <w:szCs w:val="22"/>
        </w:rPr>
        <w:t xml:space="preserve"> se basa en los siguientes supuestos:</w:t>
      </w:r>
    </w:p>
    <w:p w:rsidR="00B84211" w:rsidRPr="00FE377A" w:rsidRDefault="00A5514F" w:rsidP="00FE377A">
      <w:pPr>
        <w:pStyle w:val="Vieta"/>
        <w:numPr>
          <w:ilvl w:val="1"/>
          <w:numId w:val="7"/>
        </w:numPr>
        <w:spacing w:before="120" w:after="120" w:line="240" w:lineRule="auto"/>
        <w:ind w:left="1440" w:hanging="720"/>
        <w:rPr>
          <w:rFonts w:ascii="Arial" w:hAnsi="Arial" w:cs="Arial"/>
          <w:sz w:val="22"/>
          <w:szCs w:val="22"/>
        </w:rPr>
      </w:pPr>
      <w:r w:rsidRPr="00FE377A">
        <w:rPr>
          <w:rFonts w:ascii="Arial" w:hAnsi="Arial" w:cs="Arial"/>
          <w:sz w:val="22"/>
          <w:szCs w:val="22"/>
        </w:rPr>
        <w:t>El Valor Presente Neto de la construcción de una nueva terminal del aeropuerto internacional Silvio Pettirossi, asciende a 7,6 millones de dólares.</w:t>
      </w:r>
      <w:r w:rsidR="00AD4960" w:rsidRPr="00FE377A">
        <w:rPr>
          <w:rFonts w:ascii="Arial" w:hAnsi="Arial" w:cs="Arial"/>
          <w:sz w:val="22"/>
          <w:szCs w:val="22"/>
        </w:rPr>
        <w:t xml:space="preserve"> Se considera</w:t>
      </w:r>
      <w:r w:rsidR="00AD4960" w:rsidRPr="00FE377A">
        <w:rPr>
          <w:rFonts w:ascii="Arial" w:hAnsi="Arial" w:cs="Arial"/>
          <w:sz w:val="22"/>
          <w:szCs w:val="22"/>
          <w:lang w:val="es-ES_tradnl"/>
        </w:rPr>
        <w:t xml:space="preserve"> las inversiones relativas a la construcción de un nuevo Edificio Terminal de pasajeros y sus instalaciones asociadas, incluida la plataforma comercial y de cargas. La parte privada invierte en las instalaciones que luego explotará y pagará un canon de explotación a la autoridad. (Ministerio de Hacienda)</w:t>
      </w:r>
    </w:p>
    <w:p w:rsidR="00A5514F" w:rsidRPr="00FE377A" w:rsidRDefault="00A5514F" w:rsidP="00FE377A">
      <w:pPr>
        <w:pStyle w:val="Vieta"/>
        <w:numPr>
          <w:ilvl w:val="1"/>
          <w:numId w:val="7"/>
        </w:numPr>
        <w:spacing w:before="120" w:after="120" w:line="240" w:lineRule="auto"/>
        <w:ind w:left="1440" w:hanging="720"/>
        <w:rPr>
          <w:rFonts w:ascii="Arial" w:hAnsi="Arial" w:cs="Arial"/>
          <w:sz w:val="22"/>
          <w:szCs w:val="22"/>
        </w:rPr>
      </w:pPr>
      <w:r w:rsidRPr="00FE377A">
        <w:rPr>
          <w:rFonts w:ascii="Arial" w:hAnsi="Arial" w:cs="Arial"/>
          <w:sz w:val="22"/>
          <w:szCs w:val="22"/>
        </w:rPr>
        <w:t>El Valor Presente Neto de la ampliación de</w:t>
      </w:r>
      <w:r w:rsidR="00FE377A">
        <w:rPr>
          <w:rFonts w:ascii="Arial" w:hAnsi="Arial" w:cs="Arial"/>
          <w:sz w:val="22"/>
          <w:szCs w:val="22"/>
        </w:rPr>
        <w:t xml:space="preserve"> las rutas 2 y 7 asciende a 218 </w:t>
      </w:r>
      <w:r w:rsidRPr="00FE377A">
        <w:rPr>
          <w:rFonts w:ascii="Arial" w:hAnsi="Arial" w:cs="Arial"/>
          <w:sz w:val="22"/>
          <w:szCs w:val="22"/>
        </w:rPr>
        <w:t>millones de dólares</w:t>
      </w:r>
      <w:r w:rsidR="0068304C" w:rsidRPr="00FE377A">
        <w:rPr>
          <w:rFonts w:ascii="Arial" w:hAnsi="Arial" w:cs="Arial"/>
          <w:sz w:val="22"/>
          <w:szCs w:val="22"/>
        </w:rPr>
        <w:t xml:space="preserve"> (Ministerio de Hacienda)</w:t>
      </w:r>
      <w:r w:rsidRPr="00FE377A">
        <w:rPr>
          <w:rFonts w:ascii="Arial" w:hAnsi="Arial" w:cs="Arial"/>
          <w:sz w:val="22"/>
          <w:szCs w:val="22"/>
        </w:rPr>
        <w:t>.</w:t>
      </w:r>
      <w:r w:rsidR="00DF7605" w:rsidRPr="00FE377A">
        <w:rPr>
          <w:rFonts w:ascii="Arial" w:hAnsi="Arial" w:cs="Arial"/>
          <w:sz w:val="22"/>
          <w:szCs w:val="22"/>
        </w:rPr>
        <w:t xml:space="preserve">  </w:t>
      </w:r>
    </w:p>
    <w:p w:rsidR="00DF7605" w:rsidRPr="00FE377A" w:rsidRDefault="00DF7605" w:rsidP="00FE377A">
      <w:pPr>
        <w:pStyle w:val="Vieta"/>
        <w:numPr>
          <w:ilvl w:val="1"/>
          <w:numId w:val="7"/>
        </w:numPr>
        <w:spacing w:before="120" w:after="120" w:line="240" w:lineRule="auto"/>
        <w:ind w:left="1440" w:hanging="720"/>
        <w:rPr>
          <w:rFonts w:ascii="Arial" w:hAnsi="Arial" w:cs="Arial"/>
          <w:sz w:val="22"/>
          <w:szCs w:val="22"/>
        </w:rPr>
      </w:pPr>
      <w:r w:rsidRPr="00FE377A">
        <w:rPr>
          <w:rFonts w:ascii="Arial" w:hAnsi="Arial" w:cs="Arial"/>
          <w:sz w:val="22"/>
          <w:szCs w:val="22"/>
        </w:rPr>
        <w:t xml:space="preserve">Los Valores previamente citados ya consideran la totalidad de los costos necesarios para la </w:t>
      </w:r>
      <w:r w:rsidR="00F8732C" w:rsidRPr="00FE377A">
        <w:rPr>
          <w:rFonts w:ascii="Arial" w:hAnsi="Arial" w:cs="Arial"/>
          <w:sz w:val="22"/>
          <w:szCs w:val="22"/>
        </w:rPr>
        <w:t xml:space="preserve">inversión, </w:t>
      </w:r>
      <w:r w:rsidRPr="00FE377A">
        <w:rPr>
          <w:rFonts w:ascii="Arial" w:hAnsi="Arial" w:cs="Arial"/>
          <w:sz w:val="22"/>
          <w:szCs w:val="22"/>
        </w:rPr>
        <w:t>ejecución e implementación de las obras, por lo que no serán considerados otros costos adicionales en este análisis.</w:t>
      </w:r>
    </w:p>
    <w:p w:rsidR="00046DA5" w:rsidRPr="00FE377A" w:rsidRDefault="001505B0" w:rsidP="00FE377A">
      <w:pPr>
        <w:pStyle w:val="Vieta"/>
        <w:numPr>
          <w:ilvl w:val="1"/>
          <w:numId w:val="7"/>
        </w:numPr>
        <w:spacing w:before="120" w:after="120" w:line="240" w:lineRule="auto"/>
        <w:ind w:left="1440" w:hanging="720"/>
        <w:rPr>
          <w:rFonts w:ascii="Arial" w:hAnsi="Arial" w:cs="Arial"/>
          <w:sz w:val="22"/>
          <w:szCs w:val="22"/>
        </w:rPr>
      </w:pPr>
      <w:r w:rsidRPr="00FE377A">
        <w:rPr>
          <w:rFonts w:ascii="Arial" w:hAnsi="Arial" w:cs="Arial"/>
          <w:sz w:val="22"/>
          <w:szCs w:val="22"/>
        </w:rPr>
        <w:t>L</w:t>
      </w:r>
      <w:r w:rsidR="00046DA5" w:rsidRPr="00FE377A">
        <w:rPr>
          <w:rFonts w:ascii="Arial" w:hAnsi="Arial" w:cs="Arial"/>
          <w:sz w:val="22"/>
          <w:szCs w:val="22"/>
        </w:rPr>
        <w:t xml:space="preserve">a tasa </w:t>
      </w:r>
      <w:r w:rsidR="00164213">
        <w:rPr>
          <w:rFonts w:ascii="Arial" w:hAnsi="Arial" w:cs="Arial"/>
          <w:sz w:val="22"/>
          <w:szCs w:val="22"/>
        </w:rPr>
        <w:t xml:space="preserve">de descuento </w:t>
      </w:r>
      <w:r w:rsidR="00046DA5" w:rsidRPr="00FE377A">
        <w:rPr>
          <w:rFonts w:ascii="Arial" w:hAnsi="Arial" w:cs="Arial"/>
          <w:sz w:val="22"/>
          <w:szCs w:val="22"/>
        </w:rPr>
        <w:t xml:space="preserve">utilizada para el cálculo </w:t>
      </w:r>
      <w:r w:rsidR="0017124E" w:rsidRPr="00FE377A">
        <w:rPr>
          <w:rFonts w:ascii="Arial" w:hAnsi="Arial" w:cs="Arial"/>
          <w:sz w:val="22"/>
          <w:szCs w:val="22"/>
        </w:rPr>
        <w:t xml:space="preserve">del Valor </w:t>
      </w:r>
      <w:r w:rsidR="00164213">
        <w:rPr>
          <w:rFonts w:ascii="Arial" w:hAnsi="Arial" w:cs="Arial"/>
          <w:sz w:val="22"/>
          <w:szCs w:val="22"/>
        </w:rPr>
        <w:t>Actual</w:t>
      </w:r>
      <w:r w:rsidR="00164213" w:rsidRPr="00FE377A">
        <w:rPr>
          <w:rFonts w:ascii="Arial" w:hAnsi="Arial" w:cs="Arial"/>
          <w:sz w:val="22"/>
          <w:szCs w:val="22"/>
        </w:rPr>
        <w:t xml:space="preserve"> </w:t>
      </w:r>
      <w:r w:rsidR="0017124E" w:rsidRPr="00FE377A">
        <w:rPr>
          <w:rFonts w:ascii="Arial" w:hAnsi="Arial" w:cs="Arial"/>
          <w:sz w:val="22"/>
          <w:szCs w:val="22"/>
        </w:rPr>
        <w:t>Neto ha sido</w:t>
      </w:r>
      <w:r w:rsidR="00046DA5" w:rsidRPr="00FE377A">
        <w:rPr>
          <w:rFonts w:ascii="Arial" w:hAnsi="Arial" w:cs="Arial"/>
          <w:sz w:val="22"/>
          <w:szCs w:val="22"/>
        </w:rPr>
        <w:t xml:space="preserve"> </w:t>
      </w:r>
      <w:r w:rsidR="0017124E" w:rsidRPr="00FE377A">
        <w:rPr>
          <w:rFonts w:ascii="Arial" w:hAnsi="Arial" w:cs="Arial"/>
          <w:sz w:val="22"/>
          <w:szCs w:val="22"/>
        </w:rPr>
        <w:t>del 11,4% para el caso de</w:t>
      </w:r>
      <w:r w:rsidR="00832CB9">
        <w:rPr>
          <w:rFonts w:ascii="Arial" w:hAnsi="Arial" w:cs="Arial"/>
          <w:sz w:val="22"/>
          <w:szCs w:val="22"/>
        </w:rPr>
        <w:t>l proyecto de</w:t>
      </w:r>
      <w:r w:rsidR="0017124E" w:rsidRPr="00FE377A">
        <w:rPr>
          <w:rFonts w:ascii="Arial" w:hAnsi="Arial" w:cs="Arial"/>
          <w:sz w:val="22"/>
          <w:szCs w:val="22"/>
        </w:rPr>
        <w:t xml:space="preserve"> carreteras y del 15% para el caso del </w:t>
      </w:r>
      <w:r w:rsidR="00832CB9">
        <w:rPr>
          <w:rFonts w:ascii="Arial" w:hAnsi="Arial" w:cs="Arial"/>
          <w:sz w:val="22"/>
          <w:szCs w:val="22"/>
        </w:rPr>
        <w:t xml:space="preserve">proyecto del </w:t>
      </w:r>
      <w:r w:rsidR="0017124E" w:rsidRPr="00FE377A">
        <w:rPr>
          <w:rFonts w:ascii="Arial" w:hAnsi="Arial" w:cs="Arial"/>
          <w:sz w:val="22"/>
          <w:szCs w:val="22"/>
        </w:rPr>
        <w:t>aeropuerto</w:t>
      </w:r>
      <w:r w:rsidR="00046DA5" w:rsidRPr="00FE377A">
        <w:rPr>
          <w:rFonts w:ascii="Arial" w:hAnsi="Arial" w:cs="Arial"/>
          <w:sz w:val="22"/>
          <w:szCs w:val="22"/>
        </w:rPr>
        <w:t xml:space="preserve">. </w:t>
      </w:r>
      <w:r w:rsidR="00832CB9" w:rsidRPr="00832CB9">
        <w:rPr>
          <w:rFonts w:ascii="Arial" w:hAnsi="Arial" w:cs="Arial"/>
          <w:sz w:val="22"/>
          <w:szCs w:val="22"/>
          <w:lang w:val="es-ES_tradnl"/>
        </w:rPr>
        <w:t xml:space="preserve">Estas </w:t>
      </w:r>
      <w:r w:rsidR="00164213">
        <w:rPr>
          <w:rFonts w:ascii="Arial" w:hAnsi="Arial" w:cs="Arial"/>
          <w:sz w:val="22"/>
          <w:szCs w:val="22"/>
          <w:lang w:val="es-ES_tradnl"/>
        </w:rPr>
        <w:t xml:space="preserve">fueron las </w:t>
      </w:r>
      <w:r w:rsidR="00832CB9" w:rsidRPr="00832CB9">
        <w:rPr>
          <w:rFonts w:ascii="Arial" w:hAnsi="Arial" w:cs="Arial"/>
          <w:sz w:val="22"/>
          <w:szCs w:val="22"/>
          <w:lang w:val="es-ES_tradnl"/>
        </w:rPr>
        <w:t xml:space="preserve">tasas </w:t>
      </w:r>
      <w:r w:rsidR="00164213">
        <w:rPr>
          <w:rFonts w:ascii="Arial" w:hAnsi="Arial" w:cs="Arial"/>
          <w:sz w:val="22"/>
          <w:szCs w:val="22"/>
          <w:lang w:val="es-ES_tradnl"/>
        </w:rPr>
        <w:t>aplicadas</w:t>
      </w:r>
      <w:r w:rsidR="00832CB9">
        <w:rPr>
          <w:rFonts w:ascii="Arial" w:hAnsi="Arial" w:cs="Arial"/>
          <w:sz w:val="22"/>
          <w:szCs w:val="22"/>
          <w:lang w:val="es-ES_tradnl"/>
        </w:rPr>
        <w:t xml:space="preserve"> por las</w:t>
      </w:r>
      <w:r w:rsidR="00832CB9" w:rsidRPr="00832CB9">
        <w:rPr>
          <w:rFonts w:ascii="Arial" w:hAnsi="Arial" w:cs="Arial"/>
          <w:sz w:val="22"/>
          <w:szCs w:val="22"/>
          <w:lang w:val="es-ES_tradnl"/>
        </w:rPr>
        <w:t xml:space="preserve"> firmas consultoras internacionales </w:t>
      </w:r>
      <w:r w:rsidR="00832CB9">
        <w:rPr>
          <w:rFonts w:ascii="Arial" w:hAnsi="Arial" w:cs="Arial"/>
          <w:sz w:val="22"/>
          <w:szCs w:val="22"/>
          <w:lang w:val="es-ES_tradnl"/>
        </w:rPr>
        <w:t>que realizaron</w:t>
      </w:r>
      <w:r w:rsidR="00832CB9" w:rsidRPr="00832CB9">
        <w:rPr>
          <w:rFonts w:ascii="Arial" w:hAnsi="Arial" w:cs="Arial"/>
          <w:sz w:val="22"/>
          <w:szCs w:val="22"/>
          <w:lang w:val="es-ES_tradnl"/>
        </w:rPr>
        <w:t xml:space="preserve"> los estudios utiliz</w:t>
      </w:r>
      <w:r w:rsidR="00832CB9">
        <w:rPr>
          <w:rFonts w:ascii="Arial" w:hAnsi="Arial" w:cs="Arial"/>
          <w:sz w:val="22"/>
          <w:szCs w:val="22"/>
          <w:lang w:val="es-ES_tradnl"/>
        </w:rPr>
        <w:t>ados por el gobierno</w:t>
      </w:r>
      <w:r w:rsidR="00832CB9" w:rsidRPr="00832CB9">
        <w:rPr>
          <w:rFonts w:ascii="Arial" w:hAnsi="Arial" w:cs="Arial"/>
          <w:sz w:val="22"/>
          <w:szCs w:val="22"/>
          <w:lang w:val="es-ES_tradnl"/>
        </w:rPr>
        <w:t xml:space="preserve"> para evaluar los citados proyectos de APP.</w:t>
      </w:r>
    </w:p>
    <w:p w:rsidR="00B84211" w:rsidRPr="00FE377A" w:rsidRDefault="007B3237" w:rsidP="009D4CD2">
      <w:pPr>
        <w:pStyle w:val="Paragraph"/>
        <w:numPr>
          <w:ilvl w:val="1"/>
          <w:numId w:val="1"/>
        </w:numPr>
        <w:ind w:left="720" w:hanging="720"/>
        <w:rPr>
          <w:rFonts w:ascii="Arial" w:hAnsi="Arial" w:cs="Arial"/>
          <w:b/>
          <w:sz w:val="22"/>
          <w:szCs w:val="22"/>
        </w:rPr>
      </w:pPr>
      <w:r w:rsidRPr="00FE377A">
        <w:rPr>
          <w:rFonts w:ascii="Arial" w:hAnsi="Arial" w:cs="Arial"/>
          <w:b/>
          <w:sz w:val="22"/>
          <w:szCs w:val="22"/>
        </w:rPr>
        <w:t>Cálculos</w:t>
      </w:r>
    </w:p>
    <w:p w:rsidR="00FA270E" w:rsidRPr="00FE377A" w:rsidRDefault="00BC16A5" w:rsidP="00FE377A">
      <w:pPr>
        <w:pStyle w:val="Paragraph"/>
        <w:numPr>
          <w:ilvl w:val="1"/>
          <w:numId w:val="1"/>
        </w:numPr>
        <w:ind w:left="720" w:hanging="720"/>
        <w:rPr>
          <w:rFonts w:ascii="Arial" w:hAnsi="Arial" w:cs="Arial"/>
          <w:kern w:val="28"/>
          <w:sz w:val="22"/>
          <w:szCs w:val="22"/>
        </w:rPr>
      </w:pPr>
      <w:r w:rsidRPr="00FE377A">
        <w:rPr>
          <w:rFonts w:ascii="Arial" w:hAnsi="Arial" w:cs="Arial"/>
          <w:kern w:val="28"/>
          <w:sz w:val="22"/>
          <w:szCs w:val="22"/>
        </w:rPr>
        <w:t>Dado que en estos casos ha sido estimado el VPN de ambos proyectos, el único cálculo necesario es su agregación</w:t>
      </w:r>
      <w:r w:rsidR="007B3237" w:rsidRPr="00FE377A">
        <w:rPr>
          <w:rFonts w:ascii="Arial" w:hAnsi="Arial" w:cs="Arial"/>
          <w:kern w:val="28"/>
          <w:sz w:val="22"/>
          <w:szCs w:val="22"/>
        </w:rPr>
        <w:t>:</w:t>
      </w:r>
    </w:p>
    <w:p w:rsidR="00B84211" w:rsidRPr="00FE377A" w:rsidRDefault="00D85F54" w:rsidP="009D4CD2">
      <w:pPr>
        <w:spacing w:before="120" w:after="120" w:line="240" w:lineRule="auto"/>
        <w:ind w:left="567" w:hanging="567"/>
        <w:jc w:val="both"/>
        <w:rPr>
          <w:rFonts w:ascii="Arial" w:hAnsi="Arial" w:cs="Arial"/>
          <w:kern w:val="28"/>
          <w:lang w:val="es-ES"/>
        </w:rPr>
      </w:pPr>
      <m:oMathPara>
        <m:oMath>
          <m:sSub>
            <m:sSubPr>
              <m:ctrlPr>
                <w:rPr>
                  <w:rFonts w:ascii="Cambria Math" w:hAnsi="Cambria Math" w:cs="Arial"/>
                  <w:i/>
                  <w:kern w:val="28"/>
                  <w:lang w:val="es-ES"/>
                </w:rPr>
              </m:ctrlPr>
            </m:sSubPr>
            <m:e>
              <m:r>
                <w:rPr>
                  <w:rFonts w:ascii="Cambria Math" w:hAnsi="Cambria Math" w:cs="Arial"/>
                  <w:kern w:val="28"/>
                  <w:lang w:val="es-ES"/>
                </w:rPr>
                <m:t>B</m:t>
              </m:r>
            </m:e>
            <m:sub>
              <m:r>
                <w:rPr>
                  <w:rFonts w:ascii="Cambria Math" w:hAnsi="Cambria Math" w:cs="Arial"/>
                  <w:kern w:val="28"/>
                  <w:lang w:val="es-ES"/>
                </w:rPr>
                <m:t>1</m:t>
              </m:r>
            </m:sub>
          </m:sSub>
          <m:r>
            <w:rPr>
              <w:rFonts w:ascii="Cambria Math" w:hAnsi="Cambria Math" w:cs="Arial"/>
              <w:kern w:val="28"/>
              <w:lang w:val="es-ES"/>
            </w:rPr>
            <m:t>=</m:t>
          </m:r>
          <m:nary>
            <m:naryPr>
              <m:chr m:val="∑"/>
              <m:limLoc m:val="undOvr"/>
              <m:ctrlPr>
                <w:rPr>
                  <w:rFonts w:ascii="Cambria Math" w:hAnsi="Cambria Math" w:cs="Arial"/>
                  <w:i/>
                  <w:kern w:val="28"/>
                  <w:lang w:val="es-ES"/>
                </w:rPr>
              </m:ctrlPr>
            </m:naryPr>
            <m:sub>
              <m:r>
                <w:rPr>
                  <w:rFonts w:ascii="Cambria Math" w:hAnsi="Cambria Math" w:cs="Arial"/>
                  <w:kern w:val="28"/>
                  <w:lang w:val="es-ES"/>
                </w:rPr>
                <m:t>i=1</m:t>
              </m:r>
            </m:sub>
            <m:sup>
              <m:r>
                <w:rPr>
                  <w:rFonts w:ascii="Cambria Math" w:hAnsi="Cambria Math" w:cs="Arial"/>
                  <w:kern w:val="28"/>
                  <w:lang w:val="es-ES"/>
                </w:rPr>
                <m:t>2</m:t>
              </m:r>
            </m:sup>
            <m:e>
              <m:sSub>
                <m:sSubPr>
                  <m:ctrlPr>
                    <w:rPr>
                      <w:rFonts w:ascii="Cambria Math" w:hAnsi="Cambria Math" w:cs="Arial"/>
                      <w:i/>
                      <w:kern w:val="28"/>
                      <w:lang w:val="es-ES"/>
                    </w:rPr>
                  </m:ctrlPr>
                </m:sSubPr>
                <m:e>
                  <m:r>
                    <w:rPr>
                      <w:rFonts w:ascii="Cambria Math" w:hAnsi="Cambria Math" w:cs="Arial"/>
                      <w:kern w:val="28"/>
                      <w:lang w:val="es-ES"/>
                    </w:rPr>
                    <m:t>B</m:t>
                  </m:r>
                </m:e>
                <m:sub>
                  <m:r>
                    <w:rPr>
                      <w:rFonts w:ascii="Cambria Math" w:hAnsi="Cambria Math" w:cs="Arial"/>
                      <w:kern w:val="28"/>
                      <w:lang w:val="es-ES"/>
                    </w:rPr>
                    <m:t>1i</m:t>
                  </m:r>
                </m:sub>
              </m:sSub>
            </m:e>
          </m:nary>
        </m:oMath>
      </m:oMathPara>
    </w:p>
    <w:p w:rsidR="00D519B7" w:rsidRPr="00FE377A" w:rsidRDefault="00FD764A" w:rsidP="009D4CD2">
      <w:pPr>
        <w:pStyle w:val="Paragraph"/>
        <w:numPr>
          <w:ilvl w:val="0"/>
          <w:numId w:val="0"/>
        </w:numPr>
        <w:ind w:left="567" w:hanging="567"/>
        <w:rPr>
          <w:rFonts w:ascii="Arial" w:hAnsi="Arial" w:cs="Arial"/>
          <w:kern w:val="28"/>
          <w:sz w:val="22"/>
          <w:szCs w:val="22"/>
        </w:rPr>
      </w:pPr>
      <w:r w:rsidRPr="00FE377A">
        <w:rPr>
          <w:rFonts w:ascii="Arial" w:hAnsi="Arial" w:cs="Arial"/>
          <w:kern w:val="28"/>
          <w:sz w:val="22"/>
          <w:szCs w:val="22"/>
        </w:rPr>
        <w:tab/>
      </w:r>
      <w:r w:rsidR="00BD67E6" w:rsidRPr="00FE377A">
        <w:rPr>
          <w:rFonts w:ascii="Arial" w:hAnsi="Arial" w:cs="Arial"/>
          <w:kern w:val="28"/>
          <w:sz w:val="22"/>
          <w:szCs w:val="22"/>
        </w:rPr>
        <w:t>donde</w:t>
      </w:r>
      <m:oMath>
        <m:r>
          <w:rPr>
            <w:rFonts w:ascii="Cambria Math" w:hAnsi="Cambria Math" w:cs="Arial"/>
            <w:kern w:val="28"/>
            <w:sz w:val="22"/>
            <w:szCs w:val="22"/>
          </w:rPr>
          <m:t xml:space="preserve"> 1</m:t>
        </m:r>
      </m:oMath>
      <w:r w:rsidR="007B3237" w:rsidRPr="00FE377A">
        <w:rPr>
          <w:rFonts w:ascii="Arial" w:hAnsi="Arial" w:cs="Arial"/>
          <w:kern w:val="28"/>
          <w:sz w:val="22"/>
          <w:szCs w:val="22"/>
        </w:rPr>
        <w:t xml:space="preserve"> indica el </w:t>
      </w:r>
      <w:r w:rsidR="00382805" w:rsidRPr="00FE377A">
        <w:rPr>
          <w:rFonts w:ascii="Arial" w:hAnsi="Arial" w:cs="Arial"/>
          <w:kern w:val="28"/>
          <w:sz w:val="22"/>
          <w:szCs w:val="22"/>
        </w:rPr>
        <w:t>tipo de beneficio, e i corresponde al proyecto, asignando 1 a la construcción del aeropuerto, y 2 a la ampliación de las carreteras</w:t>
      </w:r>
      <w:r w:rsidR="007B3237" w:rsidRPr="00FE377A">
        <w:rPr>
          <w:rFonts w:ascii="Arial" w:hAnsi="Arial" w:cs="Arial"/>
          <w:kern w:val="28"/>
          <w:sz w:val="22"/>
          <w:szCs w:val="22"/>
        </w:rPr>
        <w:t xml:space="preserve">. </w:t>
      </w:r>
    </w:p>
    <w:tbl>
      <w:tblPr>
        <w:tblW w:w="8505" w:type="dxa"/>
        <w:tblInd w:w="675" w:type="dxa"/>
        <w:tblLayout w:type="fixed"/>
        <w:tblLook w:val="04A0" w:firstRow="1" w:lastRow="0" w:firstColumn="1" w:lastColumn="0" w:noHBand="0" w:noVBand="1"/>
      </w:tblPr>
      <w:tblGrid>
        <w:gridCol w:w="284"/>
        <w:gridCol w:w="3969"/>
        <w:gridCol w:w="1559"/>
        <w:gridCol w:w="2693"/>
      </w:tblGrid>
      <w:tr w:rsidR="007B3237" w:rsidRPr="001D03BD" w:rsidTr="00DB6A84">
        <w:trPr>
          <w:trHeight w:val="280"/>
        </w:trPr>
        <w:tc>
          <w:tcPr>
            <w:tcW w:w="8505" w:type="dxa"/>
            <w:gridSpan w:val="4"/>
            <w:tcBorders>
              <w:top w:val="nil"/>
              <w:left w:val="nil"/>
              <w:bottom w:val="single" w:sz="4" w:space="0" w:color="auto"/>
              <w:right w:val="nil"/>
            </w:tcBorders>
            <w:shd w:val="clear" w:color="auto" w:fill="auto"/>
            <w:noWrap/>
            <w:vAlign w:val="bottom"/>
            <w:hideMark/>
          </w:tcPr>
          <w:p w:rsidR="00B84211" w:rsidRPr="00FE377A" w:rsidRDefault="007B3237" w:rsidP="00FE377A">
            <w:pPr>
              <w:pStyle w:val="TituloTabla"/>
              <w:rPr>
                <w:rFonts w:ascii="Arial" w:hAnsi="Arial" w:cs="Arial"/>
                <w:sz w:val="20"/>
                <w:szCs w:val="20"/>
              </w:rPr>
            </w:pPr>
            <w:r w:rsidRPr="00FE377A">
              <w:rPr>
                <w:rFonts w:ascii="Arial" w:hAnsi="Arial" w:cs="Arial"/>
                <w:sz w:val="20"/>
                <w:szCs w:val="20"/>
              </w:rPr>
              <w:t>Tabla 1. Cálculo del valor monetario en USD de los beneficios</w:t>
            </w:r>
            <w:r w:rsidR="00CA176C" w:rsidRPr="00FE377A">
              <w:rPr>
                <w:rFonts w:ascii="Arial" w:hAnsi="Arial" w:cs="Arial"/>
                <w:sz w:val="20"/>
                <w:szCs w:val="20"/>
              </w:rPr>
              <w:t xml:space="preserve"> anuales</w:t>
            </w:r>
            <w:r w:rsidRPr="00FE377A">
              <w:rPr>
                <w:rFonts w:ascii="Arial" w:hAnsi="Arial" w:cs="Arial"/>
                <w:sz w:val="20"/>
                <w:szCs w:val="20"/>
              </w:rPr>
              <w:t xml:space="preserve"> </w:t>
            </w:r>
            <w:r w:rsidR="00D519B7" w:rsidRPr="00FE377A">
              <w:rPr>
                <w:rFonts w:ascii="Arial" w:hAnsi="Arial" w:cs="Arial"/>
                <w:sz w:val="20"/>
                <w:szCs w:val="20"/>
              </w:rPr>
              <w:t xml:space="preserve">correspondientes a </w:t>
            </w:r>
            <w:r w:rsidR="00403022" w:rsidRPr="00FE377A">
              <w:rPr>
                <w:rFonts w:ascii="Arial" w:hAnsi="Arial" w:cs="Arial"/>
                <w:sz w:val="20"/>
                <w:szCs w:val="20"/>
              </w:rPr>
              <w:t>la implementación de la Ley de APP</w:t>
            </w:r>
            <w:r w:rsidR="0068304C" w:rsidRPr="00FE377A">
              <w:rPr>
                <w:rFonts w:ascii="Arial" w:hAnsi="Arial" w:cs="Arial"/>
                <w:sz w:val="20"/>
                <w:szCs w:val="20"/>
              </w:rPr>
              <w:t xml:space="preserve"> año 2017</w:t>
            </w:r>
          </w:p>
        </w:tc>
      </w:tr>
      <w:tr w:rsidR="007B3237" w:rsidRPr="00FE377A" w:rsidTr="008E207D">
        <w:trPr>
          <w:trHeight w:val="280"/>
        </w:trPr>
        <w:tc>
          <w:tcPr>
            <w:tcW w:w="284" w:type="dxa"/>
            <w:tcBorders>
              <w:top w:val="nil"/>
              <w:left w:val="nil"/>
              <w:bottom w:val="nil"/>
              <w:right w:val="nil"/>
            </w:tcBorders>
            <w:shd w:val="clear" w:color="auto" w:fill="auto"/>
            <w:noWrap/>
            <w:vAlign w:val="center"/>
            <w:hideMark/>
          </w:tcPr>
          <w:p w:rsidR="00B84211" w:rsidRPr="00FE377A" w:rsidRDefault="007B3237" w:rsidP="00FE377A">
            <w:pPr>
              <w:spacing w:after="0" w:line="240" w:lineRule="auto"/>
              <w:ind w:left="567" w:hanging="567"/>
              <w:jc w:val="right"/>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1</w:t>
            </w:r>
          </w:p>
        </w:tc>
        <w:tc>
          <w:tcPr>
            <w:tcW w:w="3969" w:type="dxa"/>
            <w:tcBorders>
              <w:top w:val="nil"/>
              <w:left w:val="nil"/>
              <w:bottom w:val="nil"/>
              <w:right w:val="single" w:sz="4" w:space="0" w:color="auto"/>
            </w:tcBorders>
            <w:shd w:val="clear" w:color="auto" w:fill="auto"/>
            <w:noWrap/>
            <w:vAlign w:val="center"/>
          </w:tcPr>
          <w:p w:rsidR="00B84211" w:rsidRPr="00FE377A" w:rsidRDefault="008E207D" w:rsidP="00FE377A">
            <w:pPr>
              <w:spacing w:after="0" w:line="240" w:lineRule="auto"/>
              <w:ind w:left="567" w:hanging="567"/>
              <w:rPr>
                <w:rFonts w:ascii="Arial" w:eastAsia="Times New Roman" w:hAnsi="Arial" w:cs="Arial"/>
                <w:b/>
                <w:bCs/>
                <w:color w:val="000000"/>
                <w:sz w:val="20"/>
                <w:szCs w:val="20"/>
                <w:lang w:val="es-ES"/>
              </w:rPr>
            </w:pPr>
            <w:r w:rsidRPr="00FE377A">
              <w:rPr>
                <w:rFonts w:ascii="Arial" w:eastAsia="Times New Roman" w:hAnsi="Arial" w:cs="Arial"/>
                <w:color w:val="000000"/>
                <w:sz w:val="20"/>
                <w:szCs w:val="20"/>
                <w:lang w:val="es-ES"/>
              </w:rPr>
              <w:t>Valor Presente Neto Terminal de Aeropuerto Silvio Petirossi USD</w:t>
            </w:r>
          </w:p>
        </w:tc>
        <w:tc>
          <w:tcPr>
            <w:tcW w:w="1559" w:type="dxa"/>
            <w:tcBorders>
              <w:top w:val="nil"/>
              <w:left w:val="nil"/>
              <w:bottom w:val="nil"/>
              <w:right w:val="single" w:sz="4" w:space="0" w:color="auto"/>
            </w:tcBorders>
            <w:shd w:val="clear" w:color="auto" w:fill="auto"/>
            <w:noWrap/>
            <w:vAlign w:val="center"/>
            <w:hideMark/>
          </w:tcPr>
          <w:p w:rsidR="00B84211" w:rsidRPr="00FE377A" w:rsidRDefault="008E207D" w:rsidP="00FE377A">
            <w:pPr>
              <w:spacing w:after="0" w:line="240" w:lineRule="auto"/>
              <w:ind w:left="567" w:hanging="567"/>
              <w:jc w:val="right"/>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7</w:t>
            </w:r>
            <w:r w:rsidR="009619E9" w:rsidRPr="00FE377A">
              <w:rPr>
                <w:rFonts w:ascii="Arial" w:eastAsia="Times New Roman" w:hAnsi="Arial" w:cs="Arial"/>
                <w:color w:val="000000"/>
                <w:sz w:val="20"/>
                <w:szCs w:val="20"/>
                <w:lang w:val="es-ES"/>
              </w:rPr>
              <w:t>.</w:t>
            </w:r>
            <w:r w:rsidRPr="00FE377A">
              <w:rPr>
                <w:rFonts w:ascii="Arial" w:eastAsia="Times New Roman" w:hAnsi="Arial" w:cs="Arial"/>
                <w:color w:val="000000"/>
                <w:sz w:val="20"/>
                <w:szCs w:val="20"/>
                <w:lang w:val="es-ES"/>
              </w:rPr>
              <w:t>6</w:t>
            </w:r>
            <w:r w:rsidR="009619E9" w:rsidRPr="00FE377A">
              <w:rPr>
                <w:rFonts w:ascii="Arial" w:eastAsia="Times New Roman" w:hAnsi="Arial" w:cs="Arial"/>
                <w:color w:val="000000"/>
                <w:sz w:val="20"/>
                <w:szCs w:val="20"/>
                <w:lang w:val="es-ES"/>
              </w:rPr>
              <w:t>00.000</w:t>
            </w:r>
          </w:p>
        </w:tc>
        <w:tc>
          <w:tcPr>
            <w:tcW w:w="2693" w:type="dxa"/>
            <w:tcBorders>
              <w:top w:val="nil"/>
              <w:left w:val="nil"/>
              <w:bottom w:val="nil"/>
              <w:right w:val="nil"/>
            </w:tcBorders>
            <w:shd w:val="clear" w:color="auto" w:fill="auto"/>
            <w:noWrap/>
            <w:vAlign w:val="center"/>
            <w:hideMark/>
          </w:tcPr>
          <w:p w:rsidR="00B84211" w:rsidRPr="00FE377A" w:rsidRDefault="00CC472D" w:rsidP="00FE377A">
            <w:pPr>
              <w:pStyle w:val="Entabla"/>
              <w:rPr>
                <w:rFonts w:ascii="Arial" w:hAnsi="Arial" w:cs="Arial"/>
                <w:sz w:val="20"/>
                <w:szCs w:val="20"/>
              </w:rPr>
            </w:pPr>
            <w:r w:rsidRPr="00FE377A">
              <w:rPr>
                <w:rFonts w:ascii="Arial" w:hAnsi="Arial" w:cs="Arial"/>
                <w:sz w:val="20"/>
                <w:szCs w:val="20"/>
              </w:rPr>
              <w:t>Ministerio de Hacienda</w:t>
            </w:r>
          </w:p>
        </w:tc>
      </w:tr>
      <w:tr w:rsidR="007B3237" w:rsidRPr="00FE377A" w:rsidTr="008E207D">
        <w:trPr>
          <w:trHeight w:val="280"/>
        </w:trPr>
        <w:tc>
          <w:tcPr>
            <w:tcW w:w="284" w:type="dxa"/>
            <w:tcBorders>
              <w:top w:val="nil"/>
              <w:left w:val="nil"/>
              <w:bottom w:val="nil"/>
              <w:right w:val="nil"/>
            </w:tcBorders>
            <w:shd w:val="clear" w:color="auto" w:fill="auto"/>
            <w:noWrap/>
            <w:vAlign w:val="center"/>
            <w:hideMark/>
          </w:tcPr>
          <w:p w:rsidR="00B84211" w:rsidRPr="00FE377A" w:rsidRDefault="007B3237" w:rsidP="00FE377A">
            <w:pPr>
              <w:spacing w:after="0" w:line="240" w:lineRule="auto"/>
              <w:ind w:left="567" w:hanging="567"/>
              <w:jc w:val="right"/>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2</w:t>
            </w:r>
          </w:p>
        </w:tc>
        <w:tc>
          <w:tcPr>
            <w:tcW w:w="3969" w:type="dxa"/>
            <w:tcBorders>
              <w:top w:val="nil"/>
              <w:left w:val="nil"/>
              <w:bottom w:val="nil"/>
              <w:right w:val="single" w:sz="4" w:space="0" w:color="auto"/>
            </w:tcBorders>
            <w:shd w:val="clear" w:color="auto" w:fill="auto"/>
            <w:noWrap/>
            <w:vAlign w:val="center"/>
            <w:hideMark/>
          </w:tcPr>
          <w:p w:rsidR="00B84211" w:rsidRPr="00FE377A" w:rsidRDefault="008E207D" w:rsidP="00FE377A">
            <w:pPr>
              <w:spacing w:after="0" w:line="240" w:lineRule="auto"/>
              <w:ind w:left="567" w:hanging="567"/>
              <w:rPr>
                <w:rFonts w:ascii="Arial" w:eastAsia="Times New Roman" w:hAnsi="Arial" w:cs="Arial"/>
                <w:b/>
                <w:bCs/>
                <w:color w:val="000000"/>
                <w:sz w:val="20"/>
                <w:szCs w:val="20"/>
                <w:lang w:val="es-ES"/>
              </w:rPr>
            </w:pPr>
            <w:r w:rsidRPr="00FE377A">
              <w:rPr>
                <w:rFonts w:ascii="Arial" w:eastAsia="Times New Roman" w:hAnsi="Arial" w:cs="Arial"/>
                <w:color w:val="000000"/>
                <w:sz w:val="20"/>
                <w:szCs w:val="20"/>
                <w:lang w:val="es-ES"/>
              </w:rPr>
              <w:t>Valor Presente Neto Ampliación de Rutas 2 y 7 USD</w:t>
            </w:r>
          </w:p>
        </w:tc>
        <w:tc>
          <w:tcPr>
            <w:tcW w:w="1559" w:type="dxa"/>
            <w:tcBorders>
              <w:top w:val="nil"/>
              <w:left w:val="nil"/>
              <w:bottom w:val="nil"/>
              <w:right w:val="single" w:sz="4" w:space="0" w:color="auto"/>
            </w:tcBorders>
            <w:shd w:val="clear" w:color="auto" w:fill="auto"/>
            <w:noWrap/>
            <w:vAlign w:val="center"/>
            <w:hideMark/>
          </w:tcPr>
          <w:p w:rsidR="00B84211" w:rsidRPr="00FE377A" w:rsidRDefault="008E207D" w:rsidP="00FE377A">
            <w:pPr>
              <w:spacing w:after="0" w:line="240" w:lineRule="auto"/>
              <w:ind w:left="567" w:hanging="567"/>
              <w:jc w:val="right"/>
              <w:rPr>
                <w:rFonts w:ascii="Arial" w:eastAsia="Times New Roman" w:hAnsi="Arial" w:cs="Arial"/>
                <w:b/>
                <w:bCs/>
                <w:color w:val="000000"/>
                <w:sz w:val="20"/>
                <w:szCs w:val="20"/>
                <w:lang w:val="es-ES"/>
              </w:rPr>
            </w:pPr>
            <w:r w:rsidRPr="00FE377A">
              <w:rPr>
                <w:rFonts w:ascii="Arial" w:eastAsia="Times New Roman" w:hAnsi="Arial" w:cs="Arial"/>
                <w:color w:val="000000"/>
                <w:sz w:val="20"/>
                <w:szCs w:val="20"/>
                <w:lang w:val="es-ES"/>
              </w:rPr>
              <w:t>218.000.000</w:t>
            </w:r>
          </w:p>
        </w:tc>
        <w:tc>
          <w:tcPr>
            <w:tcW w:w="2693" w:type="dxa"/>
            <w:tcBorders>
              <w:top w:val="nil"/>
              <w:left w:val="nil"/>
              <w:bottom w:val="nil"/>
              <w:right w:val="nil"/>
            </w:tcBorders>
            <w:shd w:val="clear" w:color="auto" w:fill="auto"/>
            <w:noWrap/>
            <w:vAlign w:val="center"/>
            <w:hideMark/>
          </w:tcPr>
          <w:p w:rsidR="00B84211" w:rsidRPr="00FE377A" w:rsidRDefault="00CC472D" w:rsidP="00FE377A">
            <w:pPr>
              <w:pStyle w:val="Entabla"/>
              <w:rPr>
                <w:rFonts w:ascii="Arial" w:hAnsi="Arial" w:cs="Arial"/>
                <w:b/>
                <w:bCs/>
                <w:sz w:val="20"/>
                <w:szCs w:val="20"/>
              </w:rPr>
            </w:pPr>
            <w:r w:rsidRPr="00FE377A">
              <w:rPr>
                <w:rFonts w:ascii="Arial" w:hAnsi="Arial" w:cs="Arial"/>
                <w:sz w:val="20"/>
                <w:szCs w:val="20"/>
              </w:rPr>
              <w:t>Ministerio de Hacienda</w:t>
            </w:r>
          </w:p>
        </w:tc>
      </w:tr>
      <w:tr w:rsidR="007B3237" w:rsidRPr="00FE377A" w:rsidTr="008E207D">
        <w:trPr>
          <w:trHeight w:val="280"/>
        </w:trPr>
        <w:tc>
          <w:tcPr>
            <w:tcW w:w="284" w:type="dxa"/>
            <w:tcBorders>
              <w:top w:val="nil"/>
              <w:left w:val="nil"/>
              <w:bottom w:val="nil"/>
              <w:right w:val="nil"/>
            </w:tcBorders>
            <w:shd w:val="clear" w:color="auto" w:fill="auto"/>
            <w:noWrap/>
            <w:hideMark/>
          </w:tcPr>
          <w:p w:rsidR="00B84211" w:rsidRPr="00FE377A" w:rsidRDefault="00431689" w:rsidP="00FE377A">
            <w:pPr>
              <w:spacing w:after="0" w:line="240" w:lineRule="auto"/>
              <w:ind w:left="567" w:hanging="567"/>
              <w:jc w:val="right"/>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lastRenderedPageBreak/>
              <w:t>3</w:t>
            </w:r>
          </w:p>
        </w:tc>
        <w:tc>
          <w:tcPr>
            <w:tcW w:w="3969" w:type="dxa"/>
            <w:tcBorders>
              <w:top w:val="nil"/>
              <w:left w:val="nil"/>
              <w:bottom w:val="nil"/>
              <w:right w:val="single" w:sz="4" w:space="0" w:color="auto"/>
            </w:tcBorders>
            <w:shd w:val="clear" w:color="auto" w:fill="auto"/>
            <w:noWrap/>
            <w:vAlign w:val="bottom"/>
            <w:hideMark/>
          </w:tcPr>
          <w:p w:rsidR="00B84211" w:rsidRPr="00FE377A" w:rsidRDefault="008E207D" w:rsidP="00FE377A">
            <w:pPr>
              <w:spacing w:after="0" w:line="240" w:lineRule="auto"/>
              <w:ind w:left="567" w:hanging="567"/>
              <w:rPr>
                <w:rFonts w:ascii="Arial" w:eastAsia="Times New Roman" w:hAnsi="Arial" w:cs="Arial"/>
                <w:b/>
                <w:bCs/>
                <w:color w:val="000000"/>
                <w:sz w:val="20"/>
                <w:szCs w:val="20"/>
                <w:lang w:val="es-ES"/>
              </w:rPr>
            </w:pPr>
            <w:r w:rsidRPr="00FE377A">
              <w:rPr>
                <w:rFonts w:ascii="Arial" w:eastAsia="Times New Roman" w:hAnsi="Arial" w:cs="Arial"/>
                <w:color w:val="000000"/>
                <w:sz w:val="20"/>
                <w:szCs w:val="20"/>
                <w:lang w:val="es-ES"/>
              </w:rPr>
              <w:t>Beneficios Totales 1 USD</w:t>
            </w:r>
          </w:p>
        </w:tc>
        <w:tc>
          <w:tcPr>
            <w:tcW w:w="1559" w:type="dxa"/>
            <w:tcBorders>
              <w:top w:val="nil"/>
              <w:left w:val="nil"/>
              <w:bottom w:val="nil"/>
              <w:right w:val="single" w:sz="4" w:space="0" w:color="auto"/>
            </w:tcBorders>
            <w:shd w:val="clear" w:color="auto" w:fill="auto"/>
            <w:noWrap/>
            <w:vAlign w:val="center"/>
            <w:hideMark/>
          </w:tcPr>
          <w:p w:rsidR="00B84211" w:rsidRPr="00FE377A" w:rsidRDefault="008E207D" w:rsidP="00FE377A">
            <w:pPr>
              <w:spacing w:after="0" w:line="240" w:lineRule="auto"/>
              <w:ind w:left="567" w:hanging="567"/>
              <w:jc w:val="right"/>
              <w:rPr>
                <w:rFonts w:ascii="Arial" w:eastAsia="Times New Roman" w:hAnsi="Arial" w:cs="Arial"/>
                <w:b/>
                <w:bCs/>
                <w:color w:val="000000"/>
                <w:sz w:val="20"/>
                <w:szCs w:val="20"/>
                <w:lang w:val="es-ES"/>
              </w:rPr>
            </w:pPr>
            <w:r w:rsidRPr="00FE377A">
              <w:rPr>
                <w:rFonts w:ascii="Arial" w:eastAsia="Times New Roman" w:hAnsi="Arial" w:cs="Arial"/>
                <w:color w:val="000000"/>
                <w:sz w:val="20"/>
                <w:szCs w:val="20"/>
                <w:lang w:val="es-ES"/>
              </w:rPr>
              <w:t>225.600.000</w:t>
            </w:r>
          </w:p>
        </w:tc>
        <w:tc>
          <w:tcPr>
            <w:tcW w:w="2693" w:type="dxa"/>
            <w:tcBorders>
              <w:top w:val="nil"/>
              <w:left w:val="nil"/>
              <w:bottom w:val="nil"/>
              <w:right w:val="nil"/>
            </w:tcBorders>
            <w:shd w:val="clear" w:color="auto" w:fill="auto"/>
            <w:noWrap/>
            <w:vAlign w:val="center"/>
            <w:hideMark/>
          </w:tcPr>
          <w:p w:rsidR="00B84211" w:rsidRPr="00FE377A" w:rsidRDefault="008E207D" w:rsidP="00FE377A">
            <w:pPr>
              <w:spacing w:after="0" w:line="240" w:lineRule="auto"/>
              <w:ind w:left="567" w:hanging="567"/>
              <w:rPr>
                <w:rFonts w:ascii="Arial" w:eastAsia="Times New Roman" w:hAnsi="Arial" w:cs="Arial"/>
                <w:b/>
                <w:bCs/>
                <w:color w:val="000000"/>
                <w:sz w:val="20"/>
                <w:szCs w:val="20"/>
                <w:lang w:val="es-ES"/>
              </w:rPr>
            </w:pPr>
            <w:r w:rsidRPr="00FE377A">
              <w:rPr>
                <w:rFonts w:ascii="Arial" w:eastAsia="Times New Roman" w:hAnsi="Arial" w:cs="Arial"/>
                <w:color w:val="000000"/>
                <w:sz w:val="20"/>
                <w:szCs w:val="20"/>
                <w:lang w:val="es-ES"/>
              </w:rPr>
              <w:t>(1)+(2)</w:t>
            </w:r>
          </w:p>
        </w:tc>
      </w:tr>
    </w:tbl>
    <w:p w:rsidR="003855D2" w:rsidRPr="00FE377A" w:rsidRDefault="003855D2" w:rsidP="009D4CD2">
      <w:pPr>
        <w:pStyle w:val="Paragraph"/>
        <w:numPr>
          <w:ilvl w:val="0"/>
          <w:numId w:val="0"/>
        </w:numPr>
        <w:rPr>
          <w:rFonts w:ascii="Arial" w:hAnsi="Arial" w:cs="Arial"/>
          <w:sz w:val="22"/>
          <w:szCs w:val="22"/>
        </w:rPr>
      </w:pPr>
    </w:p>
    <w:p w:rsidR="00045A4C" w:rsidRPr="00FE377A" w:rsidRDefault="00045A4C" w:rsidP="009D4CD2">
      <w:pPr>
        <w:pStyle w:val="Paragraph"/>
        <w:numPr>
          <w:ilvl w:val="1"/>
          <w:numId w:val="1"/>
        </w:numPr>
        <w:ind w:left="720" w:hanging="720"/>
        <w:rPr>
          <w:rFonts w:ascii="Arial" w:hAnsi="Arial" w:cs="Arial"/>
          <w:b/>
          <w:sz w:val="22"/>
          <w:szCs w:val="22"/>
          <w:lang w:val="es-AR"/>
        </w:rPr>
      </w:pPr>
      <w:r w:rsidRPr="00FE377A">
        <w:rPr>
          <w:rFonts w:ascii="Arial" w:hAnsi="Arial" w:cs="Arial"/>
          <w:b/>
          <w:sz w:val="22"/>
          <w:szCs w:val="22"/>
          <w:lang w:val="es-AR"/>
        </w:rPr>
        <w:t xml:space="preserve">Beneficios esperados </w:t>
      </w:r>
      <w:r w:rsidR="00290ED1" w:rsidRPr="00FE377A">
        <w:rPr>
          <w:rFonts w:ascii="Arial" w:hAnsi="Arial" w:cs="Arial"/>
          <w:b/>
          <w:sz w:val="22"/>
          <w:szCs w:val="22"/>
          <w:lang w:val="es-AR"/>
        </w:rPr>
        <w:t>2</w:t>
      </w:r>
      <w:r w:rsidRPr="00FE377A">
        <w:rPr>
          <w:rFonts w:ascii="Arial" w:hAnsi="Arial" w:cs="Arial"/>
          <w:b/>
          <w:sz w:val="22"/>
          <w:szCs w:val="22"/>
          <w:lang w:val="es-AR"/>
        </w:rPr>
        <w:t xml:space="preserve"> </w:t>
      </w:r>
      <w:r w:rsidR="00290ED1" w:rsidRPr="00FE377A">
        <w:rPr>
          <w:rFonts w:ascii="Arial" w:hAnsi="Arial" w:cs="Arial"/>
          <w:b/>
          <w:sz w:val="22"/>
          <w:szCs w:val="22"/>
          <w:lang w:val="es-AR"/>
        </w:rPr>
        <w:t xml:space="preserve">– </w:t>
      </w:r>
      <w:r w:rsidR="00CC472D" w:rsidRPr="00FE377A">
        <w:rPr>
          <w:rFonts w:ascii="Arial" w:hAnsi="Arial" w:cs="Arial"/>
          <w:b/>
          <w:sz w:val="22"/>
          <w:szCs w:val="22"/>
          <w:lang w:val="es-AR"/>
        </w:rPr>
        <w:t>Fortalecimiento de etapa de pre inversión</w:t>
      </w:r>
      <w:r w:rsidRPr="00FE377A">
        <w:rPr>
          <w:rFonts w:ascii="Arial" w:hAnsi="Arial" w:cs="Arial"/>
          <w:b/>
          <w:sz w:val="22"/>
          <w:szCs w:val="22"/>
          <w:lang w:val="es-AR"/>
        </w:rPr>
        <w:t xml:space="preserve">. </w:t>
      </w:r>
    </w:p>
    <w:p w:rsidR="00045A4C" w:rsidRPr="00FE377A" w:rsidRDefault="00290ED1" w:rsidP="00FE377A">
      <w:pPr>
        <w:pStyle w:val="Vieta"/>
        <w:numPr>
          <w:ilvl w:val="1"/>
          <w:numId w:val="8"/>
        </w:numPr>
        <w:spacing w:before="120" w:after="120" w:line="240" w:lineRule="auto"/>
        <w:ind w:left="1440" w:hanging="720"/>
        <w:rPr>
          <w:rFonts w:ascii="Arial" w:hAnsi="Arial" w:cs="Arial"/>
          <w:sz w:val="22"/>
          <w:szCs w:val="22"/>
        </w:rPr>
      </w:pPr>
      <w:r w:rsidRPr="00FE377A">
        <w:rPr>
          <w:rFonts w:ascii="Arial" w:hAnsi="Arial" w:cs="Arial"/>
          <w:sz w:val="22"/>
          <w:szCs w:val="22"/>
        </w:rPr>
        <w:t xml:space="preserve">El segundo grupo de beneficios se deriva de que </w:t>
      </w:r>
      <w:r w:rsidR="00CC472D" w:rsidRPr="00FE377A">
        <w:rPr>
          <w:rFonts w:ascii="Arial" w:hAnsi="Arial" w:cs="Arial"/>
          <w:sz w:val="22"/>
          <w:szCs w:val="22"/>
        </w:rPr>
        <w:t xml:space="preserve">el Programa </w:t>
      </w:r>
      <w:r w:rsidR="00CC472D" w:rsidRPr="00FE377A">
        <w:rPr>
          <w:rFonts w:ascii="Arial" w:hAnsi="Arial" w:cs="Arial"/>
          <w:sz w:val="22"/>
          <w:szCs w:val="22"/>
          <w:lang w:val="es-AR"/>
        </w:rPr>
        <w:t xml:space="preserve">apoya la capitalización y reglamentación de un fondo de pre-inversión que financiará estudios de </w:t>
      </w:r>
      <w:r w:rsidR="00121E04" w:rsidRPr="00FE377A">
        <w:rPr>
          <w:rFonts w:ascii="Arial" w:hAnsi="Arial" w:cs="Arial"/>
          <w:sz w:val="22"/>
          <w:szCs w:val="22"/>
          <w:lang w:val="es-AR"/>
        </w:rPr>
        <w:t>pre factibilidad</w:t>
      </w:r>
      <w:r w:rsidR="00CC472D" w:rsidRPr="00FE377A">
        <w:rPr>
          <w:rFonts w:ascii="Arial" w:hAnsi="Arial" w:cs="Arial"/>
          <w:sz w:val="22"/>
          <w:szCs w:val="22"/>
          <w:lang w:val="es-AR"/>
        </w:rPr>
        <w:t xml:space="preserve"> sobre proyectos futuros.</w:t>
      </w:r>
      <w:r w:rsidR="000A1DE5" w:rsidRPr="00FE377A">
        <w:rPr>
          <w:rFonts w:ascii="Arial" w:hAnsi="Arial" w:cs="Arial"/>
          <w:sz w:val="22"/>
          <w:szCs w:val="22"/>
          <w:lang w:val="es-AR"/>
        </w:rPr>
        <w:t xml:space="preserve">  </w:t>
      </w:r>
      <w:r w:rsidR="00121E04" w:rsidRPr="00FE377A">
        <w:rPr>
          <w:rFonts w:ascii="Arial" w:hAnsi="Arial" w:cs="Arial"/>
          <w:sz w:val="22"/>
          <w:szCs w:val="22"/>
          <w:lang w:val="es-AR"/>
        </w:rPr>
        <w:t xml:space="preserve">En  proyectos actuales en Paraguay </w:t>
      </w:r>
      <w:r w:rsidR="001D03BD">
        <w:rPr>
          <w:rFonts w:ascii="Arial" w:hAnsi="Arial" w:cs="Arial"/>
          <w:sz w:val="22"/>
          <w:szCs w:val="22"/>
          <w:lang w:val="es-AR"/>
        </w:rPr>
        <w:t>financiados con recursos del Fondo de Convergencia Estructural del MERCOSUR</w:t>
      </w:r>
      <w:r w:rsidR="00121E04" w:rsidRPr="00FE377A">
        <w:rPr>
          <w:rFonts w:ascii="Arial" w:hAnsi="Arial" w:cs="Arial"/>
          <w:sz w:val="22"/>
          <w:szCs w:val="22"/>
          <w:lang w:val="es-AR"/>
        </w:rPr>
        <w:t xml:space="preserve"> </w:t>
      </w:r>
      <w:r w:rsidR="001D03BD">
        <w:rPr>
          <w:rFonts w:ascii="Arial" w:hAnsi="Arial" w:cs="Arial"/>
          <w:sz w:val="22"/>
          <w:szCs w:val="22"/>
          <w:lang w:val="es-AR"/>
        </w:rPr>
        <w:t>(</w:t>
      </w:r>
      <w:r w:rsidR="00121E04" w:rsidRPr="00FE377A">
        <w:rPr>
          <w:rFonts w:ascii="Arial" w:hAnsi="Arial" w:cs="Arial"/>
          <w:sz w:val="22"/>
          <w:szCs w:val="22"/>
          <w:lang w:val="es-AR"/>
        </w:rPr>
        <w:t>FO</w:t>
      </w:r>
      <w:r w:rsidR="001D03BD">
        <w:rPr>
          <w:rFonts w:ascii="Arial" w:hAnsi="Arial" w:cs="Arial"/>
          <w:sz w:val="22"/>
          <w:szCs w:val="22"/>
          <w:lang w:val="es-AR"/>
        </w:rPr>
        <w:t>C</w:t>
      </w:r>
      <w:r w:rsidR="00121E04" w:rsidRPr="00FE377A">
        <w:rPr>
          <w:rFonts w:ascii="Arial" w:hAnsi="Arial" w:cs="Arial"/>
          <w:sz w:val="22"/>
          <w:szCs w:val="22"/>
          <w:lang w:val="es-AR"/>
        </w:rPr>
        <w:t>E</w:t>
      </w:r>
      <w:r w:rsidR="001D03BD">
        <w:rPr>
          <w:rFonts w:ascii="Arial" w:hAnsi="Arial" w:cs="Arial"/>
          <w:sz w:val="22"/>
          <w:szCs w:val="22"/>
          <w:lang w:val="es-AR"/>
        </w:rPr>
        <w:t>M)</w:t>
      </w:r>
      <w:r w:rsidR="00121E04" w:rsidRPr="00FE377A">
        <w:rPr>
          <w:rFonts w:ascii="Arial" w:hAnsi="Arial" w:cs="Arial"/>
          <w:sz w:val="22"/>
          <w:szCs w:val="22"/>
          <w:lang w:val="es-AR"/>
        </w:rPr>
        <w:t xml:space="preserve"> y en una muestra</w:t>
      </w:r>
      <w:r w:rsidR="00C271C7">
        <w:rPr>
          <w:rFonts w:ascii="Arial" w:hAnsi="Arial" w:cs="Arial"/>
          <w:sz w:val="22"/>
          <w:szCs w:val="22"/>
          <w:lang w:val="es-AR"/>
        </w:rPr>
        <w:t xml:space="preserve"> de proyectos de infraestructura</w:t>
      </w:r>
      <w:r w:rsidR="00121E04" w:rsidRPr="00FE377A">
        <w:rPr>
          <w:rFonts w:ascii="Arial" w:hAnsi="Arial" w:cs="Arial"/>
          <w:sz w:val="22"/>
          <w:szCs w:val="22"/>
          <w:lang w:val="es-AR"/>
        </w:rPr>
        <w:t xml:space="preserve"> del BID se encuentran que existen sobre-costos y</w:t>
      </w:r>
      <w:r w:rsidR="00C271C7">
        <w:rPr>
          <w:rFonts w:ascii="Arial" w:hAnsi="Arial" w:cs="Arial"/>
          <w:sz w:val="22"/>
          <w:szCs w:val="22"/>
          <w:lang w:val="es-AR"/>
        </w:rPr>
        <w:t xml:space="preserve"> </w:t>
      </w:r>
      <w:r w:rsidR="00121E04" w:rsidRPr="00FE377A">
        <w:rPr>
          <w:rFonts w:ascii="Arial" w:hAnsi="Arial" w:cs="Arial"/>
          <w:sz w:val="22"/>
          <w:szCs w:val="22"/>
          <w:lang w:val="es-AR"/>
        </w:rPr>
        <w:t>adicionalmente se solicitan prórrogas en el tiempo de ejecución. Si bien no todos los sobrecostos y retrasos pueden ser evitados por estudios de pre factibilidad, es razonable asumir que se evitarán una pequeña proporción de los mismos.</w:t>
      </w:r>
    </w:p>
    <w:p w:rsidR="00045A4C" w:rsidRPr="00FE377A" w:rsidRDefault="00045A4C" w:rsidP="009D4CD2">
      <w:pPr>
        <w:pStyle w:val="Paragraph"/>
        <w:numPr>
          <w:ilvl w:val="1"/>
          <w:numId w:val="1"/>
        </w:numPr>
        <w:ind w:left="720" w:hanging="720"/>
        <w:rPr>
          <w:rFonts w:ascii="Arial" w:hAnsi="Arial" w:cs="Arial"/>
          <w:b/>
          <w:sz w:val="22"/>
          <w:szCs w:val="22"/>
        </w:rPr>
      </w:pPr>
      <w:r w:rsidRPr="00FE377A">
        <w:rPr>
          <w:rFonts w:ascii="Arial" w:hAnsi="Arial" w:cs="Arial"/>
          <w:b/>
          <w:sz w:val="22"/>
          <w:szCs w:val="22"/>
        </w:rPr>
        <w:t>Supuestos</w:t>
      </w:r>
    </w:p>
    <w:p w:rsidR="00FE377A" w:rsidRDefault="00045A4C" w:rsidP="00FE377A">
      <w:pPr>
        <w:pStyle w:val="Paragraph"/>
        <w:numPr>
          <w:ilvl w:val="1"/>
          <w:numId w:val="1"/>
        </w:numPr>
        <w:ind w:left="720" w:hanging="720"/>
        <w:rPr>
          <w:rFonts w:ascii="Arial" w:hAnsi="Arial" w:cs="Arial"/>
          <w:kern w:val="28"/>
          <w:sz w:val="22"/>
          <w:szCs w:val="22"/>
        </w:rPr>
      </w:pPr>
      <w:r w:rsidRPr="00FE377A">
        <w:rPr>
          <w:rFonts w:ascii="Arial" w:hAnsi="Arial" w:cs="Arial"/>
          <w:kern w:val="28"/>
          <w:sz w:val="22"/>
          <w:szCs w:val="22"/>
        </w:rPr>
        <w:t>El cálculo de los beneficios derivados de</w:t>
      </w:r>
      <w:r w:rsidR="00FE06B6" w:rsidRPr="00FE377A">
        <w:rPr>
          <w:rFonts w:ascii="Arial" w:hAnsi="Arial" w:cs="Arial"/>
          <w:kern w:val="28"/>
          <w:sz w:val="22"/>
          <w:szCs w:val="22"/>
        </w:rPr>
        <w:t>l</w:t>
      </w:r>
      <w:r w:rsidRPr="00FE377A">
        <w:rPr>
          <w:rFonts w:ascii="Arial" w:hAnsi="Arial" w:cs="Arial"/>
          <w:kern w:val="28"/>
          <w:sz w:val="22"/>
          <w:szCs w:val="22"/>
        </w:rPr>
        <w:t xml:space="preserve"> </w:t>
      </w:r>
      <w:r w:rsidR="00FE06B6" w:rsidRPr="00FE377A">
        <w:rPr>
          <w:rFonts w:ascii="Arial" w:hAnsi="Arial" w:cs="Arial"/>
          <w:kern w:val="28"/>
          <w:sz w:val="22"/>
          <w:szCs w:val="22"/>
        </w:rPr>
        <w:t>Fortalecimiento de la etapa de pre inversión</w:t>
      </w:r>
      <w:r w:rsidRPr="00FE377A">
        <w:rPr>
          <w:rFonts w:ascii="Arial" w:hAnsi="Arial" w:cs="Arial"/>
          <w:kern w:val="28"/>
          <w:sz w:val="22"/>
          <w:szCs w:val="22"/>
        </w:rPr>
        <w:t xml:space="preserve"> se basa en los siguientes supuestos:</w:t>
      </w:r>
    </w:p>
    <w:p w:rsidR="00045A4C" w:rsidRPr="00FE377A" w:rsidRDefault="00045A4C" w:rsidP="00FE377A">
      <w:pPr>
        <w:pStyle w:val="Vieta"/>
        <w:numPr>
          <w:ilvl w:val="1"/>
          <w:numId w:val="9"/>
        </w:numPr>
        <w:spacing w:before="120" w:after="120" w:line="240" w:lineRule="auto"/>
        <w:ind w:left="1440" w:hanging="720"/>
        <w:rPr>
          <w:rFonts w:ascii="Arial" w:hAnsi="Arial" w:cs="Arial"/>
          <w:sz w:val="22"/>
          <w:szCs w:val="22"/>
        </w:rPr>
      </w:pPr>
      <w:r w:rsidRPr="00FE377A">
        <w:rPr>
          <w:rFonts w:ascii="Arial" w:hAnsi="Arial" w:cs="Arial"/>
          <w:sz w:val="22"/>
          <w:szCs w:val="22"/>
        </w:rPr>
        <w:t>La tasa de descuento utilizada es del 12%, según el estándar del Banco.</w:t>
      </w:r>
    </w:p>
    <w:p w:rsidR="00C14152" w:rsidRPr="00FE377A" w:rsidRDefault="00C14152" w:rsidP="00FE377A">
      <w:pPr>
        <w:pStyle w:val="Vieta"/>
        <w:numPr>
          <w:ilvl w:val="1"/>
          <w:numId w:val="9"/>
        </w:numPr>
        <w:spacing w:before="120" w:after="120" w:line="240" w:lineRule="auto"/>
        <w:ind w:left="1440" w:hanging="720"/>
        <w:rPr>
          <w:rFonts w:ascii="Arial" w:hAnsi="Arial" w:cs="Arial"/>
          <w:sz w:val="22"/>
          <w:szCs w:val="22"/>
          <w:lang w:val="es-AR"/>
        </w:rPr>
      </w:pPr>
      <w:r w:rsidRPr="00FE377A">
        <w:rPr>
          <w:rFonts w:ascii="Arial" w:hAnsi="Arial" w:cs="Arial"/>
          <w:sz w:val="22"/>
          <w:szCs w:val="22"/>
        </w:rPr>
        <w:t xml:space="preserve">Se estima que el monto de sobrecostos </w:t>
      </w:r>
      <w:r w:rsidR="001772EF" w:rsidRPr="00FE377A">
        <w:rPr>
          <w:rFonts w:ascii="Arial" w:hAnsi="Arial" w:cs="Arial"/>
          <w:sz w:val="22"/>
          <w:szCs w:val="22"/>
        </w:rPr>
        <w:t>ascienden a 5 millones de dólares al año, lo cual coincide con los montos de pre-inversión.</w:t>
      </w:r>
    </w:p>
    <w:p w:rsidR="00F63293" w:rsidRPr="00FE377A" w:rsidRDefault="00E67F37" w:rsidP="00FE377A">
      <w:pPr>
        <w:pStyle w:val="Vieta"/>
        <w:numPr>
          <w:ilvl w:val="1"/>
          <w:numId w:val="9"/>
        </w:numPr>
        <w:spacing w:before="120" w:after="120" w:line="240" w:lineRule="auto"/>
        <w:ind w:left="1440" w:hanging="720"/>
        <w:rPr>
          <w:rFonts w:ascii="Arial" w:hAnsi="Arial" w:cs="Arial"/>
          <w:sz w:val="22"/>
          <w:szCs w:val="22"/>
        </w:rPr>
      </w:pPr>
      <w:r w:rsidRPr="00FE377A">
        <w:rPr>
          <w:rFonts w:ascii="Arial" w:hAnsi="Arial" w:cs="Arial"/>
          <w:sz w:val="22"/>
          <w:szCs w:val="22"/>
          <w:lang w:val="es-AR"/>
        </w:rPr>
        <w:t>Se asume conservadoramente que la reducción de los sobrecostos debidos a la implementación de estudios de pre factibilidad es del 3%. Adicionalmente, se debe tener en cuenta que no se estimarán beneficios correspondientes a las reducciones en los pedidos de modificación de plazo, si bien existirán pero no es factible cuantificar este tipo de beneficios dada la disponibilidad de datos. Por lo tanto, la TIR obtenida será finalmente una cota inferior de la que realmente corresponderá al Programa.</w:t>
      </w:r>
      <w:r w:rsidR="008F70DE" w:rsidRPr="00FE377A">
        <w:rPr>
          <w:rFonts w:ascii="Arial" w:hAnsi="Arial" w:cs="Arial"/>
          <w:sz w:val="22"/>
          <w:szCs w:val="22"/>
          <w:lang w:val="es-AR"/>
        </w:rPr>
        <w:t xml:space="preserve"> La reducción del 3% será alcanzada de forma gradual, completamente desde el año 2025 en adelante, pero comenzando con un 60% en el año 2017, incrementándose 5 puntos básicos año a año, hasta alcanzar el objetivo del 3% durante el año 2025.</w:t>
      </w:r>
    </w:p>
    <w:p w:rsidR="00E67F37" w:rsidRPr="00FE377A" w:rsidRDefault="00E67F37" w:rsidP="00FE377A">
      <w:pPr>
        <w:pStyle w:val="Vieta"/>
        <w:numPr>
          <w:ilvl w:val="1"/>
          <w:numId w:val="9"/>
        </w:numPr>
        <w:spacing w:before="120" w:after="120" w:line="240" w:lineRule="auto"/>
        <w:ind w:left="1440" w:hanging="720"/>
        <w:rPr>
          <w:rFonts w:ascii="Arial" w:hAnsi="Arial" w:cs="Arial"/>
          <w:sz w:val="22"/>
          <w:szCs w:val="22"/>
        </w:rPr>
      </w:pPr>
      <w:r w:rsidRPr="00FE377A">
        <w:rPr>
          <w:rFonts w:ascii="Arial" w:hAnsi="Arial" w:cs="Arial"/>
          <w:sz w:val="22"/>
          <w:szCs w:val="22"/>
        </w:rPr>
        <w:t>Los beneficios se estiman a perpetuidad, dado que el Programa no requiere mantenimiento, y de este modo no corresponde establecer un horizonte para su vigencia. Los beneficios serán descontados a la tasa del 12% mencionada previamente.</w:t>
      </w:r>
      <w:r w:rsidR="0083120C" w:rsidRPr="00FE377A">
        <w:rPr>
          <w:rFonts w:ascii="Arial" w:hAnsi="Arial" w:cs="Arial"/>
          <w:sz w:val="22"/>
          <w:szCs w:val="22"/>
        </w:rPr>
        <w:t xml:space="preserve"> El primer año en el cual se computarán beneficios es el 2017.</w:t>
      </w:r>
    </w:p>
    <w:p w:rsidR="00F3680E" w:rsidRPr="00FE377A" w:rsidRDefault="00F3680E" w:rsidP="009D4CD2">
      <w:pPr>
        <w:pStyle w:val="Paragraph"/>
        <w:numPr>
          <w:ilvl w:val="1"/>
          <w:numId w:val="1"/>
        </w:numPr>
        <w:spacing w:line="360" w:lineRule="auto"/>
        <w:ind w:left="720" w:hanging="720"/>
        <w:rPr>
          <w:rFonts w:ascii="Arial" w:hAnsi="Arial" w:cs="Arial"/>
          <w:b/>
          <w:sz w:val="22"/>
          <w:szCs w:val="22"/>
        </w:rPr>
      </w:pPr>
      <w:r w:rsidRPr="00FE377A">
        <w:rPr>
          <w:rFonts w:ascii="Arial" w:hAnsi="Arial" w:cs="Arial"/>
          <w:b/>
          <w:sz w:val="22"/>
          <w:szCs w:val="22"/>
        </w:rPr>
        <w:t>Cálculos</w:t>
      </w:r>
    </w:p>
    <w:p w:rsidR="00F3680E" w:rsidRPr="00FE377A" w:rsidRDefault="00F3680E" w:rsidP="00FE377A">
      <w:pPr>
        <w:pStyle w:val="Paragraph"/>
        <w:numPr>
          <w:ilvl w:val="1"/>
          <w:numId w:val="1"/>
        </w:numPr>
        <w:ind w:left="720" w:hanging="720"/>
        <w:rPr>
          <w:rFonts w:ascii="Arial" w:hAnsi="Arial" w:cs="Arial"/>
          <w:kern w:val="28"/>
          <w:sz w:val="22"/>
          <w:szCs w:val="22"/>
        </w:rPr>
      </w:pPr>
      <w:r w:rsidRPr="00FE377A">
        <w:rPr>
          <w:rFonts w:ascii="Arial" w:hAnsi="Arial" w:cs="Arial"/>
          <w:kern w:val="28"/>
          <w:sz w:val="22"/>
          <w:szCs w:val="22"/>
        </w:rPr>
        <w:t xml:space="preserve">El primer cálculo necesario para el análisis consiste en la estimación de los beneficios anuales derivados </w:t>
      </w:r>
      <w:r w:rsidR="00F63293" w:rsidRPr="00FE377A">
        <w:rPr>
          <w:rFonts w:ascii="Arial" w:hAnsi="Arial" w:cs="Arial"/>
          <w:kern w:val="28"/>
          <w:sz w:val="22"/>
          <w:szCs w:val="22"/>
        </w:rPr>
        <w:t xml:space="preserve">del </w:t>
      </w:r>
      <w:r w:rsidR="001D0077" w:rsidRPr="00FE377A">
        <w:rPr>
          <w:rFonts w:ascii="Arial" w:hAnsi="Arial" w:cs="Arial"/>
          <w:kern w:val="28"/>
          <w:sz w:val="22"/>
          <w:szCs w:val="22"/>
        </w:rPr>
        <w:t>Fortalecimiento de etapa de pre inversión</w:t>
      </w:r>
      <w:r w:rsidRPr="00FE377A">
        <w:rPr>
          <w:rFonts w:ascii="Arial" w:hAnsi="Arial" w:cs="Arial"/>
          <w:kern w:val="28"/>
          <w:sz w:val="22"/>
          <w:szCs w:val="22"/>
        </w:rPr>
        <w:t>. Luego, esta fórmula será replicada para cada año aplicándose sobre ella una tasa de descuento del 12%.</w:t>
      </w:r>
      <w:r w:rsidR="003E2FA7" w:rsidRPr="00FE377A">
        <w:rPr>
          <w:rFonts w:ascii="Arial" w:hAnsi="Arial" w:cs="Arial"/>
          <w:kern w:val="28"/>
          <w:sz w:val="22"/>
          <w:szCs w:val="22"/>
        </w:rPr>
        <w:t xml:space="preserve"> </w:t>
      </w:r>
      <w:r w:rsidRPr="00FE377A">
        <w:rPr>
          <w:rFonts w:ascii="Arial" w:hAnsi="Arial" w:cs="Arial"/>
          <w:kern w:val="28"/>
          <w:sz w:val="22"/>
          <w:szCs w:val="22"/>
        </w:rPr>
        <w:t xml:space="preserve">Para estimar los beneficios totales se debe tener en cuenta el </w:t>
      </w:r>
      <w:r w:rsidR="001D0077" w:rsidRPr="00FE377A">
        <w:rPr>
          <w:rFonts w:ascii="Arial" w:hAnsi="Arial" w:cs="Arial"/>
          <w:kern w:val="28"/>
          <w:sz w:val="22"/>
          <w:szCs w:val="22"/>
        </w:rPr>
        <w:t>horizonte infinito</w:t>
      </w:r>
      <w:r w:rsidRPr="00FE377A">
        <w:rPr>
          <w:rFonts w:ascii="Arial" w:hAnsi="Arial" w:cs="Arial"/>
          <w:kern w:val="28"/>
          <w:sz w:val="22"/>
          <w:szCs w:val="22"/>
        </w:rPr>
        <w:t xml:space="preserve"> durante los cuales se consideran los efectos del </w:t>
      </w:r>
      <w:r w:rsidR="00AE2F8D" w:rsidRPr="00FE377A">
        <w:rPr>
          <w:rFonts w:ascii="Arial" w:hAnsi="Arial" w:cs="Arial"/>
          <w:kern w:val="28"/>
          <w:sz w:val="22"/>
          <w:szCs w:val="22"/>
        </w:rPr>
        <w:t>Programa</w:t>
      </w:r>
      <w:r w:rsidRPr="00FE377A">
        <w:rPr>
          <w:rFonts w:ascii="Arial" w:hAnsi="Arial" w:cs="Arial"/>
          <w:kern w:val="28"/>
          <w:sz w:val="22"/>
          <w:szCs w:val="22"/>
        </w:rPr>
        <w:t xml:space="preserve">. </w:t>
      </w:r>
      <w:r w:rsidR="001D0077" w:rsidRPr="00FE377A">
        <w:rPr>
          <w:rFonts w:ascii="Arial" w:hAnsi="Arial" w:cs="Arial"/>
          <w:kern w:val="28"/>
          <w:sz w:val="22"/>
          <w:szCs w:val="22"/>
        </w:rPr>
        <w:t>Por lo tanto, dado el descuento establecido, resulta la siguiente formula asociada a la perpetuidad:</w:t>
      </w:r>
    </w:p>
    <w:p w:rsidR="00F3680E" w:rsidRPr="00FE377A" w:rsidRDefault="00D85F54" w:rsidP="00B61EB7">
      <w:pPr>
        <w:spacing w:after="0" w:line="480" w:lineRule="auto"/>
        <w:ind w:left="567" w:hanging="567"/>
        <w:jc w:val="both"/>
        <w:rPr>
          <w:rFonts w:ascii="Arial" w:hAnsi="Arial" w:cs="Arial"/>
          <w:kern w:val="28"/>
          <w:lang w:val="es-ES"/>
        </w:rPr>
      </w:pPr>
      <m:oMathPara>
        <m:oMath>
          <m:sSub>
            <m:sSubPr>
              <m:ctrlPr>
                <w:rPr>
                  <w:rFonts w:ascii="Cambria Math" w:hAnsi="Cambria Math" w:cs="Arial"/>
                  <w:i/>
                  <w:kern w:val="28"/>
                  <w:lang w:val="es-ES"/>
                </w:rPr>
              </m:ctrlPr>
            </m:sSubPr>
            <m:e>
              <m:r>
                <w:rPr>
                  <w:rFonts w:ascii="Cambria Math" w:hAnsi="Cambria Math" w:cs="Arial"/>
                  <w:kern w:val="28"/>
                  <w:lang w:val="es-ES"/>
                </w:rPr>
                <m:t>B</m:t>
              </m:r>
            </m:e>
            <m:sub>
              <m:r>
                <w:rPr>
                  <w:rFonts w:ascii="Cambria Math" w:hAnsi="Cambria Math" w:cs="Arial"/>
                  <w:kern w:val="28"/>
                  <w:lang w:val="es-ES"/>
                </w:rPr>
                <m:t>2</m:t>
              </m:r>
            </m:sub>
          </m:sSub>
          <m:r>
            <w:rPr>
              <w:rFonts w:ascii="Cambria Math" w:hAnsi="Cambria Math" w:cs="Arial"/>
              <w:kern w:val="28"/>
              <w:lang w:val="es-ES"/>
            </w:rPr>
            <m:t>=</m:t>
          </m:r>
          <m:f>
            <m:fPr>
              <m:ctrlPr>
                <w:rPr>
                  <w:rFonts w:ascii="Cambria Math" w:hAnsi="Cambria Math" w:cs="Arial"/>
                  <w:i/>
                  <w:kern w:val="28"/>
                  <w:lang w:val="es-ES"/>
                </w:rPr>
              </m:ctrlPr>
            </m:fPr>
            <m:num>
              <m:sSub>
                <m:sSubPr>
                  <m:ctrlPr>
                    <w:rPr>
                      <w:rFonts w:ascii="Cambria Math" w:hAnsi="Cambria Math" w:cs="Arial"/>
                      <w:i/>
                      <w:kern w:val="28"/>
                      <w:lang w:val="es-ES"/>
                    </w:rPr>
                  </m:ctrlPr>
                </m:sSubPr>
                <m:e>
                  <m:r>
                    <w:rPr>
                      <w:rFonts w:ascii="Cambria Math" w:hAnsi="Cambria Math" w:cs="Arial"/>
                      <w:kern w:val="28"/>
                      <w:lang w:val="es-ES"/>
                    </w:rPr>
                    <m:t>B</m:t>
                  </m:r>
                </m:e>
                <m:sub>
                  <m:r>
                    <w:rPr>
                      <w:rFonts w:ascii="Cambria Math" w:hAnsi="Cambria Math" w:cs="Arial"/>
                      <w:kern w:val="28"/>
                      <w:lang w:val="es-ES"/>
                    </w:rPr>
                    <m:t>t</m:t>
                  </m:r>
                </m:sub>
              </m:sSub>
            </m:num>
            <m:den>
              <m:r>
                <w:rPr>
                  <w:rFonts w:ascii="Cambria Math" w:hAnsi="Cambria Math" w:cs="Arial"/>
                  <w:kern w:val="28"/>
                  <w:lang w:val="es-ES"/>
                </w:rPr>
                <m:t>0,12</m:t>
              </m:r>
            </m:den>
          </m:f>
        </m:oMath>
      </m:oMathPara>
    </w:p>
    <w:p w:rsidR="00F3680E" w:rsidRDefault="00F3680E" w:rsidP="00FE377A">
      <w:pPr>
        <w:pStyle w:val="Paragraph"/>
        <w:numPr>
          <w:ilvl w:val="0"/>
          <w:numId w:val="0"/>
        </w:numPr>
        <w:spacing w:before="0" w:after="0" w:line="480" w:lineRule="auto"/>
        <w:ind w:left="567" w:hanging="567"/>
        <w:rPr>
          <w:rFonts w:ascii="Arial" w:hAnsi="Arial" w:cs="Arial"/>
          <w:kern w:val="28"/>
          <w:sz w:val="22"/>
          <w:szCs w:val="22"/>
        </w:rPr>
      </w:pPr>
      <w:r w:rsidRPr="00FE377A">
        <w:rPr>
          <w:rFonts w:ascii="Arial" w:hAnsi="Arial" w:cs="Arial"/>
          <w:kern w:val="28"/>
          <w:sz w:val="22"/>
          <w:szCs w:val="22"/>
        </w:rPr>
        <w:tab/>
        <w:t xml:space="preserve">donde </w:t>
      </w:r>
      <m:oMath>
        <m:r>
          <w:rPr>
            <w:rFonts w:ascii="Cambria Math" w:hAnsi="Cambria Math" w:cs="Arial"/>
            <w:kern w:val="28"/>
            <w:sz w:val="22"/>
            <w:szCs w:val="22"/>
          </w:rPr>
          <m:t>t</m:t>
        </m:r>
      </m:oMath>
      <w:r w:rsidRPr="00FE377A">
        <w:rPr>
          <w:rFonts w:ascii="Arial" w:hAnsi="Arial" w:cs="Arial"/>
          <w:kern w:val="28"/>
          <w:sz w:val="22"/>
          <w:szCs w:val="22"/>
        </w:rPr>
        <w:t xml:space="preserve"> indica el año corriente. </w:t>
      </w:r>
    </w:p>
    <w:p w:rsidR="00B61EB7" w:rsidRDefault="00B61EB7" w:rsidP="00B61EB7">
      <w:pPr>
        <w:pStyle w:val="Paragraph"/>
        <w:numPr>
          <w:ilvl w:val="0"/>
          <w:numId w:val="0"/>
        </w:numPr>
        <w:spacing w:before="0" w:after="0" w:line="480" w:lineRule="auto"/>
        <w:ind w:left="720" w:hanging="720"/>
        <w:rPr>
          <w:rFonts w:ascii="Arial" w:hAnsi="Arial" w:cs="Arial"/>
          <w:kern w:val="28"/>
          <w:sz w:val="22"/>
          <w:szCs w:val="22"/>
        </w:rPr>
      </w:pPr>
    </w:p>
    <w:p w:rsidR="00B61EB7" w:rsidRDefault="00B61EB7" w:rsidP="00B61EB7">
      <w:pPr>
        <w:pStyle w:val="Paragraph"/>
        <w:numPr>
          <w:ilvl w:val="0"/>
          <w:numId w:val="0"/>
        </w:numPr>
        <w:spacing w:before="0" w:after="0" w:line="480" w:lineRule="auto"/>
        <w:ind w:left="720" w:hanging="720"/>
        <w:rPr>
          <w:rFonts w:ascii="Arial" w:hAnsi="Arial" w:cs="Arial"/>
          <w:kern w:val="28"/>
          <w:sz w:val="22"/>
          <w:szCs w:val="22"/>
        </w:rPr>
      </w:pPr>
    </w:p>
    <w:p w:rsidR="00B61EB7" w:rsidRPr="00FE377A" w:rsidRDefault="00B61EB7" w:rsidP="00B61EB7">
      <w:pPr>
        <w:pStyle w:val="Paragraph"/>
        <w:numPr>
          <w:ilvl w:val="0"/>
          <w:numId w:val="0"/>
        </w:numPr>
        <w:spacing w:before="0" w:after="0" w:line="480" w:lineRule="auto"/>
        <w:ind w:left="720" w:hanging="720"/>
        <w:rPr>
          <w:rFonts w:ascii="Arial" w:hAnsi="Arial" w:cs="Arial"/>
          <w:kern w:val="28"/>
          <w:sz w:val="22"/>
          <w:szCs w:val="22"/>
        </w:rPr>
      </w:pPr>
    </w:p>
    <w:tbl>
      <w:tblPr>
        <w:tblW w:w="8505" w:type="dxa"/>
        <w:tblInd w:w="675" w:type="dxa"/>
        <w:tblLayout w:type="fixed"/>
        <w:tblLook w:val="04A0" w:firstRow="1" w:lastRow="0" w:firstColumn="1" w:lastColumn="0" w:noHBand="0" w:noVBand="1"/>
      </w:tblPr>
      <w:tblGrid>
        <w:gridCol w:w="567"/>
        <w:gridCol w:w="3686"/>
        <w:gridCol w:w="1559"/>
        <w:gridCol w:w="2693"/>
      </w:tblGrid>
      <w:tr w:rsidR="00F3680E" w:rsidRPr="001D03BD" w:rsidTr="00B14DFF">
        <w:trPr>
          <w:trHeight w:val="280"/>
        </w:trPr>
        <w:tc>
          <w:tcPr>
            <w:tcW w:w="8505" w:type="dxa"/>
            <w:gridSpan w:val="4"/>
            <w:tcBorders>
              <w:top w:val="nil"/>
              <w:left w:val="nil"/>
              <w:bottom w:val="single" w:sz="4" w:space="0" w:color="auto"/>
              <w:right w:val="nil"/>
            </w:tcBorders>
            <w:shd w:val="clear" w:color="auto" w:fill="auto"/>
            <w:noWrap/>
            <w:vAlign w:val="bottom"/>
            <w:hideMark/>
          </w:tcPr>
          <w:p w:rsidR="00F3680E" w:rsidRPr="00FE377A" w:rsidRDefault="00F3680E" w:rsidP="00FE377A">
            <w:pPr>
              <w:pStyle w:val="TituloTabla"/>
              <w:rPr>
                <w:rFonts w:ascii="Arial" w:hAnsi="Arial" w:cs="Arial"/>
                <w:sz w:val="20"/>
                <w:szCs w:val="20"/>
              </w:rPr>
            </w:pPr>
            <w:r w:rsidRPr="00FE377A">
              <w:rPr>
                <w:rFonts w:ascii="Arial" w:hAnsi="Arial" w:cs="Arial"/>
                <w:sz w:val="20"/>
                <w:szCs w:val="20"/>
              </w:rPr>
              <w:t xml:space="preserve">Tabla </w:t>
            </w:r>
            <w:r w:rsidR="00B41E8F" w:rsidRPr="00FE377A">
              <w:rPr>
                <w:rFonts w:ascii="Arial" w:hAnsi="Arial" w:cs="Arial"/>
                <w:sz w:val="20"/>
                <w:szCs w:val="20"/>
              </w:rPr>
              <w:t>2</w:t>
            </w:r>
            <w:r w:rsidRPr="00FE377A">
              <w:rPr>
                <w:rFonts w:ascii="Arial" w:hAnsi="Arial" w:cs="Arial"/>
                <w:sz w:val="20"/>
                <w:szCs w:val="20"/>
              </w:rPr>
              <w:t xml:space="preserve">. Cálculo del valor monetario en USD de los beneficios anuales correspondientes a </w:t>
            </w:r>
            <w:r w:rsidR="00FB6945" w:rsidRPr="00FE377A">
              <w:rPr>
                <w:rFonts w:ascii="Arial" w:hAnsi="Arial" w:cs="Arial"/>
                <w:sz w:val="20"/>
                <w:szCs w:val="20"/>
              </w:rPr>
              <w:t>Fortalecimiento de etapa de pre inversión 201</w:t>
            </w:r>
            <w:r w:rsidR="00DD172E" w:rsidRPr="00FE377A">
              <w:rPr>
                <w:rFonts w:ascii="Arial" w:hAnsi="Arial" w:cs="Arial"/>
                <w:sz w:val="20"/>
                <w:szCs w:val="20"/>
              </w:rPr>
              <w:t>7</w:t>
            </w:r>
            <w:r w:rsidR="00FB6945" w:rsidRPr="00FE377A">
              <w:rPr>
                <w:rFonts w:ascii="Arial" w:hAnsi="Arial" w:cs="Arial"/>
                <w:sz w:val="20"/>
                <w:szCs w:val="20"/>
              </w:rPr>
              <w:t>.</w:t>
            </w:r>
          </w:p>
        </w:tc>
      </w:tr>
      <w:tr w:rsidR="00F3680E" w:rsidRPr="00FE377A" w:rsidTr="0037275D">
        <w:trPr>
          <w:trHeight w:val="280"/>
        </w:trPr>
        <w:tc>
          <w:tcPr>
            <w:tcW w:w="567" w:type="dxa"/>
            <w:tcBorders>
              <w:top w:val="nil"/>
              <w:left w:val="nil"/>
              <w:bottom w:val="nil"/>
              <w:right w:val="nil"/>
            </w:tcBorders>
            <w:shd w:val="clear" w:color="auto" w:fill="auto"/>
            <w:noWrap/>
            <w:hideMark/>
          </w:tcPr>
          <w:p w:rsidR="00F3680E" w:rsidRPr="00FE377A" w:rsidRDefault="00FB1CC1" w:rsidP="00FE377A">
            <w:pPr>
              <w:spacing w:after="0" w:line="240" w:lineRule="auto"/>
              <w:ind w:left="567" w:hanging="567"/>
              <w:jc w:val="right"/>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1</w:t>
            </w:r>
          </w:p>
        </w:tc>
        <w:tc>
          <w:tcPr>
            <w:tcW w:w="3686" w:type="dxa"/>
            <w:tcBorders>
              <w:top w:val="nil"/>
              <w:left w:val="nil"/>
              <w:bottom w:val="nil"/>
              <w:right w:val="single" w:sz="4" w:space="0" w:color="auto"/>
            </w:tcBorders>
            <w:shd w:val="clear" w:color="auto" w:fill="auto"/>
            <w:noWrap/>
            <w:vAlign w:val="bottom"/>
            <w:hideMark/>
          </w:tcPr>
          <w:p w:rsidR="00F3680E" w:rsidRPr="00FE377A" w:rsidRDefault="0037275D" w:rsidP="00FE377A">
            <w:pPr>
              <w:spacing w:after="0" w:line="240" w:lineRule="auto"/>
              <w:ind w:left="567" w:hanging="567"/>
              <w:rPr>
                <w:rFonts w:ascii="Arial" w:eastAsia="Times New Roman" w:hAnsi="Arial" w:cs="Arial"/>
                <w:b/>
                <w:bCs/>
                <w:color w:val="000000"/>
                <w:sz w:val="20"/>
                <w:szCs w:val="20"/>
                <w:lang w:val="es-ES"/>
              </w:rPr>
            </w:pPr>
            <w:r w:rsidRPr="00FE377A">
              <w:rPr>
                <w:rFonts w:ascii="Arial" w:eastAsia="Times New Roman" w:hAnsi="Arial" w:cs="Arial"/>
                <w:color w:val="000000"/>
                <w:sz w:val="20"/>
                <w:szCs w:val="20"/>
                <w:lang w:val="es-ES"/>
              </w:rPr>
              <w:t>Total Sobrecostos USD</w:t>
            </w:r>
          </w:p>
        </w:tc>
        <w:tc>
          <w:tcPr>
            <w:tcW w:w="1559" w:type="dxa"/>
            <w:tcBorders>
              <w:top w:val="nil"/>
              <w:left w:val="nil"/>
              <w:bottom w:val="nil"/>
              <w:right w:val="single" w:sz="4" w:space="0" w:color="auto"/>
            </w:tcBorders>
            <w:shd w:val="clear" w:color="auto" w:fill="auto"/>
            <w:noWrap/>
            <w:vAlign w:val="center"/>
            <w:hideMark/>
          </w:tcPr>
          <w:p w:rsidR="00F3680E" w:rsidRPr="00FE377A" w:rsidRDefault="00FB1CC1" w:rsidP="00FE377A">
            <w:pPr>
              <w:spacing w:after="0" w:line="240" w:lineRule="auto"/>
              <w:ind w:left="567" w:hanging="567"/>
              <w:jc w:val="right"/>
              <w:rPr>
                <w:rFonts w:ascii="Arial" w:eastAsia="Times New Roman" w:hAnsi="Arial" w:cs="Arial"/>
                <w:b/>
                <w:bCs/>
                <w:color w:val="000000"/>
                <w:sz w:val="20"/>
                <w:szCs w:val="20"/>
                <w:lang w:val="es-ES"/>
              </w:rPr>
            </w:pPr>
            <w:r w:rsidRPr="00FE377A">
              <w:rPr>
                <w:rFonts w:ascii="Arial" w:eastAsia="Times New Roman" w:hAnsi="Arial" w:cs="Arial"/>
                <w:color w:val="000000"/>
                <w:sz w:val="20"/>
                <w:szCs w:val="20"/>
                <w:lang w:val="es-ES"/>
              </w:rPr>
              <w:t>5.000.000</w:t>
            </w:r>
          </w:p>
        </w:tc>
        <w:tc>
          <w:tcPr>
            <w:tcW w:w="2693" w:type="dxa"/>
            <w:tcBorders>
              <w:top w:val="nil"/>
              <w:left w:val="nil"/>
              <w:bottom w:val="nil"/>
              <w:right w:val="nil"/>
            </w:tcBorders>
            <w:shd w:val="clear" w:color="auto" w:fill="auto"/>
            <w:noWrap/>
            <w:vAlign w:val="center"/>
            <w:hideMark/>
          </w:tcPr>
          <w:p w:rsidR="00F3680E" w:rsidRPr="00FE377A" w:rsidRDefault="00FB1CC1" w:rsidP="00FE377A">
            <w:pPr>
              <w:spacing w:after="0" w:line="240" w:lineRule="auto"/>
              <w:ind w:left="567" w:hanging="567"/>
              <w:rPr>
                <w:rFonts w:ascii="Arial" w:eastAsia="Times New Roman" w:hAnsi="Arial" w:cs="Arial"/>
                <w:b/>
                <w:bCs/>
                <w:color w:val="000000"/>
                <w:sz w:val="20"/>
                <w:szCs w:val="20"/>
                <w:lang w:val="es-ES"/>
              </w:rPr>
            </w:pPr>
            <w:r w:rsidRPr="00FE377A">
              <w:rPr>
                <w:rFonts w:ascii="Arial" w:eastAsia="Times New Roman" w:hAnsi="Arial" w:cs="Arial"/>
                <w:color w:val="000000"/>
                <w:sz w:val="20"/>
                <w:szCs w:val="20"/>
                <w:lang w:val="es-ES"/>
              </w:rPr>
              <w:t>Datos del Programa</w:t>
            </w:r>
          </w:p>
        </w:tc>
      </w:tr>
      <w:tr w:rsidR="00F31C28" w:rsidRPr="00FE377A" w:rsidTr="0037275D">
        <w:trPr>
          <w:trHeight w:val="280"/>
        </w:trPr>
        <w:tc>
          <w:tcPr>
            <w:tcW w:w="567" w:type="dxa"/>
            <w:tcBorders>
              <w:top w:val="nil"/>
              <w:left w:val="nil"/>
              <w:bottom w:val="nil"/>
              <w:right w:val="nil"/>
            </w:tcBorders>
            <w:shd w:val="clear" w:color="auto" w:fill="auto"/>
            <w:noWrap/>
          </w:tcPr>
          <w:p w:rsidR="00F31C28" w:rsidRPr="00FE377A" w:rsidRDefault="00FB1CC1" w:rsidP="00FE377A">
            <w:pPr>
              <w:spacing w:after="0" w:line="240" w:lineRule="auto"/>
              <w:ind w:left="567" w:hanging="567"/>
              <w:jc w:val="right"/>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2</w:t>
            </w:r>
          </w:p>
        </w:tc>
        <w:tc>
          <w:tcPr>
            <w:tcW w:w="3686" w:type="dxa"/>
            <w:tcBorders>
              <w:top w:val="nil"/>
              <w:left w:val="nil"/>
              <w:bottom w:val="nil"/>
              <w:right w:val="single" w:sz="4" w:space="0" w:color="auto"/>
            </w:tcBorders>
            <w:shd w:val="clear" w:color="auto" w:fill="auto"/>
            <w:noWrap/>
            <w:vAlign w:val="bottom"/>
          </w:tcPr>
          <w:p w:rsidR="00F31C28" w:rsidRPr="00FE377A" w:rsidRDefault="00F31C28" w:rsidP="00FE377A">
            <w:pPr>
              <w:spacing w:after="0" w:line="240" w:lineRule="auto"/>
              <w:ind w:left="567" w:hanging="567"/>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Reducción de Sobrecostos</w:t>
            </w:r>
          </w:p>
        </w:tc>
        <w:tc>
          <w:tcPr>
            <w:tcW w:w="1559" w:type="dxa"/>
            <w:tcBorders>
              <w:top w:val="nil"/>
              <w:left w:val="nil"/>
              <w:bottom w:val="nil"/>
              <w:right w:val="single" w:sz="4" w:space="0" w:color="auto"/>
            </w:tcBorders>
            <w:shd w:val="clear" w:color="auto" w:fill="auto"/>
            <w:noWrap/>
            <w:vAlign w:val="center"/>
          </w:tcPr>
          <w:p w:rsidR="00F31C28" w:rsidRPr="00FE377A" w:rsidRDefault="00F31C28" w:rsidP="00FE377A">
            <w:pPr>
              <w:spacing w:after="0" w:line="240" w:lineRule="auto"/>
              <w:ind w:left="567" w:hanging="567"/>
              <w:jc w:val="right"/>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3%</w:t>
            </w:r>
          </w:p>
        </w:tc>
        <w:tc>
          <w:tcPr>
            <w:tcW w:w="2693" w:type="dxa"/>
            <w:tcBorders>
              <w:top w:val="nil"/>
              <w:left w:val="nil"/>
              <w:bottom w:val="nil"/>
              <w:right w:val="nil"/>
            </w:tcBorders>
            <w:shd w:val="clear" w:color="auto" w:fill="auto"/>
            <w:noWrap/>
            <w:vAlign w:val="center"/>
          </w:tcPr>
          <w:p w:rsidR="00F31C28" w:rsidRPr="00FE377A" w:rsidRDefault="00F31C28" w:rsidP="00FE377A">
            <w:pPr>
              <w:spacing w:after="0" w:line="240" w:lineRule="auto"/>
              <w:ind w:left="567" w:hanging="567"/>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Supuesto</w:t>
            </w:r>
          </w:p>
        </w:tc>
      </w:tr>
      <w:tr w:rsidR="002153F4" w:rsidRPr="00FE377A" w:rsidTr="0037275D">
        <w:trPr>
          <w:trHeight w:val="280"/>
        </w:trPr>
        <w:tc>
          <w:tcPr>
            <w:tcW w:w="567" w:type="dxa"/>
            <w:tcBorders>
              <w:top w:val="nil"/>
              <w:left w:val="nil"/>
              <w:bottom w:val="nil"/>
              <w:right w:val="nil"/>
            </w:tcBorders>
            <w:shd w:val="clear" w:color="auto" w:fill="auto"/>
            <w:noWrap/>
          </w:tcPr>
          <w:p w:rsidR="002153F4" w:rsidRPr="00FE377A" w:rsidRDefault="00FB1CC1" w:rsidP="00FE377A">
            <w:pPr>
              <w:spacing w:after="0" w:line="240" w:lineRule="auto"/>
              <w:ind w:left="567" w:hanging="567"/>
              <w:jc w:val="right"/>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3</w:t>
            </w:r>
          </w:p>
        </w:tc>
        <w:tc>
          <w:tcPr>
            <w:tcW w:w="3686" w:type="dxa"/>
            <w:tcBorders>
              <w:top w:val="nil"/>
              <w:left w:val="nil"/>
              <w:bottom w:val="nil"/>
              <w:right w:val="single" w:sz="4" w:space="0" w:color="auto"/>
            </w:tcBorders>
            <w:shd w:val="clear" w:color="auto" w:fill="auto"/>
            <w:noWrap/>
            <w:vAlign w:val="bottom"/>
          </w:tcPr>
          <w:p w:rsidR="002153F4" w:rsidRPr="00FE377A" w:rsidRDefault="002153F4" w:rsidP="00FE377A">
            <w:pPr>
              <w:spacing w:after="0" w:line="240" w:lineRule="auto"/>
              <w:ind w:left="567" w:hanging="567"/>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Beneficios anuales 20</w:t>
            </w:r>
            <w:r w:rsidR="00FB1CC1" w:rsidRPr="00FE377A">
              <w:rPr>
                <w:rFonts w:ascii="Arial" w:eastAsia="Times New Roman" w:hAnsi="Arial" w:cs="Arial"/>
                <w:color w:val="000000"/>
                <w:sz w:val="20"/>
                <w:szCs w:val="20"/>
                <w:lang w:val="es-ES"/>
              </w:rPr>
              <w:t>25</w:t>
            </w:r>
            <w:r w:rsidRPr="00FE377A">
              <w:rPr>
                <w:rFonts w:ascii="Arial" w:eastAsia="Times New Roman" w:hAnsi="Arial" w:cs="Arial"/>
                <w:color w:val="000000"/>
                <w:sz w:val="20"/>
                <w:szCs w:val="20"/>
                <w:lang w:val="es-ES"/>
              </w:rPr>
              <w:t xml:space="preserve"> USD</w:t>
            </w:r>
          </w:p>
        </w:tc>
        <w:tc>
          <w:tcPr>
            <w:tcW w:w="1559" w:type="dxa"/>
            <w:tcBorders>
              <w:top w:val="nil"/>
              <w:left w:val="nil"/>
              <w:bottom w:val="nil"/>
              <w:right w:val="single" w:sz="4" w:space="0" w:color="auto"/>
            </w:tcBorders>
            <w:shd w:val="clear" w:color="auto" w:fill="auto"/>
            <w:noWrap/>
            <w:vAlign w:val="center"/>
          </w:tcPr>
          <w:p w:rsidR="002153F4" w:rsidRPr="00FE377A" w:rsidRDefault="00FB1CC1" w:rsidP="00FE377A">
            <w:pPr>
              <w:spacing w:after="0" w:line="240" w:lineRule="auto"/>
              <w:ind w:left="567" w:hanging="567"/>
              <w:jc w:val="right"/>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150</w:t>
            </w:r>
            <w:r w:rsidR="00B74990" w:rsidRPr="00FE377A">
              <w:rPr>
                <w:rFonts w:ascii="Arial" w:eastAsia="Times New Roman" w:hAnsi="Arial" w:cs="Arial"/>
                <w:color w:val="000000"/>
                <w:sz w:val="20"/>
                <w:szCs w:val="20"/>
                <w:lang w:val="es-ES"/>
              </w:rPr>
              <w:t>.000</w:t>
            </w:r>
          </w:p>
        </w:tc>
        <w:tc>
          <w:tcPr>
            <w:tcW w:w="2693" w:type="dxa"/>
            <w:tcBorders>
              <w:top w:val="nil"/>
              <w:left w:val="nil"/>
              <w:bottom w:val="nil"/>
              <w:right w:val="nil"/>
            </w:tcBorders>
            <w:shd w:val="clear" w:color="auto" w:fill="auto"/>
            <w:noWrap/>
            <w:vAlign w:val="center"/>
          </w:tcPr>
          <w:p w:rsidR="002153F4" w:rsidRPr="00FE377A" w:rsidRDefault="004175E2" w:rsidP="00FE377A">
            <w:pPr>
              <w:spacing w:after="0" w:line="240" w:lineRule="auto"/>
              <w:ind w:left="567" w:hanging="567"/>
              <w:rPr>
                <w:rFonts w:ascii="Arial" w:eastAsia="Times New Roman" w:hAnsi="Arial" w:cs="Arial"/>
                <w:color w:val="000000"/>
                <w:sz w:val="20"/>
                <w:szCs w:val="20"/>
                <w:lang w:val="es-ES"/>
              </w:rPr>
            </w:pPr>
            <w:r w:rsidRPr="00FE377A">
              <w:rPr>
                <w:rFonts w:ascii="Arial" w:eastAsia="Times New Roman" w:hAnsi="Arial" w:cs="Arial"/>
                <w:color w:val="000000"/>
                <w:sz w:val="20"/>
                <w:szCs w:val="20"/>
                <w:lang w:val="es-ES"/>
              </w:rPr>
              <w:t>(</w:t>
            </w:r>
            <w:r w:rsidR="00FB1CC1" w:rsidRPr="00FE377A">
              <w:rPr>
                <w:rFonts w:ascii="Arial" w:eastAsia="Times New Roman" w:hAnsi="Arial" w:cs="Arial"/>
                <w:color w:val="000000"/>
                <w:sz w:val="20"/>
                <w:szCs w:val="20"/>
                <w:lang w:val="es-ES"/>
              </w:rPr>
              <w:t>1</w:t>
            </w:r>
            <w:r w:rsidRPr="00FE377A">
              <w:rPr>
                <w:rFonts w:ascii="Arial" w:eastAsia="Times New Roman" w:hAnsi="Arial" w:cs="Arial"/>
                <w:color w:val="000000"/>
                <w:sz w:val="20"/>
                <w:szCs w:val="20"/>
                <w:lang w:val="es-ES"/>
              </w:rPr>
              <w:t>)*(</w:t>
            </w:r>
            <w:r w:rsidR="00FB1CC1" w:rsidRPr="00FE377A">
              <w:rPr>
                <w:rFonts w:ascii="Arial" w:eastAsia="Times New Roman" w:hAnsi="Arial" w:cs="Arial"/>
                <w:color w:val="000000"/>
                <w:sz w:val="20"/>
                <w:szCs w:val="20"/>
                <w:lang w:val="es-ES"/>
              </w:rPr>
              <w:t>2</w:t>
            </w:r>
            <w:r w:rsidRPr="00FE377A">
              <w:rPr>
                <w:rFonts w:ascii="Arial" w:eastAsia="Times New Roman" w:hAnsi="Arial" w:cs="Arial"/>
                <w:color w:val="000000"/>
                <w:sz w:val="20"/>
                <w:szCs w:val="20"/>
                <w:lang w:val="es-ES"/>
              </w:rPr>
              <w:t>)</w:t>
            </w:r>
          </w:p>
        </w:tc>
      </w:tr>
    </w:tbl>
    <w:p w:rsidR="00B84211" w:rsidRPr="00FE377A" w:rsidRDefault="00474B5D" w:rsidP="00B61EB7">
      <w:pPr>
        <w:numPr>
          <w:ilvl w:val="0"/>
          <w:numId w:val="1"/>
        </w:numPr>
        <w:spacing w:before="240" w:after="240" w:line="240" w:lineRule="auto"/>
        <w:ind w:left="567" w:hanging="567"/>
        <w:jc w:val="center"/>
        <w:rPr>
          <w:rFonts w:ascii="Arial" w:hAnsi="Arial" w:cs="Arial"/>
          <w:b/>
          <w:lang w:val="es-ES"/>
        </w:rPr>
      </w:pPr>
      <w:r w:rsidRPr="00FE377A">
        <w:rPr>
          <w:rFonts w:ascii="Arial" w:hAnsi="Arial" w:cs="Arial"/>
          <w:b/>
          <w:lang w:val="es-ES"/>
        </w:rPr>
        <w:t xml:space="preserve">Resultados, </w:t>
      </w:r>
      <w:r w:rsidR="00714298" w:rsidRPr="00FE377A">
        <w:rPr>
          <w:rFonts w:ascii="Arial" w:hAnsi="Arial" w:cs="Arial"/>
          <w:b/>
          <w:lang w:val="es-ES"/>
        </w:rPr>
        <w:t>análisis</w:t>
      </w:r>
      <w:r w:rsidR="00FA3356" w:rsidRPr="00FE377A">
        <w:rPr>
          <w:rFonts w:ascii="Arial" w:hAnsi="Arial" w:cs="Arial"/>
          <w:b/>
          <w:lang w:val="es-ES"/>
        </w:rPr>
        <w:t xml:space="preserve"> de sensibilidad</w:t>
      </w:r>
      <w:r w:rsidRPr="00FE377A">
        <w:rPr>
          <w:rFonts w:ascii="Arial" w:hAnsi="Arial" w:cs="Arial"/>
          <w:b/>
          <w:lang w:val="es-ES"/>
        </w:rPr>
        <w:t xml:space="preserve"> y </w:t>
      </w:r>
      <w:r w:rsidR="00714298" w:rsidRPr="00FE377A">
        <w:rPr>
          <w:rFonts w:ascii="Arial" w:hAnsi="Arial" w:cs="Arial"/>
          <w:b/>
          <w:lang w:val="es-ES"/>
        </w:rPr>
        <w:t>discusión</w:t>
      </w:r>
    </w:p>
    <w:p w:rsidR="00B84211" w:rsidRPr="00FE377A" w:rsidRDefault="00FA3356" w:rsidP="00B61EB7">
      <w:pPr>
        <w:pStyle w:val="Paragraph"/>
        <w:numPr>
          <w:ilvl w:val="1"/>
          <w:numId w:val="6"/>
        </w:numPr>
        <w:ind w:left="720" w:hanging="720"/>
        <w:rPr>
          <w:rFonts w:ascii="Arial" w:hAnsi="Arial" w:cs="Arial"/>
          <w:sz w:val="22"/>
          <w:szCs w:val="22"/>
        </w:rPr>
      </w:pPr>
      <w:r w:rsidRPr="00FE377A">
        <w:rPr>
          <w:rFonts w:ascii="Arial" w:hAnsi="Arial" w:cs="Arial"/>
          <w:sz w:val="22"/>
          <w:szCs w:val="22"/>
        </w:rPr>
        <w:t xml:space="preserve">Debido a la gran cantidad de supuestos sobre los que se basa el </w:t>
      </w:r>
      <w:r w:rsidR="00714298" w:rsidRPr="00FE377A">
        <w:rPr>
          <w:rFonts w:ascii="Arial" w:hAnsi="Arial" w:cs="Arial"/>
          <w:sz w:val="22"/>
          <w:szCs w:val="22"/>
        </w:rPr>
        <w:t>análisis</w:t>
      </w:r>
      <w:r w:rsidRPr="00FE377A">
        <w:rPr>
          <w:rFonts w:ascii="Arial" w:hAnsi="Arial" w:cs="Arial"/>
          <w:sz w:val="22"/>
          <w:szCs w:val="22"/>
        </w:rPr>
        <w:t xml:space="preserve">, presentamos los resultados en paralelo al </w:t>
      </w:r>
      <w:r w:rsidR="00714298" w:rsidRPr="00FE377A">
        <w:rPr>
          <w:rFonts w:ascii="Arial" w:hAnsi="Arial" w:cs="Arial"/>
          <w:sz w:val="22"/>
          <w:szCs w:val="22"/>
        </w:rPr>
        <w:t>análisis</w:t>
      </w:r>
      <w:r w:rsidRPr="00FE377A">
        <w:rPr>
          <w:rFonts w:ascii="Arial" w:hAnsi="Arial" w:cs="Arial"/>
          <w:sz w:val="22"/>
          <w:szCs w:val="22"/>
        </w:rPr>
        <w:t xml:space="preserve"> de sensibilidad</w:t>
      </w:r>
      <w:r w:rsidR="009918CD" w:rsidRPr="00FE377A">
        <w:rPr>
          <w:rFonts w:ascii="Arial" w:hAnsi="Arial" w:cs="Arial"/>
          <w:sz w:val="22"/>
          <w:szCs w:val="22"/>
        </w:rPr>
        <w:t xml:space="preserve"> en la Tabla </w:t>
      </w:r>
      <w:r w:rsidR="00047549" w:rsidRPr="00FE377A">
        <w:rPr>
          <w:rFonts w:ascii="Arial" w:hAnsi="Arial" w:cs="Arial"/>
          <w:sz w:val="22"/>
          <w:szCs w:val="22"/>
        </w:rPr>
        <w:t>4</w:t>
      </w:r>
      <w:r w:rsidR="00B41E8F" w:rsidRPr="00FE377A">
        <w:rPr>
          <w:rFonts w:ascii="Arial" w:hAnsi="Arial" w:cs="Arial"/>
          <w:sz w:val="22"/>
          <w:szCs w:val="22"/>
        </w:rPr>
        <w:t>.</w:t>
      </w:r>
    </w:p>
    <w:tbl>
      <w:tblPr>
        <w:tblW w:w="6379" w:type="dxa"/>
        <w:tblInd w:w="675" w:type="dxa"/>
        <w:tblLayout w:type="fixed"/>
        <w:tblLook w:val="04A0" w:firstRow="1" w:lastRow="0" w:firstColumn="1" w:lastColumn="0" w:noHBand="0" w:noVBand="1"/>
      </w:tblPr>
      <w:tblGrid>
        <w:gridCol w:w="850"/>
        <w:gridCol w:w="3545"/>
        <w:gridCol w:w="1984"/>
      </w:tblGrid>
      <w:tr w:rsidR="00047549" w:rsidRPr="001D03BD" w:rsidTr="00566F72">
        <w:trPr>
          <w:gridAfter w:val="2"/>
          <w:wAfter w:w="5529" w:type="dxa"/>
          <w:trHeight w:val="300"/>
        </w:trPr>
        <w:tc>
          <w:tcPr>
            <w:tcW w:w="850" w:type="dxa"/>
            <w:tcBorders>
              <w:top w:val="nil"/>
              <w:left w:val="nil"/>
              <w:bottom w:val="single" w:sz="4" w:space="0" w:color="auto"/>
            </w:tcBorders>
            <w:shd w:val="clear" w:color="auto" w:fill="auto"/>
          </w:tcPr>
          <w:p w:rsidR="00047549" w:rsidRPr="00FE377A" w:rsidRDefault="00047549" w:rsidP="00FE377A">
            <w:pPr>
              <w:pStyle w:val="Entabla"/>
              <w:rPr>
                <w:rFonts w:ascii="Arial" w:hAnsi="Arial" w:cs="Arial"/>
                <w:b/>
                <w:sz w:val="20"/>
                <w:szCs w:val="20"/>
                <w:lang w:val="es-ES_tradnl"/>
              </w:rPr>
            </w:pPr>
          </w:p>
        </w:tc>
      </w:tr>
      <w:tr w:rsidR="00047549" w:rsidRPr="00FE377A" w:rsidTr="00C41DC2">
        <w:trPr>
          <w:trHeight w:val="720"/>
        </w:trPr>
        <w:tc>
          <w:tcPr>
            <w:tcW w:w="4395" w:type="dxa"/>
            <w:gridSpan w:val="2"/>
            <w:tcBorders>
              <w:top w:val="single" w:sz="4" w:space="0" w:color="auto"/>
              <w:left w:val="nil"/>
              <w:bottom w:val="single" w:sz="4" w:space="0" w:color="auto"/>
              <w:right w:val="nil"/>
            </w:tcBorders>
            <w:shd w:val="clear" w:color="auto" w:fill="auto"/>
            <w:noWrap/>
            <w:vAlign w:val="center"/>
          </w:tcPr>
          <w:p w:rsidR="00047549" w:rsidRPr="00FE377A" w:rsidRDefault="00047549" w:rsidP="00FE377A">
            <w:pPr>
              <w:pStyle w:val="Entabla"/>
              <w:rPr>
                <w:rFonts w:ascii="Arial" w:hAnsi="Arial" w:cs="Arial"/>
                <w:b/>
                <w:sz w:val="20"/>
                <w:szCs w:val="20"/>
                <w:lang w:val="es-ES_tradnl"/>
              </w:rPr>
            </w:pPr>
            <w:r w:rsidRPr="00FE377A">
              <w:rPr>
                <w:rFonts w:ascii="Arial" w:hAnsi="Arial" w:cs="Arial"/>
                <w:b/>
                <w:sz w:val="20"/>
                <w:szCs w:val="20"/>
                <w:lang w:val="es-ES_tradnl"/>
              </w:rPr>
              <w:t>Tabla 4- Sensibilidad y Resultados</w:t>
            </w:r>
          </w:p>
        </w:tc>
        <w:tc>
          <w:tcPr>
            <w:tcW w:w="1984" w:type="dxa"/>
            <w:tcBorders>
              <w:top w:val="nil"/>
              <w:left w:val="nil"/>
              <w:bottom w:val="single" w:sz="4" w:space="0" w:color="auto"/>
              <w:right w:val="nil"/>
            </w:tcBorders>
            <w:shd w:val="clear" w:color="auto" w:fill="auto"/>
            <w:vAlign w:val="center"/>
          </w:tcPr>
          <w:p w:rsidR="00047549" w:rsidRPr="00FE377A" w:rsidRDefault="00047549" w:rsidP="00FE377A">
            <w:pPr>
              <w:pStyle w:val="Entabla"/>
              <w:rPr>
                <w:rFonts w:ascii="Arial" w:hAnsi="Arial" w:cs="Arial"/>
                <w:b/>
                <w:sz w:val="20"/>
                <w:szCs w:val="20"/>
              </w:rPr>
            </w:pPr>
          </w:p>
        </w:tc>
      </w:tr>
      <w:tr w:rsidR="00047549" w:rsidRPr="00FE377A" w:rsidTr="00C41DC2">
        <w:trPr>
          <w:trHeight w:val="720"/>
        </w:trPr>
        <w:tc>
          <w:tcPr>
            <w:tcW w:w="4395" w:type="dxa"/>
            <w:gridSpan w:val="2"/>
            <w:tcBorders>
              <w:top w:val="nil"/>
              <w:left w:val="nil"/>
              <w:bottom w:val="single" w:sz="4" w:space="0" w:color="auto"/>
              <w:right w:val="nil"/>
            </w:tcBorders>
            <w:shd w:val="clear" w:color="auto" w:fill="auto"/>
            <w:noWrap/>
            <w:vAlign w:val="center"/>
            <w:hideMark/>
          </w:tcPr>
          <w:p w:rsidR="00047549" w:rsidRPr="00FE377A" w:rsidRDefault="00047549" w:rsidP="00FE377A">
            <w:pPr>
              <w:pStyle w:val="Entabla"/>
              <w:rPr>
                <w:rFonts w:ascii="Arial" w:hAnsi="Arial" w:cs="Arial"/>
                <w:b/>
                <w:sz w:val="20"/>
                <w:szCs w:val="20"/>
                <w:lang w:val="es-ES_tradnl"/>
              </w:rPr>
            </w:pPr>
          </w:p>
        </w:tc>
        <w:tc>
          <w:tcPr>
            <w:tcW w:w="1984" w:type="dxa"/>
            <w:tcBorders>
              <w:top w:val="nil"/>
              <w:left w:val="nil"/>
              <w:bottom w:val="single" w:sz="4" w:space="0" w:color="auto"/>
              <w:right w:val="nil"/>
            </w:tcBorders>
            <w:shd w:val="clear" w:color="auto" w:fill="auto"/>
            <w:vAlign w:val="center"/>
            <w:hideMark/>
          </w:tcPr>
          <w:p w:rsidR="00047549" w:rsidRPr="00FE377A" w:rsidRDefault="00047549" w:rsidP="00FE377A">
            <w:pPr>
              <w:pStyle w:val="Entabla"/>
              <w:rPr>
                <w:rFonts w:ascii="Arial" w:hAnsi="Arial" w:cs="Arial"/>
                <w:b/>
                <w:sz w:val="20"/>
                <w:szCs w:val="20"/>
              </w:rPr>
            </w:pPr>
            <w:r w:rsidRPr="00FE377A">
              <w:rPr>
                <w:rFonts w:ascii="Arial" w:hAnsi="Arial" w:cs="Arial"/>
                <w:b/>
                <w:sz w:val="20"/>
                <w:szCs w:val="20"/>
              </w:rPr>
              <w:t xml:space="preserve">VP Neto </w:t>
            </w:r>
          </w:p>
          <w:p w:rsidR="00047549" w:rsidRPr="00FE377A" w:rsidRDefault="00047549" w:rsidP="00FE377A">
            <w:pPr>
              <w:pStyle w:val="Entabla"/>
              <w:rPr>
                <w:rFonts w:ascii="Arial" w:hAnsi="Arial" w:cs="Arial"/>
                <w:b/>
                <w:sz w:val="20"/>
                <w:szCs w:val="20"/>
              </w:rPr>
            </w:pPr>
            <w:r w:rsidRPr="00FE377A">
              <w:rPr>
                <w:rFonts w:ascii="Arial" w:hAnsi="Arial" w:cs="Arial"/>
                <w:b/>
                <w:sz w:val="20"/>
                <w:szCs w:val="20"/>
              </w:rPr>
              <w:t>(USD)</w:t>
            </w:r>
          </w:p>
        </w:tc>
      </w:tr>
      <w:tr w:rsidR="00047549" w:rsidRPr="00FE377A" w:rsidTr="00C41DC2">
        <w:trPr>
          <w:trHeight w:val="300"/>
        </w:trPr>
        <w:tc>
          <w:tcPr>
            <w:tcW w:w="4395" w:type="dxa"/>
            <w:gridSpan w:val="2"/>
            <w:tcBorders>
              <w:top w:val="nil"/>
              <w:left w:val="nil"/>
              <w:bottom w:val="single" w:sz="4" w:space="0" w:color="auto"/>
              <w:right w:val="nil"/>
            </w:tcBorders>
            <w:shd w:val="clear" w:color="auto" w:fill="auto"/>
            <w:noWrap/>
            <w:vAlign w:val="center"/>
            <w:hideMark/>
          </w:tcPr>
          <w:p w:rsidR="00047549" w:rsidRPr="00FE377A" w:rsidRDefault="00047549" w:rsidP="00FE377A">
            <w:pPr>
              <w:pStyle w:val="Entabla"/>
              <w:rPr>
                <w:rFonts w:ascii="Arial" w:hAnsi="Arial" w:cs="Arial"/>
                <w:b/>
                <w:sz w:val="20"/>
                <w:szCs w:val="20"/>
                <w:lang w:val="es-ES_tradnl"/>
              </w:rPr>
            </w:pPr>
            <w:r w:rsidRPr="00FE377A">
              <w:rPr>
                <w:rFonts w:ascii="Arial" w:hAnsi="Arial" w:cs="Arial"/>
                <w:b/>
                <w:sz w:val="20"/>
                <w:szCs w:val="20"/>
                <w:lang w:val="es-ES_tradnl"/>
              </w:rPr>
              <w:t>Escenario 1-Base</w:t>
            </w:r>
          </w:p>
        </w:tc>
        <w:tc>
          <w:tcPr>
            <w:tcW w:w="1984" w:type="dxa"/>
            <w:tcBorders>
              <w:top w:val="nil"/>
              <w:left w:val="nil"/>
              <w:bottom w:val="single" w:sz="4" w:space="0" w:color="auto"/>
              <w:right w:val="nil"/>
            </w:tcBorders>
            <w:shd w:val="clear" w:color="auto" w:fill="auto"/>
            <w:noWrap/>
            <w:vAlign w:val="center"/>
            <w:hideMark/>
          </w:tcPr>
          <w:p w:rsidR="00047549" w:rsidRPr="00FE377A" w:rsidRDefault="00047549" w:rsidP="00FE377A">
            <w:pPr>
              <w:pStyle w:val="Entabla"/>
              <w:rPr>
                <w:rFonts w:ascii="Arial" w:hAnsi="Arial" w:cs="Arial"/>
                <w:b/>
                <w:sz w:val="20"/>
                <w:szCs w:val="20"/>
                <w:lang w:val="es-ES_tradnl"/>
              </w:rPr>
            </w:pPr>
            <w:r w:rsidRPr="00FE377A">
              <w:rPr>
                <w:rFonts w:ascii="Arial" w:hAnsi="Arial" w:cs="Arial"/>
                <w:b/>
                <w:sz w:val="20"/>
                <w:szCs w:val="20"/>
                <w:lang w:val="es-ES_tradnl"/>
              </w:rPr>
              <w:t> </w:t>
            </w: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hideMark/>
          </w:tcPr>
          <w:p w:rsidR="00047549" w:rsidRPr="00FE377A" w:rsidRDefault="00C271C7" w:rsidP="00FE377A">
            <w:pPr>
              <w:pStyle w:val="Entabla"/>
              <w:rPr>
                <w:rFonts w:ascii="Arial" w:hAnsi="Arial" w:cs="Arial"/>
                <w:sz w:val="20"/>
                <w:szCs w:val="20"/>
              </w:rPr>
            </w:pPr>
            <w:r>
              <w:rPr>
                <w:rFonts w:ascii="Arial" w:hAnsi="Arial" w:cs="Arial"/>
                <w:sz w:val="20"/>
                <w:szCs w:val="20"/>
              </w:rPr>
              <w:t>Proyectos</w:t>
            </w:r>
            <w:r w:rsidRPr="00FE377A">
              <w:rPr>
                <w:rFonts w:ascii="Arial" w:hAnsi="Arial" w:cs="Arial"/>
                <w:sz w:val="20"/>
                <w:szCs w:val="20"/>
              </w:rPr>
              <w:t xml:space="preserve"> </w:t>
            </w:r>
            <w:r w:rsidR="00047549" w:rsidRPr="00FE377A">
              <w:rPr>
                <w:rFonts w:ascii="Arial" w:hAnsi="Arial" w:cs="Arial"/>
                <w:sz w:val="20"/>
                <w:szCs w:val="20"/>
              </w:rPr>
              <w:t xml:space="preserve">de APP </w:t>
            </w:r>
          </w:p>
        </w:tc>
        <w:tc>
          <w:tcPr>
            <w:tcW w:w="1984" w:type="dxa"/>
            <w:tcBorders>
              <w:top w:val="nil"/>
              <w:left w:val="nil"/>
              <w:bottom w:val="nil"/>
              <w:right w:val="nil"/>
            </w:tcBorders>
            <w:shd w:val="clear" w:color="auto" w:fill="auto"/>
            <w:noWrap/>
            <w:vAlign w:val="center"/>
            <w:hideMark/>
          </w:tcPr>
          <w:p w:rsidR="00047549" w:rsidRPr="00FE377A" w:rsidRDefault="00C46FAC" w:rsidP="00FE377A">
            <w:pPr>
              <w:pStyle w:val="Entabla"/>
              <w:rPr>
                <w:rFonts w:ascii="Arial" w:hAnsi="Arial" w:cs="Arial"/>
                <w:sz w:val="20"/>
                <w:szCs w:val="20"/>
              </w:rPr>
            </w:pPr>
            <w:r w:rsidRPr="00FE377A">
              <w:rPr>
                <w:rFonts w:ascii="Arial" w:hAnsi="Arial" w:cs="Arial"/>
                <w:sz w:val="20"/>
                <w:szCs w:val="20"/>
              </w:rPr>
              <w:t>225.600.000</w:t>
            </w: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c>
          <w:tcPr>
            <w:tcW w:w="1984" w:type="dxa"/>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hideMark/>
          </w:tcPr>
          <w:p w:rsidR="00047549" w:rsidRPr="00FE377A" w:rsidRDefault="00047549" w:rsidP="00FE377A">
            <w:pPr>
              <w:pStyle w:val="Entabla"/>
              <w:rPr>
                <w:rFonts w:ascii="Arial" w:hAnsi="Arial" w:cs="Arial"/>
                <w:sz w:val="20"/>
                <w:szCs w:val="20"/>
              </w:rPr>
            </w:pPr>
            <w:r w:rsidRPr="00FE377A">
              <w:rPr>
                <w:rFonts w:ascii="Arial" w:hAnsi="Arial" w:cs="Arial"/>
                <w:sz w:val="20"/>
                <w:szCs w:val="20"/>
              </w:rPr>
              <w:t>Fortalecimiento de etapa de pre inversión</w:t>
            </w:r>
          </w:p>
        </w:tc>
        <w:tc>
          <w:tcPr>
            <w:tcW w:w="1984" w:type="dxa"/>
            <w:tcBorders>
              <w:top w:val="nil"/>
              <w:left w:val="nil"/>
              <w:bottom w:val="nil"/>
              <w:right w:val="nil"/>
            </w:tcBorders>
            <w:shd w:val="clear" w:color="auto" w:fill="auto"/>
            <w:noWrap/>
            <w:vAlign w:val="center"/>
            <w:hideMark/>
          </w:tcPr>
          <w:p w:rsidR="00047549" w:rsidRPr="00FE377A" w:rsidRDefault="00C46FAC" w:rsidP="00FE377A">
            <w:pPr>
              <w:pStyle w:val="Entabla"/>
              <w:rPr>
                <w:rFonts w:ascii="Arial" w:hAnsi="Arial" w:cs="Arial"/>
                <w:sz w:val="20"/>
                <w:szCs w:val="20"/>
              </w:rPr>
            </w:pPr>
            <w:r w:rsidRPr="00FE377A">
              <w:rPr>
                <w:rFonts w:ascii="Arial" w:hAnsi="Arial" w:cs="Arial"/>
                <w:sz w:val="20"/>
                <w:szCs w:val="20"/>
              </w:rPr>
              <w:t>1.060.477</w:t>
            </w: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c>
          <w:tcPr>
            <w:tcW w:w="1984" w:type="dxa"/>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r w:rsidRPr="00FE377A">
              <w:rPr>
                <w:rFonts w:ascii="Arial" w:hAnsi="Arial" w:cs="Arial"/>
                <w:sz w:val="20"/>
                <w:szCs w:val="20"/>
              </w:rPr>
              <w:t>Total</w:t>
            </w:r>
          </w:p>
        </w:tc>
        <w:tc>
          <w:tcPr>
            <w:tcW w:w="1984" w:type="dxa"/>
            <w:tcBorders>
              <w:top w:val="nil"/>
              <w:left w:val="nil"/>
              <w:bottom w:val="nil"/>
              <w:right w:val="nil"/>
            </w:tcBorders>
            <w:shd w:val="clear" w:color="auto" w:fill="auto"/>
            <w:noWrap/>
            <w:vAlign w:val="center"/>
          </w:tcPr>
          <w:p w:rsidR="00047549" w:rsidRPr="00FE377A" w:rsidRDefault="00EA4E57" w:rsidP="00FE377A">
            <w:pPr>
              <w:pStyle w:val="Entabla"/>
              <w:rPr>
                <w:rFonts w:ascii="Arial" w:hAnsi="Arial" w:cs="Arial"/>
                <w:sz w:val="20"/>
                <w:szCs w:val="20"/>
              </w:rPr>
            </w:pPr>
            <w:r w:rsidRPr="00FE377A">
              <w:rPr>
                <w:rFonts w:ascii="Arial" w:hAnsi="Arial" w:cs="Arial"/>
                <w:sz w:val="20"/>
                <w:szCs w:val="20"/>
              </w:rPr>
              <w:t>226.660.477</w:t>
            </w:r>
          </w:p>
        </w:tc>
      </w:tr>
      <w:tr w:rsidR="00047549" w:rsidRPr="00FE377A" w:rsidTr="00C41DC2">
        <w:trPr>
          <w:trHeight w:val="300"/>
        </w:trPr>
        <w:tc>
          <w:tcPr>
            <w:tcW w:w="4395" w:type="dxa"/>
            <w:gridSpan w:val="2"/>
            <w:tcBorders>
              <w:top w:val="single" w:sz="4" w:space="0" w:color="auto"/>
              <w:left w:val="nil"/>
              <w:bottom w:val="single" w:sz="4" w:space="0" w:color="auto"/>
              <w:right w:val="nil"/>
            </w:tcBorders>
            <w:shd w:val="clear" w:color="auto" w:fill="auto"/>
            <w:noWrap/>
            <w:vAlign w:val="center"/>
            <w:hideMark/>
          </w:tcPr>
          <w:p w:rsidR="00047549" w:rsidRPr="00FE377A" w:rsidRDefault="00047549" w:rsidP="00FE377A">
            <w:pPr>
              <w:pStyle w:val="Entabla"/>
              <w:rPr>
                <w:rFonts w:ascii="Arial" w:hAnsi="Arial" w:cs="Arial"/>
                <w:b/>
                <w:sz w:val="20"/>
                <w:szCs w:val="20"/>
                <w:lang w:val="es-ES_tradnl"/>
              </w:rPr>
            </w:pPr>
            <w:r w:rsidRPr="00FE377A">
              <w:rPr>
                <w:rFonts w:ascii="Arial" w:hAnsi="Arial" w:cs="Arial"/>
                <w:b/>
                <w:sz w:val="20"/>
                <w:szCs w:val="20"/>
                <w:lang w:val="es-ES_tradnl"/>
              </w:rPr>
              <w:t>Escenario 2-Conservador</w:t>
            </w:r>
          </w:p>
        </w:tc>
        <w:tc>
          <w:tcPr>
            <w:tcW w:w="1984" w:type="dxa"/>
            <w:tcBorders>
              <w:top w:val="single" w:sz="4" w:space="0" w:color="auto"/>
              <w:left w:val="nil"/>
              <w:bottom w:val="single" w:sz="4" w:space="0" w:color="auto"/>
              <w:right w:val="nil"/>
            </w:tcBorders>
            <w:shd w:val="clear" w:color="auto" w:fill="auto"/>
            <w:noWrap/>
            <w:vAlign w:val="center"/>
            <w:hideMark/>
          </w:tcPr>
          <w:p w:rsidR="00047549" w:rsidRPr="00FE377A" w:rsidRDefault="00047549" w:rsidP="00FE377A">
            <w:pPr>
              <w:pStyle w:val="Entabla"/>
              <w:rPr>
                <w:rFonts w:ascii="Arial" w:hAnsi="Arial" w:cs="Arial"/>
                <w:b/>
                <w:sz w:val="20"/>
                <w:szCs w:val="20"/>
                <w:lang w:val="es-ES_tradnl"/>
              </w:rPr>
            </w:pPr>
            <w:r w:rsidRPr="00FE377A">
              <w:rPr>
                <w:rFonts w:ascii="Arial" w:hAnsi="Arial" w:cs="Arial"/>
                <w:b/>
                <w:sz w:val="20"/>
                <w:szCs w:val="20"/>
                <w:lang w:val="es-ES_tradnl"/>
              </w:rPr>
              <w:t> </w:t>
            </w: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tcPr>
          <w:p w:rsidR="00047549" w:rsidRPr="00FE377A" w:rsidRDefault="00C271C7" w:rsidP="00FE377A">
            <w:pPr>
              <w:pStyle w:val="Entabla"/>
              <w:rPr>
                <w:rFonts w:ascii="Arial" w:hAnsi="Arial" w:cs="Arial"/>
                <w:sz w:val="20"/>
                <w:szCs w:val="20"/>
              </w:rPr>
            </w:pPr>
            <w:r>
              <w:rPr>
                <w:rFonts w:ascii="Arial" w:hAnsi="Arial" w:cs="Arial"/>
                <w:sz w:val="20"/>
                <w:szCs w:val="20"/>
              </w:rPr>
              <w:t>Proyectos</w:t>
            </w:r>
            <w:r w:rsidRPr="00FE377A">
              <w:rPr>
                <w:rFonts w:ascii="Arial" w:hAnsi="Arial" w:cs="Arial"/>
                <w:sz w:val="20"/>
                <w:szCs w:val="20"/>
              </w:rPr>
              <w:t xml:space="preserve"> </w:t>
            </w:r>
            <w:r w:rsidR="00047549" w:rsidRPr="00FE377A">
              <w:rPr>
                <w:rFonts w:ascii="Arial" w:hAnsi="Arial" w:cs="Arial"/>
                <w:sz w:val="20"/>
                <w:szCs w:val="20"/>
              </w:rPr>
              <w:t xml:space="preserve">de APP </w:t>
            </w:r>
          </w:p>
        </w:tc>
        <w:tc>
          <w:tcPr>
            <w:tcW w:w="1984" w:type="dxa"/>
            <w:tcBorders>
              <w:top w:val="nil"/>
              <w:left w:val="nil"/>
              <w:bottom w:val="nil"/>
              <w:right w:val="nil"/>
            </w:tcBorders>
            <w:shd w:val="clear" w:color="auto" w:fill="auto"/>
            <w:noWrap/>
            <w:vAlign w:val="center"/>
          </w:tcPr>
          <w:p w:rsidR="00047549" w:rsidRPr="00FE377A" w:rsidRDefault="00C46FAC" w:rsidP="00FE377A">
            <w:pPr>
              <w:pStyle w:val="Entabla"/>
              <w:rPr>
                <w:rFonts w:ascii="Arial" w:hAnsi="Arial" w:cs="Arial"/>
                <w:sz w:val="20"/>
                <w:szCs w:val="20"/>
              </w:rPr>
            </w:pPr>
            <w:r w:rsidRPr="00FE377A">
              <w:rPr>
                <w:rFonts w:ascii="Arial" w:hAnsi="Arial" w:cs="Arial"/>
                <w:sz w:val="20"/>
                <w:szCs w:val="20"/>
              </w:rPr>
              <w:t>225.600.000</w:t>
            </w: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c>
          <w:tcPr>
            <w:tcW w:w="1984" w:type="dxa"/>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hideMark/>
          </w:tcPr>
          <w:p w:rsidR="00047549" w:rsidRPr="00FE377A" w:rsidRDefault="00047549" w:rsidP="00FE377A">
            <w:pPr>
              <w:pStyle w:val="Entabla"/>
              <w:rPr>
                <w:rFonts w:ascii="Arial" w:hAnsi="Arial" w:cs="Arial"/>
                <w:sz w:val="20"/>
                <w:szCs w:val="20"/>
              </w:rPr>
            </w:pPr>
            <w:r w:rsidRPr="00FE377A">
              <w:rPr>
                <w:rFonts w:ascii="Arial" w:hAnsi="Arial" w:cs="Arial"/>
                <w:sz w:val="20"/>
                <w:szCs w:val="20"/>
              </w:rPr>
              <w:t>Fortalecimiento de etapa de pre inversión</w:t>
            </w:r>
          </w:p>
        </w:tc>
        <w:tc>
          <w:tcPr>
            <w:tcW w:w="1984" w:type="dxa"/>
            <w:tcBorders>
              <w:top w:val="nil"/>
              <w:left w:val="nil"/>
              <w:bottom w:val="nil"/>
              <w:right w:val="nil"/>
            </w:tcBorders>
            <w:shd w:val="clear" w:color="auto" w:fill="auto"/>
            <w:noWrap/>
            <w:vAlign w:val="center"/>
            <w:hideMark/>
          </w:tcPr>
          <w:p w:rsidR="00047549" w:rsidRPr="00FE377A" w:rsidRDefault="00607687" w:rsidP="00FE377A">
            <w:pPr>
              <w:pStyle w:val="Entabla"/>
              <w:rPr>
                <w:rFonts w:ascii="Arial" w:hAnsi="Arial" w:cs="Arial"/>
                <w:sz w:val="20"/>
                <w:szCs w:val="20"/>
              </w:rPr>
            </w:pPr>
            <w:r w:rsidRPr="00FE377A">
              <w:rPr>
                <w:rFonts w:ascii="Arial" w:hAnsi="Arial" w:cs="Arial"/>
                <w:sz w:val="20"/>
                <w:szCs w:val="20"/>
              </w:rPr>
              <w:t>690.062</w:t>
            </w: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c>
          <w:tcPr>
            <w:tcW w:w="1984" w:type="dxa"/>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r w:rsidRPr="00FE377A">
              <w:rPr>
                <w:rFonts w:ascii="Arial" w:hAnsi="Arial" w:cs="Arial"/>
                <w:sz w:val="20"/>
                <w:szCs w:val="20"/>
              </w:rPr>
              <w:t>Total</w:t>
            </w:r>
          </w:p>
        </w:tc>
        <w:tc>
          <w:tcPr>
            <w:tcW w:w="1984" w:type="dxa"/>
            <w:tcBorders>
              <w:top w:val="nil"/>
              <w:left w:val="nil"/>
              <w:bottom w:val="nil"/>
              <w:right w:val="nil"/>
            </w:tcBorders>
            <w:shd w:val="clear" w:color="auto" w:fill="auto"/>
            <w:noWrap/>
            <w:vAlign w:val="center"/>
          </w:tcPr>
          <w:p w:rsidR="00047549" w:rsidRPr="00FE377A" w:rsidRDefault="00EA4E57" w:rsidP="00FE377A">
            <w:pPr>
              <w:pStyle w:val="Entabla"/>
              <w:rPr>
                <w:rFonts w:ascii="Arial" w:hAnsi="Arial" w:cs="Arial"/>
                <w:sz w:val="20"/>
                <w:szCs w:val="20"/>
              </w:rPr>
            </w:pPr>
            <w:r w:rsidRPr="00FE377A">
              <w:rPr>
                <w:rFonts w:ascii="Arial" w:hAnsi="Arial" w:cs="Arial"/>
                <w:sz w:val="20"/>
                <w:szCs w:val="20"/>
              </w:rPr>
              <w:t>226.290.062</w:t>
            </w:r>
          </w:p>
        </w:tc>
      </w:tr>
      <w:tr w:rsidR="00047549" w:rsidRPr="00FE377A" w:rsidTr="00C41DC2">
        <w:trPr>
          <w:trHeight w:val="287"/>
        </w:trPr>
        <w:tc>
          <w:tcPr>
            <w:tcW w:w="4395" w:type="dxa"/>
            <w:gridSpan w:val="2"/>
            <w:tcBorders>
              <w:top w:val="single" w:sz="4" w:space="0" w:color="auto"/>
              <w:left w:val="nil"/>
              <w:bottom w:val="single" w:sz="4" w:space="0" w:color="auto"/>
              <w:right w:val="nil"/>
            </w:tcBorders>
            <w:shd w:val="clear" w:color="auto" w:fill="auto"/>
            <w:vAlign w:val="center"/>
          </w:tcPr>
          <w:p w:rsidR="00047549" w:rsidRPr="00FE377A" w:rsidRDefault="00047549" w:rsidP="00FE377A">
            <w:pPr>
              <w:pStyle w:val="Entabla"/>
              <w:rPr>
                <w:rFonts w:ascii="Arial" w:hAnsi="Arial" w:cs="Arial"/>
                <w:b/>
                <w:sz w:val="20"/>
                <w:szCs w:val="20"/>
                <w:lang w:val="es-ES_tradnl"/>
              </w:rPr>
            </w:pPr>
            <w:r w:rsidRPr="00FE377A">
              <w:rPr>
                <w:rFonts w:ascii="Arial" w:hAnsi="Arial" w:cs="Arial"/>
                <w:b/>
                <w:sz w:val="20"/>
                <w:szCs w:val="20"/>
                <w:lang w:val="es-ES_tradnl"/>
              </w:rPr>
              <w:t>Escenario 3-Favorable</w:t>
            </w:r>
          </w:p>
        </w:tc>
        <w:tc>
          <w:tcPr>
            <w:tcW w:w="1984" w:type="dxa"/>
            <w:tcBorders>
              <w:top w:val="single" w:sz="4" w:space="0" w:color="auto"/>
              <w:left w:val="nil"/>
              <w:bottom w:val="single" w:sz="4" w:space="0" w:color="auto"/>
              <w:right w:val="nil"/>
            </w:tcBorders>
            <w:shd w:val="clear" w:color="auto" w:fill="auto"/>
            <w:noWrap/>
            <w:vAlign w:val="center"/>
          </w:tcPr>
          <w:p w:rsidR="00047549" w:rsidRPr="00FE377A" w:rsidRDefault="00047549" w:rsidP="00FE377A">
            <w:pPr>
              <w:pStyle w:val="Entabla"/>
              <w:rPr>
                <w:rFonts w:ascii="Arial" w:hAnsi="Arial" w:cs="Arial"/>
                <w:b/>
                <w:sz w:val="20"/>
                <w:szCs w:val="20"/>
                <w:lang w:val="es-ES_tradnl"/>
              </w:rPr>
            </w:pPr>
            <w:r w:rsidRPr="00FE377A">
              <w:rPr>
                <w:rFonts w:ascii="Arial" w:hAnsi="Arial" w:cs="Arial"/>
                <w:b/>
                <w:sz w:val="20"/>
                <w:szCs w:val="20"/>
                <w:lang w:val="es-ES_tradnl"/>
              </w:rPr>
              <w:t> </w:t>
            </w: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hideMark/>
          </w:tcPr>
          <w:p w:rsidR="00047549" w:rsidRPr="00FE377A" w:rsidRDefault="00C271C7" w:rsidP="00FE377A">
            <w:pPr>
              <w:pStyle w:val="Entabla"/>
              <w:rPr>
                <w:rFonts w:ascii="Arial" w:hAnsi="Arial" w:cs="Arial"/>
                <w:sz w:val="20"/>
                <w:szCs w:val="20"/>
              </w:rPr>
            </w:pPr>
            <w:r>
              <w:rPr>
                <w:rFonts w:ascii="Arial" w:hAnsi="Arial" w:cs="Arial"/>
                <w:sz w:val="20"/>
                <w:szCs w:val="20"/>
              </w:rPr>
              <w:t>Proyectos de</w:t>
            </w:r>
            <w:r w:rsidRPr="00FE377A">
              <w:rPr>
                <w:rFonts w:ascii="Arial" w:hAnsi="Arial" w:cs="Arial"/>
                <w:sz w:val="20"/>
                <w:szCs w:val="20"/>
              </w:rPr>
              <w:t xml:space="preserve"> </w:t>
            </w:r>
            <w:r w:rsidR="00047549" w:rsidRPr="00FE377A">
              <w:rPr>
                <w:rFonts w:ascii="Arial" w:hAnsi="Arial" w:cs="Arial"/>
                <w:sz w:val="20"/>
                <w:szCs w:val="20"/>
              </w:rPr>
              <w:t xml:space="preserve">de APP </w:t>
            </w:r>
          </w:p>
        </w:tc>
        <w:tc>
          <w:tcPr>
            <w:tcW w:w="1984" w:type="dxa"/>
            <w:tcBorders>
              <w:top w:val="nil"/>
              <w:left w:val="nil"/>
              <w:bottom w:val="nil"/>
              <w:right w:val="nil"/>
            </w:tcBorders>
            <w:shd w:val="clear" w:color="auto" w:fill="auto"/>
            <w:noWrap/>
            <w:vAlign w:val="center"/>
            <w:hideMark/>
          </w:tcPr>
          <w:p w:rsidR="00047549" w:rsidRPr="00FE377A" w:rsidRDefault="00C46FAC" w:rsidP="00FE377A">
            <w:pPr>
              <w:pStyle w:val="Entabla"/>
              <w:rPr>
                <w:rFonts w:ascii="Arial" w:hAnsi="Arial" w:cs="Arial"/>
                <w:sz w:val="20"/>
                <w:szCs w:val="20"/>
              </w:rPr>
            </w:pPr>
            <w:r w:rsidRPr="00FE377A">
              <w:rPr>
                <w:rFonts w:ascii="Arial" w:hAnsi="Arial" w:cs="Arial"/>
                <w:sz w:val="20"/>
                <w:szCs w:val="20"/>
              </w:rPr>
              <w:t>225.600.000</w:t>
            </w: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c>
          <w:tcPr>
            <w:tcW w:w="1984" w:type="dxa"/>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hideMark/>
          </w:tcPr>
          <w:p w:rsidR="00047549" w:rsidRPr="00FE377A" w:rsidRDefault="00047549" w:rsidP="00FE377A">
            <w:pPr>
              <w:pStyle w:val="Entabla"/>
              <w:rPr>
                <w:rFonts w:ascii="Arial" w:hAnsi="Arial" w:cs="Arial"/>
                <w:sz w:val="20"/>
                <w:szCs w:val="20"/>
              </w:rPr>
            </w:pPr>
            <w:r w:rsidRPr="00FE377A">
              <w:rPr>
                <w:rFonts w:ascii="Arial" w:hAnsi="Arial" w:cs="Arial"/>
                <w:sz w:val="20"/>
                <w:szCs w:val="20"/>
              </w:rPr>
              <w:t>Fortalecimiento de etapa de pre inversión</w:t>
            </w:r>
          </w:p>
        </w:tc>
        <w:tc>
          <w:tcPr>
            <w:tcW w:w="1984" w:type="dxa"/>
            <w:tcBorders>
              <w:top w:val="nil"/>
              <w:left w:val="nil"/>
              <w:bottom w:val="nil"/>
              <w:right w:val="nil"/>
            </w:tcBorders>
            <w:shd w:val="clear" w:color="auto" w:fill="auto"/>
            <w:noWrap/>
            <w:vAlign w:val="center"/>
            <w:hideMark/>
          </w:tcPr>
          <w:p w:rsidR="00047549" w:rsidRPr="00FE377A" w:rsidRDefault="00F70BA8" w:rsidP="00FE377A">
            <w:pPr>
              <w:pStyle w:val="Entabla"/>
              <w:rPr>
                <w:rFonts w:ascii="Arial" w:hAnsi="Arial" w:cs="Arial"/>
                <w:sz w:val="20"/>
                <w:szCs w:val="20"/>
              </w:rPr>
            </w:pPr>
            <w:r w:rsidRPr="00FE377A">
              <w:rPr>
                <w:rFonts w:ascii="Arial" w:hAnsi="Arial" w:cs="Arial"/>
                <w:sz w:val="20"/>
                <w:szCs w:val="20"/>
              </w:rPr>
              <w:t>1.430.893</w:t>
            </w: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c>
          <w:tcPr>
            <w:tcW w:w="1984" w:type="dxa"/>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p>
        </w:tc>
      </w:tr>
      <w:tr w:rsidR="00047549" w:rsidRPr="00FE377A" w:rsidTr="00C41DC2">
        <w:trPr>
          <w:trHeight w:val="300"/>
        </w:trPr>
        <w:tc>
          <w:tcPr>
            <w:tcW w:w="4395" w:type="dxa"/>
            <w:gridSpan w:val="2"/>
            <w:tcBorders>
              <w:top w:val="nil"/>
              <w:left w:val="nil"/>
              <w:bottom w:val="nil"/>
              <w:right w:val="nil"/>
            </w:tcBorders>
            <w:shd w:val="clear" w:color="auto" w:fill="auto"/>
            <w:noWrap/>
            <w:vAlign w:val="center"/>
          </w:tcPr>
          <w:p w:rsidR="00047549" w:rsidRPr="00FE377A" w:rsidRDefault="00047549" w:rsidP="00FE377A">
            <w:pPr>
              <w:pStyle w:val="Entabla"/>
              <w:rPr>
                <w:rFonts w:ascii="Arial" w:hAnsi="Arial" w:cs="Arial"/>
                <w:sz w:val="20"/>
                <w:szCs w:val="20"/>
              </w:rPr>
            </w:pPr>
            <w:r w:rsidRPr="00FE377A">
              <w:rPr>
                <w:rFonts w:ascii="Arial" w:hAnsi="Arial" w:cs="Arial"/>
                <w:sz w:val="20"/>
                <w:szCs w:val="20"/>
              </w:rPr>
              <w:t>Total</w:t>
            </w:r>
          </w:p>
        </w:tc>
        <w:tc>
          <w:tcPr>
            <w:tcW w:w="1984" w:type="dxa"/>
            <w:tcBorders>
              <w:top w:val="nil"/>
              <w:left w:val="nil"/>
              <w:bottom w:val="nil"/>
              <w:right w:val="nil"/>
            </w:tcBorders>
            <w:shd w:val="clear" w:color="auto" w:fill="auto"/>
            <w:noWrap/>
            <w:vAlign w:val="center"/>
          </w:tcPr>
          <w:p w:rsidR="00047549" w:rsidRPr="00FE377A" w:rsidRDefault="00EA4E57" w:rsidP="00FE377A">
            <w:pPr>
              <w:pStyle w:val="Entabla"/>
              <w:rPr>
                <w:rFonts w:ascii="Arial" w:hAnsi="Arial" w:cs="Arial"/>
                <w:sz w:val="20"/>
                <w:szCs w:val="20"/>
              </w:rPr>
            </w:pPr>
            <w:r w:rsidRPr="00FE377A">
              <w:rPr>
                <w:rFonts w:ascii="Arial" w:hAnsi="Arial" w:cs="Arial"/>
                <w:sz w:val="20"/>
                <w:szCs w:val="20"/>
              </w:rPr>
              <w:t>227.030.893</w:t>
            </w:r>
          </w:p>
        </w:tc>
      </w:tr>
    </w:tbl>
    <w:p w:rsidR="00B84211" w:rsidRPr="00FE377A" w:rsidRDefault="009D413B" w:rsidP="00FE377A">
      <w:pPr>
        <w:pStyle w:val="Paragraph"/>
        <w:numPr>
          <w:ilvl w:val="1"/>
          <w:numId w:val="6"/>
        </w:numPr>
        <w:ind w:left="720" w:hanging="720"/>
        <w:rPr>
          <w:rFonts w:ascii="Arial" w:hAnsi="Arial" w:cs="Arial"/>
          <w:sz w:val="22"/>
          <w:szCs w:val="22"/>
        </w:rPr>
      </w:pPr>
      <w:r w:rsidRPr="00FE377A">
        <w:rPr>
          <w:rFonts w:ascii="Arial" w:hAnsi="Arial" w:cs="Arial"/>
          <w:sz w:val="22"/>
          <w:szCs w:val="22"/>
        </w:rPr>
        <w:t>En el escenario base</w:t>
      </w:r>
      <w:r w:rsidR="00CF7330" w:rsidRPr="00FE377A">
        <w:rPr>
          <w:rFonts w:ascii="Arial" w:hAnsi="Arial" w:cs="Arial"/>
          <w:sz w:val="22"/>
          <w:szCs w:val="22"/>
        </w:rPr>
        <w:t>,</w:t>
      </w:r>
      <w:r w:rsidRPr="00FE377A">
        <w:rPr>
          <w:rFonts w:ascii="Arial" w:hAnsi="Arial" w:cs="Arial"/>
          <w:sz w:val="22"/>
          <w:szCs w:val="22"/>
        </w:rPr>
        <w:t xml:space="preserve"> </w:t>
      </w:r>
      <w:r w:rsidR="00EC7BD7" w:rsidRPr="00FE377A">
        <w:rPr>
          <w:rFonts w:ascii="Arial" w:hAnsi="Arial" w:cs="Arial"/>
          <w:sz w:val="22"/>
          <w:szCs w:val="22"/>
        </w:rPr>
        <w:t>el Valor Presente Neto</w:t>
      </w:r>
      <w:r w:rsidRPr="00FE377A">
        <w:rPr>
          <w:rFonts w:ascii="Arial" w:hAnsi="Arial" w:cs="Arial"/>
          <w:sz w:val="22"/>
          <w:szCs w:val="22"/>
        </w:rPr>
        <w:t xml:space="preserve"> para el </w:t>
      </w:r>
      <w:r w:rsidR="00AE2F8D" w:rsidRPr="00FE377A">
        <w:rPr>
          <w:rFonts w:ascii="Arial" w:hAnsi="Arial" w:cs="Arial"/>
          <w:sz w:val="22"/>
          <w:szCs w:val="22"/>
        </w:rPr>
        <w:t>Programa</w:t>
      </w:r>
      <w:r w:rsidRPr="00FE377A">
        <w:rPr>
          <w:rFonts w:ascii="Arial" w:hAnsi="Arial" w:cs="Arial"/>
          <w:sz w:val="22"/>
          <w:szCs w:val="22"/>
        </w:rPr>
        <w:t xml:space="preserve"> como un todo resulta ser de</w:t>
      </w:r>
      <w:r w:rsidR="00EC7BD7" w:rsidRPr="00FE377A">
        <w:rPr>
          <w:rFonts w:ascii="Arial" w:hAnsi="Arial" w:cs="Arial"/>
          <w:sz w:val="22"/>
          <w:szCs w:val="22"/>
        </w:rPr>
        <w:t xml:space="preserve"> USD</w:t>
      </w:r>
      <w:r w:rsidRPr="00FE377A">
        <w:rPr>
          <w:rFonts w:ascii="Arial" w:hAnsi="Arial" w:cs="Arial"/>
          <w:sz w:val="22"/>
          <w:szCs w:val="22"/>
        </w:rPr>
        <w:t xml:space="preserve"> </w:t>
      </w:r>
      <w:r w:rsidR="00EA4E57" w:rsidRPr="00FE377A">
        <w:rPr>
          <w:rFonts w:ascii="Arial" w:hAnsi="Arial" w:cs="Arial"/>
          <w:sz w:val="22"/>
          <w:szCs w:val="22"/>
        </w:rPr>
        <w:t>226.660.477</w:t>
      </w:r>
      <w:r w:rsidR="00765476" w:rsidRPr="00FE377A">
        <w:rPr>
          <w:rFonts w:ascii="Arial" w:hAnsi="Arial" w:cs="Arial"/>
          <w:sz w:val="22"/>
          <w:szCs w:val="22"/>
        </w:rPr>
        <w:t>.</w:t>
      </w:r>
      <w:r w:rsidRPr="00FE377A">
        <w:rPr>
          <w:rFonts w:ascii="Arial" w:hAnsi="Arial" w:cs="Arial"/>
          <w:sz w:val="22"/>
          <w:szCs w:val="22"/>
        </w:rPr>
        <w:t xml:space="preserve"> </w:t>
      </w:r>
      <w:r w:rsidR="00EC7BD7" w:rsidRPr="00FE377A">
        <w:rPr>
          <w:rFonts w:ascii="Arial" w:hAnsi="Arial" w:cs="Arial"/>
          <w:sz w:val="22"/>
          <w:szCs w:val="22"/>
        </w:rPr>
        <w:t xml:space="preserve">El factor que mayor incidencia posee sobre este resultado es el de </w:t>
      </w:r>
      <w:r w:rsidR="00C271C7">
        <w:rPr>
          <w:rFonts w:ascii="Arial" w:hAnsi="Arial" w:cs="Arial"/>
          <w:sz w:val="22"/>
          <w:szCs w:val="22"/>
        </w:rPr>
        <w:t>la ejecución de los proyectos</w:t>
      </w:r>
      <w:r w:rsidR="00C271C7" w:rsidRPr="00FE377A">
        <w:rPr>
          <w:rFonts w:ascii="Arial" w:hAnsi="Arial" w:cs="Arial"/>
          <w:sz w:val="22"/>
          <w:szCs w:val="22"/>
        </w:rPr>
        <w:t xml:space="preserve"> </w:t>
      </w:r>
      <w:r w:rsidR="00EC7BD7" w:rsidRPr="00FE377A">
        <w:rPr>
          <w:rFonts w:ascii="Arial" w:hAnsi="Arial" w:cs="Arial"/>
          <w:sz w:val="22"/>
          <w:szCs w:val="22"/>
        </w:rPr>
        <w:t>de APP.</w:t>
      </w:r>
    </w:p>
    <w:p w:rsidR="00900C6C" w:rsidRPr="00FE377A" w:rsidRDefault="00CC18C4" w:rsidP="00FE377A">
      <w:pPr>
        <w:pStyle w:val="Paragraph"/>
        <w:numPr>
          <w:ilvl w:val="1"/>
          <w:numId w:val="6"/>
        </w:numPr>
        <w:ind w:left="720" w:hanging="720"/>
        <w:rPr>
          <w:rFonts w:ascii="Arial" w:hAnsi="Arial" w:cs="Arial"/>
          <w:sz w:val="22"/>
          <w:szCs w:val="22"/>
        </w:rPr>
      </w:pPr>
      <w:r w:rsidRPr="00FE377A">
        <w:rPr>
          <w:rFonts w:ascii="Arial" w:hAnsi="Arial" w:cs="Arial"/>
          <w:sz w:val="22"/>
          <w:szCs w:val="22"/>
        </w:rPr>
        <w:t xml:space="preserve">En el escenario más conservador, </w:t>
      </w:r>
      <w:r w:rsidR="00062A36" w:rsidRPr="00FE377A">
        <w:rPr>
          <w:rFonts w:ascii="Arial" w:hAnsi="Arial" w:cs="Arial"/>
          <w:sz w:val="22"/>
          <w:szCs w:val="22"/>
        </w:rPr>
        <w:t xml:space="preserve">donde la </w:t>
      </w:r>
      <w:r w:rsidR="00FE4963" w:rsidRPr="00FE377A">
        <w:rPr>
          <w:rFonts w:ascii="Arial" w:hAnsi="Arial" w:cs="Arial"/>
          <w:sz w:val="22"/>
          <w:szCs w:val="22"/>
        </w:rPr>
        <w:t xml:space="preserve">reducción de los sobrecostos </w:t>
      </w:r>
      <w:r w:rsidR="00062A36" w:rsidRPr="00FE377A">
        <w:rPr>
          <w:rFonts w:ascii="Arial" w:hAnsi="Arial" w:cs="Arial"/>
          <w:sz w:val="22"/>
          <w:szCs w:val="22"/>
        </w:rPr>
        <w:t xml:space="preserve"> es del </w:t>
      </w:r>
      <w:r w:rsidR="00FE4963" w:rsidRPr="00FE377A">
        <w:rPr>
          <w:rFonts w:ascii="Arial" w:hAnsi="Arial" w:cs="Arial"/>
          <w:sz w:val="22"/>
          <w:szCs w:val="22"/>
        </w:rPr>
        <w:t>1</w:t>
      </w:r>
      <w:r w:rsidR="00062A36" w:rsidRPr="00FE377A">
        <w:rPr>
          <w:rFonts w:ascii="Arial" w:hAnsi="Arial" w:cs="Arial"/>
          <w:sz w:val="22"/>
          <w:szCs w:val="22"/>
        </w:rPr>
        <w:t>%</w:t>
      </w:r>
      <w:r w:rsidR="00FE3694" w:rsidRPr="00FE377A">
        <w:rPr>
          <w:rFonts w:ascii="Arial" w:hAnsi="Arial" w:cs="Arial"/>
          <w:sz w:val="22"/>
          <w:szCs w:val="22"/>
        </w:rPr>
        <w:t>,</w:t>
      </w:r>
      <w:r w:rsidR="009D413B" w:rsidRPr="00FE377A">
        <w:rPr>
          <w:rFonts w:ascii="Arial" w:hAnsi="Arial" w:cs="Arial"/>
          <w:sz w:val="22"/>
          <w:szCs w:val="22"/>
        </w:rPr>
        <w:t xml:space="preserve"> </w:t>
      </w:r>
      <w:r w:rsidR="00FE3694" w:rsidRPr="00FE377A">
        <w:rPr>
          <w:rFonts w:ascii="Arial" w:hAnsi="Arial" w:cs="Arial"/>
          <w:sz w:val="22"/>
          <w:szCs w:val="22"/>
        </w:rPr>
        <w:t>resulta</w:t>
      </w:r>
      <w:r w:rsidR="009D413B" w:rsidRPr="00FE377A">
        <w:rPr>
          <w:rFonts w:ascii="Arial" w:hAnsi="Arial" w:cs="Arial"/>
          <w:sz w:val="22"/>
          <w:szCs w:val="22"/>
        </w:rPr>
        <w:t xml:space="preserve"> un </w:t>
      </w:r>
      <w:r w:rsidR="0050033D" w:rsidRPr="00FE377A">
        <w:rPr>
          <w:rFonts w:ascii="Arial" w:hAnsi="Arial" w:cs="Arial"/>
          <w:sz w:val="22"/>
          <w:szCs w:val="22"/>
        </w:rPr>
        <w:t>VPN de</w:t>
      </w:r>
      <w:r w:rsidR="009D413B" w:rsidRPr="00FE377A">
        <w:rPr>
          <w:rFonts w:ascii="Arial" w:hAnsi="Arial" w:cs="Arial"/>
          <w:sz w:val="22"/>
          <w:szCs w:val="22"/>
        </w:rPr>
        <w:t xml:space="preserve"> </w:t>
      </w:r>
      <w:r w:rsidR="0050033D" w:rsidRPr="00FE377A">
        <w:rPr>
          <w:rFonts w:ascii="Arial" w:hAnsi="Arial" w:cs="Arial"/>
          <w:sz w:val="22"/>
          <w:szCs w:val="22"/>
        </w:rPr>
        <w:t xml:space="preserve">USD </w:t>
      </w:r>
      <w:r w:rsidR="00EA4E57" w:rsidRPr="00FE377A">
        <w:rPr>
          <w:rFonts w:ascii="Arial" w:hAnsi="Arial" w:cs="Arial"/>
          <w:sz w:val="22"/>
          <w:szCs w:val="22"/>
        </w:rPr>
        <w:t>226.290.062</w:t>
      </w:r>
      <w:r w:rsidR="009D413B" w:rsidRPr="00FE377A">
        <w:rPr>
          <w:rFonts w:ascii="Arial" w:hAnsi="Arial" w:cs="Arial"/>
          <w:sz w:val="22"/>
          <w:szCs w:val="22"/>
        </w:rPr>
        <w:t xml:space="preserve"> para el </w:t>
      </w:r>
      <w:r w:rsidR="0050033D" w:rsidRPr="00FE377A">
        <w:rPr>
          <w:rFonts w:ascii="Arial" w:hAnsi="Arial" w:cs="Arial"/>
          <w:sz w:val="22"/>
          <w:szCs w:val="22"/>
        </w:rPr>
        <w:t>Programa</w:t>
      </w:r>
      <w:r w:rsidR="009D413B" w:rsidRPr="00FE377A">
        <w:rPr>
          <w:rFonts w:ascii="Arial" w:hAnsi="Arial" w:cs="Arial"/>
          <w:sz w:val="22"/>
          <w:szCs w:val="22"/>
        </w:rPr>
        <w:t>. Esto demuestra que aun en escenarios desfavorables, este sigue siendo rentable para la sociedad</w:t>
      </w:r>
      <w:r w:rsidR="003714B4" w:rsidRPr="00FE377A">
        <w:rPr>
          <w:rFonts w:ascii="Arial" w:hAnsi="Arial" w:cs="Arial"/>
          <w:sz w:val="22"/>
          <w:szCs w:val="22"/>
        </w:rPr>
        <w:t>, teniendo en cuenta una tasa de descuento del 12%</w:t>
      </w:r>
      <w:r w:rsidR="00900C6C" w:rsidRPr="00FE377A">
        <w:rPr>
          <w:rFonts w:ascii="Arial" w:hAnsi="Arial" w:cs="Arial"/>
          <w:sz w:val="22"/>
          <w:szCs w:val="22"/>
        </w:rPr>
        <w:t>.</w:t>
      </w:r>
    </w:p>
    <w:p w:rsidR="00FA270E" w:rsidRPr="00FE377A" w:rsidRDefault="00A32B3D" w:rsidP="00FE377A">
      <w:pPr>
        <w:pStyle w:val="Paragraph"/>
        <w:numPr>
          <w:ilvl w:val="1"/>
          <w:numId w:val="6"/>
        </w:numPr>
        <w:ind w:left="720" w:hanging="720"/>
        <w:rPr>
          <w:rFonts w:ascii="Arial" w:hAnsi="Arial" w:cs="Arial"/>
          <w:sz w:val="22"/>
          <w:szCs w:val="22"/>
        </w:rPr>
      </w:pPr>
      <w:r w:rsidRPr="00FE377A">
        <w:rPr>
          <w:rFonts w:ascii="Arial" w:hAnsi="Arial" w:cs="Arial"/>
          <w:sz w:val="22"/>
          <w:szCs w:val="22"/>
        </w:rPr>
        <w:lastRenderedPageBreak/>
        <w:t xml:space="preserve">En un escenario más favorable, </w:t>
      </w:r>
      <w:r w:rsidR="00BF6CE9" w:rsidRPr="00FE377A">
        <w:rPr>
          <w:rFonts w:ascii="Arial" w:hAnsi="Arial" w:cs="Arial"/>
          <w:sz w:val="22"/>
          <w:szCs w:val="22"/>
        </w:rPr>
        <w:t>donde l</w:t>
      </w:r>
      <w:r w:rsidR="00B61EB7">
        <w:rPr>
          <w:rFonts w:ascii="Arial" w:hAnsi="Arial" w:cs="Arial"/>
          <w:sz w:val="22"/>
          <w:szCs w:val="22"/>
        </w:rPr>
        <w:t xml:space="preserve">a reducción de los sobrecostos </w:t>
      </w:r>
      <w:r w:rsidR="00BF6CE9" w:rsidRPr="00FE377A">
        <w:rPr>
          <w:rFonts w:ascii="Arial" w:hAnsi="Arial" w:cs="Arial"/>
          <w:sz w:val="22"/>
          <w:szCs w:val="22"/>
        </w:rPr>
        <w:t>es del 5%</w:t>
      </w:r>
      <w:r w:rsidR="00B61EB7">
        <w:rPr>
          <w:rFonts w:ascii="Arial" w:hAnsi="Arial" w:cs="Arial"/>
          <w:sz w:val="22"/>
          <w:szCs w:val="22"/>
        </w:rPr>
        <w:t>, </w:t>
      </w:r>
      <w:r w:rsidR="00D04F2C" w:rsidRPr="00FE377A">
        <w:rPr>
          <w:rFonts w:ascii="Arial" w:hAnsi="Arial" w:cs="Arial"/>
          <w:sz w:val="22"/>
          <w:szCs w:val="22"/>
        </w:rPr>
        <w:t>resulta un</w:t>
      </w:r>
      <w:r w:rsidR="009F3031" w:rsidRPr="00FE377A">
        <w:rPr>
          <w:rFonts w:ascii="Arial" w:hAnsi="Arial" w:cs="Arial"/>
          <w:sz w:val="22"/>
          <w:szCs w:val="22"/>
        </w:rPr>
        <w:t xml:space="preserve"> </w:t>
      </w:r>
      <w:r w:rsidR="00D04F2C" w:rsidRPr="00FE377A">
        <w:rPr>
          <w:rFonts w:ascii="Arial" w:hAnsi="Arial" w:cs="Arial"/>
          <w:sz w:val="22"/>
          <w:szCs w:val="22"/>
        </w:rPr>
        <w:t>VPN</w:t>
      </w:r>
      <w:r w:rsidR="009F3031" w:rsidRPr="00FE377A">
        <w:rPr>
          <w:rFonts w:ascii="Arial" w:hAnsi="Arial" w:cs="Arial"/>
          <w:sz w:val="22"/>
          <w:szCs w:val="22"/>
        </w:rPr>
        <w:t xml:space="preserve"> </w:t>
      </w:r>
      <w:r w:rsidR="00D04F2C" w:rsidRPr="00FE377A">
        <w:rPr>
          <w:rFonts w:ascii="Arial" w:hAnsi="Arial" w:cs="Arial"/>
          <w:sz w:val="22"/>
          <w:szCs w:val="22"/>
        </w:rPr>
        <w:t>de</w:t>
      </w:r>
      <w:r w:rsidR="009F3031" w:rsidRPr="00FE377A">
        <w:rPr>
          <w:rFonts w:ascii="Arial" w:hAnsi="Arial" w:cs="Arial"/>
          <w:sz w:val="22"/>
          <w:szCs w:val="22"/>
        </w:rPr>
        <w:t xml:space="preserve"> </w:t>
      </w:r>
      <w:r w:rsidR="00D04F2C" w:rsidRPr="00FE377A">
        <w:rPr>
          <w:rFonts w:ascii="Arial" w:hAnsi="Arial" w:cs="Arial"/>
          <w:sz w:val="22"/>
          <w:szCs w:val="22"/>
        </w:rPr>
        <w:t>229.538.748</w:t>
      </w:r>
      <w:r w:rsidR="009F3031" w:rsidRPr="00FE377A">
        <w:rPr>
          <w:rFonts w:ascii="Arial" w:hAnsi="Arial" w:cs="Arial"/>
          <w:sz w:val="22"/>
          <w:szCs w:val="22"/>
        </w:rPr>
        <w:t xml:space="preserve"> para el </w:t>
      </w:r>
      <w:r w:rsidR="00AE2F8D" w:rsidRPr="00FE377A">
        <w:rPr>
          <w:rFonts w:ascii="Arial" w:hAnsi="Arial" w:cs="Arial"/>
          <w:sz w:val="22"/>
          <w:szCs w:val="22"/>
        </w:rPr>
        <w:t>Programa</w:t>
      </w:r>
      <w:r w:rsidR="00D04F2C" w:rsidRPr="00FE377A">
        <w:rPr>
          <w:rFonts w:ascii="Arial" w:hAnsi="Arial" w:cs="Arial"/>
          <w:sz w:val="22"/>
          <w:szCs w:val="22"/>
        </w:rPr>
        <w:t xml:space="preserve">, </w:t>
      </w:r>
      <w:r w:rsidR="009F3031" w:rsidRPr="00FE377A">
        <w:rPr>
          <w:rFonts w:ascii="Arial" w:hAnsi="Arial" w:cs="Arial"/>
          <w:sz w:val="22"/>
          <w:szCs w:val="22"/>
        </w:rPr>
        <w:t xml:space="preserve">siendo nuevamente </w:t>
      </w:r>
      <w:r w:rsidR="008074B0" w:rsidRPr="00FE377A">
        <w:rPr>
          <w:rFonts w:ascii="Arial" w:hAnsi="Arial" w:cs="Arial"/>
          <w:sz w:val="22"/>
          <w:szCs w:val="22"/>
        </w:rPr>
        <w:t xml:space="preserve">la </w:t>
      </w:r>
      <w:r w:rsidR="00BF6CE9" w:rsidRPr="00FE377A">
        <w:rPr>
          <w:rFonts w:ascii="Arial" w:hAnsi="Arial" w:cs="Arial"/>
          <w:sz w:val="22"/>
          <w:szCs w:val="22"/>
        </w:rPr>
        <w:t xml:space="preserve">implementación de </w:t>
      </w:r>
      <w:r w:rsidR="00C271C7">
        <w:rPr>
          <w:rFonts w:ascii="Arial" w:hAnsi="Arial" w:cs="Arial"/>
          <w:sz w:val="22"/>
          <w:szCs w:val="22"/>
        </w:rPr>
        <w:t>los proyectos</w:t>
      </w:r>
      <w:r w:rsidR="00BF6CE9" w:rsidRPr="00FE377A">
        <w:rPr>
          <w:rFonts w:ascii="Arial" w:hAnsi="Arial" w:cs="Arial"/>
          <w:sz w:val="22"/>
          <w:szCs w:val="22"/>
        </w:rPr>
        <w:t xml:space="preserve"> de APP</w:t>
      </w:r>
      <w:r w:rsidR="008074B0" w:rsidRPr="00FE377A">
        <w:rPr>
          <w:rFonts w:ascii="Arial" w:hAnsi="Arial" w:cs="Arial"/>
          <w:sz w:val="22"/>
          <w:szCs w:val="22"/>
        </w:rPr>
        <w:t xml:space="preserve"> el factor con mayor incidencia.</w:t>
      </w:r>
    </w:p>
    <w:p w:rsidR="00B84211" w:rsidRPr="00FE377A" w:rsidRDefault="006225CF" w:rsidP="00FE377A">
      <w:pPr>
        <w:pStyle w:val="Paragraph"/>
        <w:numPr>
          <w:ilvl w:val="1"/>
          <w:numId w:val="6"/>
        </w:numPr>
        <w:ind w:left="720" w:hanging="720"/>
        <w:rPr>
          <w:rFonts w:ascii="Arial" w:hAnsi="Arial" w:cs="Arial"/>
          <w:sz w:val="22"/>
          <w:szCs w:val="22"/>
        </w:rPr>
      </w:pPr>
      <w:r w:rsidRPr="00FE377A">
        <w:rPr>
          <w:rFonts w:ascii="Arial" w:hAnsi="Arial" w:cs="Arial"/>
          <w:sz w:val="22"/>
          <w:szCs w:val="22"/>
        </w:rPr>
        <w:t xml:space="preserve">Como conclusión final, puede afirmarse que el </w:t>
      </w:r>
      <w:r w:rsidR="00AE2F8D" w:rsidRPr="00FE377A">
        <w:rPr>
          <w:rFonts w:ascii="Arial" w:hAnsi="Arial" w:cs="Arial"/>
          <w:sz w:val="22"/>
          <w:szCs w:val="22"/>
        </w:rPr>
        <w:t>Programa</w:t>
      </w:r>
      <w:r w:rsidRPr="00FE377A">
        <w:rPr>
          <w:rFonts w:ascii="Arial" w:hAnsi="Arial" w:cs="Arial"/>
          <w:sz w:val="22"/>
          <w:szCs w:val="22"/>
        </w:rPr>
        <w:t xml:space="preserve"> posee una alta rentabilidad social. Aun en los escenarios más conservadores </w:t>
      </w:r>
      <w:r w:rsidR="00E0052C" w:rsidRPr="00FE377A">
        <w:rPr>
          <w:rFonts w:ascii="Arial" w:hAnsi="Arial" w:cs="Arial"/>
          <w:sz w:val="22"/>
          <w:szCs w:val="22"/>
        </w:rPr>
        <w:t xml:space="preserve">mantiene </w:t>
      </w:r>
      <w:r w:rsidR="00911C65" w:rsidRPr="00FE377A">
        <w:rPr>
          <w:rFonts w:ascii="Arial" w:hAnsi="Arial" w:cs="Arial"/>
          <w:sz w:val="22"/>
          <w:szCs w:val="22"/>
        </w:rPr>
        <w:t>un</w:t>
      </w:r>
      <w:r w:rsidRPr="00FE377A">
        <w:rPr>
          <w:rFonts w:ascii="Arial" w:hAnsi="Arial" w:cs="Arial"/>
          <w:sz w:val="22"/>
          <w:szCs w:val="22"/>
        </w:rPr>
        <w:t xml:space="preserve"> </w:t>
      </w:r>
      <w:r w:rsidR="00911C65" w:rsidRPr="00FE377A">
        <w:rPr>
          <w:rFonts w:ascii="Arial" w:hAnsi="Arial" w:cs="Arial"/>
          <w:sz w:val="22"/>
          <w:szCs w:val="22"/>
        </w:rPr>
        <w:t>resultado positivo</w:t>
      </w:r>
      <w:r w:rsidRPr="00FE377A">
        <w:rPr>
          <w:rFonts w:ascii="Arial" w:hAnsi="Arial" w:cs="Arial"/>
          <w:sz w:val="22"/>
          <w:szCs w:val="22"/>
        </w:rPr>
        <w:t xml:space="preserve">, observando en el escenario base </w:t>
      </w:r>
      <w:r w:rsidR="005202A0" w:rsidRPr="00FE377A">
        <w:rPr>
          <w:rFonts w:ascii="Arial" w:hAnsi="Arial" w:cs="Arial"/>
          <w:sz w:val="22"/>
          <w:szCs w:val="22"/>
        </w:rPr>
        <w:t xml:space="preserve">un VPN de USD </w:t>
      </w:r>
      <w:r w:rsidR="00EA4E57" w:rsidRPr="00FE377A">
        <w:rPr>
          <w:rFonts w:ascii="Arial" w:hAnsi="Arial" w:cs="Arial"/>
          <w:sz w:val="22"/>
          <w:szCs w:val="22"/>
        </w:rPr>
        <w:t>227.030.893</w:t>
      </w:r>
      <w:r w:rsidR="005202A0" w:rsidRPr="00FE377A">
        <w:rPr>
          <w:rFonts w:ascii="Arial" w:hAnsi="Arial" w:cs="Arial"/>
          <w:sz w:val="22"/>
          <w:szCs w:val="22"/>
        </w:rPr>
        <w:t>, el cual es robusto a los cambios proyectados en el análisis de sensibilidad.</w:t>
      </w:r>
    </w:p>
    <w:sectPr w:rsidR="00B84211" w:rsidRPr="00FE377A" w:rsidSect="00B61EB7">
      <w:headerReference w:type="default" r:id="rId10"/>
      <w:pgSz w:w="11907" w:h="16839" w:code="9"/>
      <w:pgMar w:top="1440" w:right="1440" w:bottom="1440" w:left="162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14" w:rsidRDefault="00AC4C14" w:rsidP="00CF5271">
      <w:pPr>
        <w:spacing w:after="0" w:line="240" w:lineRule="auto"/>
      </w:pPr>
      <w:r>
        <w:separator/>
      </w:r>
    </w:p>
  </w:endnote>
  <w:endnote w:type="continuationSeparator" w:id="0">
    <w:p w:rsidR="00AC4C14" w:rsidRDefault="00AC4C14" w:rsidP="00CF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14" w:rsidRDefault="00AC4C14" w:rsidP="00CF5271">
      <w:pPr>
        <w:spacing w:after="0" w:line="240" w:lineRule="auto"/>
      </w:pPr>
      <w:r>
        <w:separator/>
      </w:r>
    </w:p>
  </w:footnote>
  <w:footnote w:type="continuationSeparator" w:id="0">
    <w:p w:rsidR="00AC4C14" w:rsidRDefault="00AC4C14" w:rsidP="00CF5271">
      <w:pPr>
        <w:spacing w:after="0" w:line="240" w:lineRule="auto"/>
      </w:pPr>
      <w:r>
        <w:continuationSeparator/>
      </w:r>
    </w:p>
  </w:footnote>
  <w:footnote w:id="1">
    <w:p w:rsidR="001D03BD" w:rsidRPr="00D85F54" w:rsidRDefault="001D03BD" w:rsidP="001D03BD">
      <w:pPr>
        <w:pStyle w:val="FootnoteText"/>
        <w:widowControl w:val="0"/>
        <w:ind w:left="216" w:hanging="216"/>
        <w:rPr>
          <w:rFonts w:ascii="Arial" w:hAnsi="Arial" w:cs="Arial"/>
          <w:sz w:val="18"/>
          <w:szCs w:val="18"/>
          <w:lang w:val="es-ES_tradnl"/>
        </w:rPr>
      </w:pPr>
      <w:r w:rsidRPr="00E4663B">
        <w:rPr>
          <w:rStyle w:val="FootnoteReference"/>
          <w:rFonts w:ascii="Arial" w:hAnsi="Arial" w:cs="Arial"/>
          <w:sz w:val="18"/>
          <w:szCs w:val="18"/>
        </w:rPr>
        <w:footnoteRef/>
      </w:r>
      <w:r w:rsidRPr="00D85F54">
        <w:rPr>
          <w:rFonts w:ascii="Arial" w:hAnsi="Arial" w:cs="Arial"/>
          <w:sz w:val="18"/>
          <w:szCs w:val="18"/>
          <w:lang w:val="es-ES_tradnl"/>
        </w:rPr>
        <w:t xml:space="preserve"> </w:t>
      </w:r>
      <w:r w:rsidRPr="00D85F54">
        <w:rPr>
          <w:rFonts w:ascii="Arial" w:hAnsi="Arial" w:cs="Arial"/>
          <w:sz w:val="18"/>
          <w:szCs w:val="18"/>
          <w:lang w:val="es-ES_tradnl"/>
        </w:rPr>
        <w:tab/>
        <w:t>El MH ya ha emitido dictámenes favorables a los estudios de pre-factibilidad correspondiente a los proyectos de: (i) ampliación y duplicación de las Rutas Nacionales 2 y 7; y (ii) modernización del Aeropuerto Internacional de Asunción Silvio Pettirossi.</w:t>
      </w:r>
    </w:p>
  </w:footnote>
  <w:footnote w:id="2">
    <w:p w:rsidR="001D03BD" w:rsidRPr="00D85F54" w:rsidRDefault="001D03BD" w:rsidP="001D03BD">
      <w:pPr>
        <w:pStyle w:val="FootnoteText"/>
        <w:widowControl w:val="0"/>
        <w:ind w:left="216" w:hanging="216"/>
        <w:rPr>
          <w:rFonts w:ascii="Arial" w:hAnsi="Arial" w:cs="Arial"/>
          <w:sz w:val="18"/>
          <w:szCs w:val="18"/>
          <w:lang w:val="es-ES_tradnl"/>
        </w:rPr>
      </w:pPr>
      <w:r w:rsidRPr="00E4663B">
        <w:rPr>
          <w:rStyle w:val="FootnoteReference"/>
          <w:rFonts w:ascii="Arial" w:hAnsi="Arial" w:cs="Arial"/>
          <w:sz w:val="18"/>
          <w:szCs w:val="18"/>
        </w:rPr>
        <w:footnoteRef/>
      </w:r>
      <w:r w:rsidRPr="00D85F54">
        <w:rPr>
          <w:rFonts w:ascii="Arial" w:hAnsi="Arial" w:cs="Arial"/>
          <w:sz w:val="18"/>
          <w:szCs w:val="18"/>
          <w:lang w:val="es-ES_tradnl"/>
        </w:rPr>
        <w:t xml:space="preserve"> </w:t>
      </w:r>
      <w:r w:rsidRPr="00D85F54">
        <w:rPr>
          <w:rFonts w:ascii="Arial" w:hAnsi="Arial" w:cs="Arial"/>
          <w:sz w:val="18"/>
          <w:szCs w:val="18"/>
          <w:lang w:val="es-ES_tradnl"/>
        </w:rPr>
        <w:tab/>
        <w:t>El gobierno aprobó el primer proyecto de APP, ampliación y duplicación de las Rutas Nacionales 2 y 7, e septiembre de 2015 (Decreto 4103/15), requisito para iniciar el proceso de licitación.  Posteriormente, el 8 de octubre de 2015 se publicó el pliego de bases y condiciones del citado proyecto.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03536"/>
      <w:docPartObj>
        <w:docPartGallery w:val="Page Numbers (Bottom of Page)"/>
        <w:docPartUnique/>
      </w:docPartObj>
    </w:sdtPr>
    <w:sdtEndPr/>
    <w:sdtContent>
      <w:p w:rsidR="00B61EB7" w:rsidRDefault="00B61EB7" w:rsidP="00B61EB7">
        <w:pPr>
          <w:pStyle w:val="Footer"/>
          <w:jc w:val="center"/>
        </w:pPr>
        <w:r>
          <w:fldChar w:fldCharType="begin"/>
        </w:r>
        <w:r>
          <w:instrText>PAGE   \* MERGEFORMAT</w:instrText>
        </w:r>
        <w:r>
          <w:fldChar w:fldCharType="separate"/>
        </w:r>
        <w:r w:rsidR="00D85F54" w:rsidRPr="00D85F54">
          <w:rPr>
            <w:noProof/>
            <w:lang w:val="es-ES"/>
          </w:rPr>
          <w:t>2</w:t>
        </w:r>
        <w:r>
          <w:rPr>
            <w:noProof/>
            <w:lang w:val="es-ES"/>
          </w:rPr>
          <w:fldChar w:fldCharType="end"/>
        </w:r>
      </w:p>
    </w:sdtContent>
  </w:sdt>
  <w:p w:rsidR="00B61EB7" w:rsidRDefault="00B61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A2B2F9A6"/>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color w:val="auto"/>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nsid w:val="2B21467A"/>
    <w:multiLevelType w:val="multilevel"/>
    <w:tmpl w:val="E1B68940"/>
    <w:lvl w:ilvl="0">
      <w:start w:val="1"/>
      <w:numFmt w:val="upperRoman"/>
      <w:lvlText w:val="%1."/>
      <w:lvlJc w:val="left"/>
      <w:pPr>
        <w:ind w:left="360" w:hanging="360"/>
      </w:pPr>
      <w:rPr>
        <w:rFonts w:hint="default"/>
      </w:rPr>
    </w:lvl>
    <w:lvl w:ilvl="1">
      <w:start w:val="1"/>
      <w:numFmt w:val="lowerRoman"/>
      <w:pStyle w:val="Vieta"/>
      <w:lvlText w:val="(%2)"/>
      <w:lvlJc w:val="left"/>
      <w:pPr>
        <w:ind w:left="720" w:hanging="360"/>
      </w:pPr>
      <w:rPr>
        <w:rFonts w:ascii="Arial" w:eastAsia="Times New Roman" w:hAnsi="Arial"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458D74C5"/>
    <w:multiLevelType w:val="hybridMultilevel"/>
    <w:tmpl w:val="3D16EE36"/>
    <w:lvl w:ilvl="0" w:tplc="2C0A0001">
      <w:start w:val="1"/>
      <w:numFmt w:val="bullet"/>
      <w:lvlText w:val=""/>
      <w:lvlJc w:val="left"/>
      <w:pPr>
        <w:ind w:left="360" w:hanging="360"/>
      </w:pPr>
      <w:rPr>
        <w:rFonts w:ascii="Symbol" w:hAnsi="Symbol" w:hint="default"/>
      </w:rPr>
    </w:lvl>
    <w:lvl w:ilvl="1" w:tplc="1138CEA0">
      <w:start w:val="1"/>
      <w:numFmt w:val="bullet"/>
      <w:pStyle w:val="Vietasanexo"/>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4A167A3E"/>
    <w:multiLevelType w:val="hybridMultilevel"/>
    <w:tmpl w:val="9D3C99A2"/>
    <w:lvl w:ilvl="0" w:tplc="935EF358">
      <w:start w:val="1"/>
      <w:numFmt w:val="decimal"/>
      <w:pStyle w:val="TItuloAnexo"/>
      <w:lvlText w:val="%1."/>
      <w:lvlJc w:val="left"/>
      <w:pPr>
        <w:ind w:left="928" w:hanging="360"/>
      </w:pPr>
      <w:rPr>
        <w:rFonts w:hint="default"/>
      </w:rPr>
    </w:lvl>
    <w:lvl w:ilvl="1" w:tplc="2C0A0019">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4">
    <w:nsid w:val="515915DF"/>
    <w:multiLevelType w:val="multilevel"/>
    <w:tmpl w:val="518270AE"/>
    <w:lvl w:ilvl="0">
      <w:start w:val="1"/>
      <w:numFmt w:val="upperRoman"/>
      <w:lvlText w:val="%1."/>
      <w:lvlJc w:val="left"/>
      <w:pPr>
        <w:ind w:left="36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7B8C0FEB"/>
    <w:multiLevelType w:val="multilevel"/>
    <w:tmpl w:val="B33A6C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1"/>
    <w:lvlOverride w:ilvl="0">
      <w:startOverride w:val="1"/>
    </w:lvlOverride>
    <w:lvlOverride w:ilvl="1">
      <w:startOverride w:val="1"/>
    </w:lvlOverride>
  </w:num>
  <w:num w:numId="8">
    <w:abstractNumId w:val="1"/>
    <w:lvlOverride w:ilvl="0">
      <w:startOverride w:val="1"/>
    </w:lvlOverride>
    <w:lvlOverride w:ilvl="1">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SV" w:vendorID="64" w:dllVersion="131078"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0033"/>
    <w:rsid w:val="00000748"/>
    <w:rsid w:val="00000BEB"/>
    <w:rsid w:val="000017B6"/>
    <w:rsid w:val="00005EDC"/>
    <w:rsid w:val="00006F7B"/>
    <w:rsid w:val="000117CA"/>
    <w:rsid w:val="00012B9A"/>
    <w:rsid w:val="00013021"/>
    <w:rsid w:val="0001439F"/>
    <w:rsid w:val="00014B7A"/>
    <w:rsid w:val="000156EF"/>
    <w:rsid w:val="000163C5"/>
    <w:rsid w:val="0002367A"/>
    <w:rsid w:val="0002382F"/>
    <w:rsid w:val="000250B3"/>
    <w:rsid w:val="00027BD0"/>
    <w:rsid w:val="00030267"/>
    <w:rsid w:val="00030B76"/>
    <w:rsid w:val="00030D02"/>
    <w:rsid w:val="00031E1C"/>
    <w:rsid w:val="00040932"/>
    <w:rsid w:val="000435C2"/>
    <w:rsid w:val="000447E8"/>
    <w:rsid w:val="00045478"/>
    <w:rsid w:val="0004549A"/>
    <w:rsid w:val="00045A4C"/>
    <w:rsid w:val="00045FAD"/>
    <w:rsid w:val="00046DA5"/>
    <w:rsid w:val="00047549"/>
    <w:rsid w:val="0005034C"/>
    <w:rsid w:val="0005267A"/>
    <w:rsid w:val="00054F07"/>
    <w:rsid w:val="00055C95"/>
    <w:rsid w:val="000578C5"/>
    <w:rsid w:val="00057937"/>
    <w:rsid w:val="00060365"/>
    <w:rsid w:val="000615C6"/>
    <w:rsid w:val="00062917"/>
    <w:rsid w:val="00062A36"/>
    <w:rsid w:val="0006373A"/>
    <w:rsid w:val="0006382B"/>
    <w:rsid w:val="0006705A"/>
    <w:rsid w:val="0007214A"/>
    <w:rsid w:val="000722A4"/>
    <w:rsid w:val="00072EAB"/>
    <w:rsid w:val="000737C8"/>
    <w:rsid w:val="00073D06"/>
    <w:rsid w:val="00080C5C"/>
    <w:rsid w:val="00080E76"/>
    <w:rsid w:val="00080F7E"/>
    <w:rsid w:val="000837E2"/>
    <w:rsid w:val="00086A1C"/>
    <w:rsid w:val="00086C0F"/>
    <w:rsid w:val="00090636"/>
    <w:rsid w:val="000918F4"/>
    <w:rsid w:val="000919C6"/>
    <w:rsid w:val="00094F89"/>
    <w:rsid w:val="00095862"/>
    <w:rsid w:val="00096255"/>
    <w:rsid w:val="000968FF"/>
    <w:rsid w:val="00097D91"/>
    <w:rsid w:val="000A005B"/>
    <w:rsid w:val="000A1DE5"/>
    <w:rsid w:val="000A254F"/>
    <w:rsid w:val="000A474D"/>
    <w:rsid w:val="000A57B1"/>
    <w:rsid w:val="000A6211"/>
    <w:rsid w:val="000A69B7"/>
    <w:rsid w:val="000A7412"/>
    <w:rsid w:val="000B0A43"/>
    <w:rsid w:val="000B389F"/>
    <w:rsid w:val="000B3A68"/>
    <w:rsid w:val="000B3F73"/>
    <w:rsid w:val="000B6483"/>
    <w:rsid w:val="000C17DD"/>
    <w:rsid w:val="000C1F69"/>
    <w:rsid w:val="000C3A79"/>
    <w:rsid w:val="000C46A7"/>
    <w:rsid w:val="000C46E0"/>
    <w:rsid w:val="000C6E12"/>
    <w:rsid w:val="000D03AB"/>
    <w:rsid w:val="000D3602"/>
    <w:rsid w:val="000D3AFA"/>
    <w:rsid w:val="000D575B"/>
    <w:rsid w:val="000D64EC"/>
    <w:rsid w:val="000D6C2A"/>
    <w:rsid w:val="000E4F66"/>
    <w:rsid w:val="000E5B7C"/>
    <w:rsid w:val="000E5FFA"/>
    <w:rsid w:val="000F4BF7"/>
    <w:rsid w:val="00100AB6"/>
    <w:rsid w:val="00100F68"/>
    <w:rsid w:val="001024FC"/>
    <w:rsid w:val="001028FE"/>
    <w:rsid w:val="00107A6D"/>
    <w:rsid w:val="00110CE8"/>
    <w:rsid w:val="00111647"/>
    <w:rsid w:val="0011181D"/>
    <w:rsid w:val="001119DF"/>
    <w:rsid w:val="00112CE5"/>
    <w:rsid w:val="001143E4"/>
    <w:rsid w:val="001144BE"/>
    <w:rsid w:val="00116008"/>
    <w:rsid w:val="00117D42"/>
    <w:rsid w:val="00120318"/>
    <w:rsid w:val="00121E04"/>
    <w:rsid w:val="001237E7"/>
    <w:rsid w:val="00123F4E"/>
    <w:rsid w:val="001246EE"/>
    <w:rsid w:val="0012683F"/>
    <w:rsid w:val="00126F3F"/>
    <w:rsid w:val="00132D5C"/>
    <w:rsid w:val="0013499E"/>
    <w:rsid w:val="00135252"/>
    <w:rsid w:val="00135419"/>
    <w:rsid w:val="00135879"/>
    <w:rsid w:val="00140173"/>
    <w:rsid w:val="0014066C"/>
    <w:rsid w:val="001423A3"/>
    <w:rsid w:val="001439C9"/>
    <w:rsid w:val="00146801"/>
    <w:rsid w:val="00146B6D"/>
    <w:rsid w:val="001472FC"/>
    <w:rsid w:val="001505B0"/>
    <w:rsid w:val="00150B9B"/>
    <w:rsid w:val="00150E90"/>
    <w:rsid w:val="001524BF"/>
    <w:rsid w:val="0015295A"/>
    <w:rsid w:val="0015534D"/>
    <w:rsid w:val="00155361"/>
    <w:rsid w:val="001633BC"/>
    <w:rsid w:val="00163675"/>
    <w:rsid w:val="00164213"/>
    <w:rsid w:val="00164BBD"/>
    <w:rsid w:val="0016597C"/>
    <w:rsid w:val="00166F59"/>
    <w:rsid w:val="00167B44"/>
    <w:rsid w:val="00170F5E"/>
    <w:rsid w:val="0017124E"/>
    <w:rsid w:val="00171377"/>
    <w:rsid w:val="001720BB"/>
    <w:rsid w:val="00173607"/>
    <w:rsid w:val="00174B82"/>
    <w:rsid w:val="001767D4"/>
    <w:rsid w:val="00176EF6"/>
    <w:rsid w:val="001772EF"/>
    <w:rsid w:val="00183F9E"/>
    <w:rsid w:val="0018538F"/>
    <w:rsid w:val="001865CF"/>
    <w:rsid w:val="00187201"/>
    <w:rsid w:val="00192794"/>
    <w:rsid w:val="00194A31"/>
    <w:rsid w:val="001A65A4"/>
    <w:rsid w:val="001A7BB1"/>
    <w:rsid w:val="001B082E"/>
    <w:rsid w:val="001B0A90"/>
    <w:rsid w:val="001B5F82"/>
    <w:rsid w:val="001B6084"/>
    <w:rsid w:val="001B72D6"/>
    <w:rsid w:val="001C0414"/>
    <w:rsid w:val="001C1F91"/>
    <w:rsid w:val="001C268B"/>
    <w:rsid w:val="001C3DCA"/>
    <w:rsid w:val="001D0077"/>
    <w:rsid w:val="001D03BD"/>
    <w:rsid w:val="001D0A42"/>
    <w:rsid w:val="001D1FE4"/>
    <w:rsid w:val="001D5278"/>
    <w:rsid w:val="001D5C56"/>
    <w:rsid w:val="001D7ADC"/>
    <w:rsid w:val="001D7F81"/>
    <w:rsid w:val="001E1015"/>
    <w:rsid w:val="001E150A"/>
    <w:rsid w:val="001E2D9A"/>
    <w:rsid w:val="001E3880"/>
    <w:rsid w:val="001E58B6"/>
    <w:rsid w:val="001F0D61"/>
    <w:rsid w:val="001F1120"/>
    <w:rsid w:val="001F36D4"/>
    <w:rsid w:val="001F5569"/>
    <w:rsid w:val="00201A8D"/>
    <w:rsid w:val="00203219"/>
    <w:rsid w:val="002033D9"/>
    <w:rsid w:val="00204652"/>
    <w:rsid w:val="00205916"/>
    <w:rsid w:val="00206F35"/>
    <w:rsid w:val="00207204"/>
    <w:rsid w:val="00207852"/>
    <w:rsid w:val="002100BB"/>
    <w:rsid w:val="0021056E"/>
    <w:rsid w:val="00212AE0"/>
    <w:rsid w:val="002153F4"/>
    <w:rsid w:val="002156C3"/>
    <w:rsid w:val="00215D5A"/>
    <w:rsid w:val="002168BA"/>
    <w:rsid w:val="002216F9"/>
    <w:rsid w:val="00224867"/>
    <w:rsid w:val="002306A0"/>
    <w:rsid w:val="002308DC"/>
    <w:rsid w:val="0023096C"/>
    <w:rsid w:val="002341D5"/>
    <w:rsid w:val="002366E5"/>
    <w:rsid w:val="0023775E"/>
    <w:rsid w:val="00240208"/>
    <w:rsid w:val="00240A7F"/>
    <w:rsid w:val="00242BB0"/>
    <w:rsid w:val="00245F30"/>
    <w:rsid w:val="002463B2"/>
    <w:rsid w:val="0025036F"/>
    <w:rsid w:val="0025135F"/>
    <w:rsid w:val="00252502"/>
    <w:rsid w:val="00253B58"/>
    <w:rsid w:val="002569BD"/>
    <w:rsid w:val="0025778E"/>
    <w:rsid w:val="00257A69"/>
    <w:rsid w:val="002604E8"/>
    <w:rsid w:val="00260D92"/>
    <w:rsid w:val="00261879"/>
    <w:rsid w:val="0026241A"/>
    <w:rsid w:val="00263BC4"/>
    <w:rsid w:val="00265B09"/>
    <w:rsid w:val="00266113"/>
    <w:rsid w:val="00271158"/>
    <w:rsid w:val="0027433B"/>
    <w:rsid w:val="002743B9"/>
    <w:rsid w:val="002743F5"/>
    <w:rsid w:val="00276096"/>
    <w:rsid w:val="00277E59"/>
    <w:rsid w:val="00282B30"/>
    <w:rsid w:val="00286534"/>
    <w:rsid w:val="002873E1"/>
    <w:rsid w:val="00290ED1"/>
    <w:rsid w:val="0029622F"/>
    <w:rsid w:val="00296F07"/>
    <w:rsid w:val="002A075A"/>
    <w:rsid w:val="002A1FC4"/>
    <w:rsid w:val="002A2073"/>
    <w:rsid w:val="002A21EA"/>
    <w:rsid w:val="002A4399"/>
    <w:rsid w:val="002A45C2"/>
    <w:rsid w:val="002B18ED"/>
    <w:rsid w:val="002B31BC"/>
    <w:rsid w:val="002B570A"/>
    <w:rsid w:val="002B5895"/>
    <w:rsid w:val="002B5DF1"/>
    <w:rsid w:val="002B6B10"/>
    <w:rsid w:val="002C1CD6"/>
    <w:rsid w:val="002C3AEE"/>
    <w:rsid w:val="002C54E7"/>
    <w:rsid w:val="002C571F"/>
    <w:rsid w:val="002C6163"/>
    <w:rsid w:val="002D0515"/>
    <w:rsid w:val="002D29C7"/>
    <w:rsid w:val="002D4369"/>
    <w:rsid w:val="002D4E00"/>
    <w:rsid w:val="002D5C3D"/>
    <w:rsid w:val="002D6F93"/>
    <w:rsid w:val="002D73BD"/>
    <w:rsid w:val="002D7584"/>
    <w:rsid w:val="002D7864"/>
    <w:rsid w:val="002D78F7"/>
    <w:rsid w:val="002E1368"/>
    <w:rsid w:val="002E147E"/>
    <w:rsid w:val="002E4202"/>
    <w:rsid w:val="002E4618"/>
    <w:rsid w:val="002E6566"/>
    <w:rsid w:val="002E6B84"/>
    <w:rsid w:val="002E6BE0"/>
    <w:rsid w:val="002E7C5D"/>
    <w:rsid w:val="002F1652"/>
    <w:rsid w:val="002F1A99"/>
    <w:rsid w:val="002F27CA"/>
    <w:rsid w:val="002F39C9"/>
    <w:rsid w:val="002F411A"/>
    <w:rsid w:val="002F4237"/>
    <w:rsid w:val="002F50C6"/>
    <w:rsid w:val="002F603B"/>
    <w:rsid w:val="002F7D30"/>
    <w:rsid w:val="002F7EA4"/>
    <w:rsid w:val="00300939"/>
    <w:rsid w:val="00300D75"/>
    <w:rsid w:val="00301441"/>
    <w:rsid w:val="0030518D"/>
    <w:rsid w:val="003070B4"/>
    <w:rsid w:val="00307417"/>
    <w:rsid w:val="00307F65"/>
    <w:rsid w:val="003129AE"/>
    <w:rsid w:val="00313961"/>
    <w:rsid w:val="0031580F"/>
    <w:rsid w:val="003208FA"/>
    <w:rsid w:val="00321855"/>
    <w:rsid w:val="0032279A"/>
    <w:rsid w:val="00323CBD"/>
    <w:rsid w:val="0032488E"/>
    <w:rsid w:val="003311E6"/>
    <w:rsid w:val="003332AB"/>
    <w:rsid w:val="00335480"/>
    <w:rsid w:val="003376DF"/>
    <w:rsid w:val="00340C18"/>
    <w:rsid w:val="0034132F"/>
    <w:rsid w:val="00341701"/>
    <w:rsid w:val="00343381"/>
    <w:rsid w:val="003436D1"/>
    <w:rsid w:val="00346C17"/>
    <w:rsid w:val="00347F34"/>
    <w:rsid w:val="00350002"/>
    <w:rsid w:val="003506BC"/>
    <w:rsid w:val="00350EAD"/>
    <w:rsid w:val="003523BF"/>
    <w:rsid w:val="00353DA2"/>
    <w:rsid w:val="00356AD0"/>
    <w:rsid w:val="00356FCF"/>
    <w:rsid w:val="00357790"/>
    <w:rsid w:val="00357DF1"/>
    <w:rsid w:val="00360C5E"/>
    <w:rsid w:val="00362D8A"/>
    <w:rsid w:val="00363B1F"/>
    <w:rsid w:val="003646A7"/>
    <w:rsid w:val="00364F9A"/>
    <w:rsid w:val="00365153"/>
    <w:rsid w:val="00366079"/>
    <w:rsid w:val="003714B4"/>
    <w:rsid w:val="0037275D"/>
    <w:rsid w:val="00372EC8"/>
    <w:rsid w:val="00373E49"/>
    <w:rsid w:val="00376254"/>
    <w:rsid w:val="00376FC1"/>
    <w:rsid w:val="003805D2"/>
    <w:rsid w:val="00380F09"/>
    <w:rsid w:val="00381F8D"/>
    <w:rsid w:val="00382805"/>
    <w:rsid w:val="00384560"/>
    <w:rsid w:val="003855D2"/>
    <w:rsid w:val="00386B8A"/>
    <w:rsid w:val="0039137B"/>
    <w:rsid w:val="00391E7C"/>
    <w:rsid w:val="00395746"/>
    <w:rsid w:val="003970BE"/>
    <w:rsid w:val="003A04DA"/>
    <w:rsid w:val="003A068D"/>
    <w:rsid w:val="003A0E30"/>
    <w:rsid w:val="003A2BCB"/>
    <w:rsid w:val="003A342F"/>
    <w:rsid w:val="003A3E34"/>
    <w:rsid w:val="003A453B"/>
    <w:rsid w:val="003A4F00"/>
    <w:rsid w:val="003B0030"/>
    <w:rsid w:val="003B0AAC"/>
    <w:rsid w:val="003B1AB3"/>
    <w:rsid w:val="003B386A"/>
    <w:rsid w:val="003B5A94"/>
    <w:rsid w:val="003C0446"/>
    <w:rsid w:val="003C08A4"/>
    <w:rsid w:val="003C0E3B"/>
    <w:rsid w:val="003C3C2F"/>
    <w:rsid w:val="003C531B"/>
    <w:rsid w:val="003C64D3"/>
    <w:rsid w:val="003C64E0"/>
    <w:rsid w:val="003C6517"/>
    <w:rsid w:val="003D0600"/>
    <w:rsid w:val="003D182A"/>
    <w:rsid w:val="003D308B"/>
    <w:rsid w:val="003D4803"/>
    <w:rsid w:val="003D4E74"/>
    <w:rsid w:val="003D5E58"/>
    <w:rsid w:val="003D5EC2"/>
    <w:rsid w:val="003D6624"/>
    <w:rsid w:val="003D7D2B"/>
    <w:rsid w:val="003D7F8D"/>
    <w:rsid w:val="003E0888"/>
    <w:rsid w:val="003E0949"/>
    <w:rsid w:val="003E2FA7"/>
    <w:rsid w:val="003E3CA5"/>
    <w:rsid w:val="003E494A"/>
    <w:rsid w:val="003E61DA"/>
    <w:rsid w:val="003E71C0"/>
    <w:rsid w:val="003E7657"/>
    <w:rsid w:val="003F0640"/>
    <w:rsid w:val="003F7517"/>
    <w:rsid w:val="003F76E1"/>
    <w:rsid w:val="00402721"/>
    <w:rsid w:val="00403022"/>
    <w:rsid w:val="004030CE"/>
    <w:rsid w:val="00406444"/>
    <w:rsid w:val="00406498"/>
    <w:rsid w:val="004078AA"/>
    <w:rsid w:val="004079C4"/>
    <w:rsid w:val="00414BD7"/>
    <w:rsid w:val="004175E2"/>
    <w:rsid w:val="00420840"/>
    <w:rsid w:val="004210C5"/>
    <w:rsid w:val="00422738"/>
    <w:rsid w:val="00422863"/>
    <w:rsid w:val="004230EC"/>
    <w:rsid w:val="00423C3E"/>
    <w:rsid w:val="00423EB8"/>
    <w:rsid w:val="00424539"/>
    <w:rsid w:val="004249B4"/>
    <w:rsid w:val="0042561E"/>
    <w:rsid w:val="0042581D"/>
    <w:rsid w:val="00425A00"/>
    <w:rsid w:val="00425DCB"/>
    <w:rsid w:val="00426736"/>
    <w:rsid w:val="0042796B"/>
    <w:rsid w:val="00431689"/>
    <w:rsid w:val="004323C8"/>
    <w:rsid w:val="0043368E"/>
    <w:rsid w:val="00435054"/>
    <w:rsid w:val="004351F9"/>
    <w:rsid w:val="0043555F"/>
    <w:rsid w:val="00436EA8"/>
    <w:rsid w:val="0043769B"/>
    <w:rsid w:val="004421F2"/>
    <w:rsid w:val="00442B47"/>
    <w:rsid w:val="00445382"/>
    <w:rsid w:val="00445B46"/>
    <w:rsid w:val="004478AE"/>
    <w:rsid w:val="00453BBB"/>
    <w:rsid w:val="0045424B"/>
    <w:rsid w:val="00455A69"/>
    <w:rsid w:val="00455B45"/>
    <w:rsid w:val="00456A59"/>
    <w:rsid w:val="004617EA"/>
    <w:rsid w:val="00462308"/>
    <w:rsid w:val="004629BA"/>
    <w:rsid w:val="00464FD1"/>
    <w:rsid w:val="00467669"/>
    <w:rsid w:val="00470D03"/>
    <w:rsid w:val="0047251F"/>
    <w:rsid w:val="00473037"/>
    <w:rsid w:val="00473371"/>
    <w:rsid w:val="00473E76"/>
    <w:rsid w:val="00474B5D"/>
    <w:rsid w:val="0047563A"/>
    <w:rsid w:val="0047737C"/>
    <w:rsid w:val="004779B8"/>
    <w:rsid w:val="00477BB5"/>
    <w:rsid w:val="004807B4"/>
    <w:rsid w:val="00480F3E"/>
    <w:rsid w:val="00481B62"/>
    <w:rsid w:val="00483327"/>
    <w:rsid w:val="00484351"/>
    <w:rsid w:val="00484DB6"/>
    <w:rsid w:val="004857AE"/>
    <w:rsid w:val="004869E4"/>
    <w:rsid w:val="00487558"/>
    <w:rsid w:val="004876EE"/>
    <w:rsid w:val="00487742"/>
    <w:rsid w:val="0049289E"/>
    <w:rsid w:val="00493FE5"/>
    <w:rsid w:val="00494BDC"/>
    <w:rsid w:val="00494E6E"/>
    <w:rsid w:val="00495C1F"/>
    <w:rsid w:val="0049738C"/>
    <w:rsid w:val="00497503"/>
    <w:rsid w:val="004975A2"/>
    <w:rsid w:val="004A1160"/>
    <w:rsid w:val="004A2F7B"/>
    <w:rsid w:val="004A44F5"/>
    <w:rsid w:val="004B371F"/>
    <w:rsid w:val="004B3A59"/>
    <w:rsid w:val="004B3A79"/>
    <w:rsid w:val="004B3C61"/>
    <w:rsid w:val="004B451F"/>
    <w:rsid w:val="004B52C3"/>
    <w:rsid w:val="004B5559"/>
    <w:rsid w:val="004B59F0"/>
    <w:rsid w:val="004B7215"/>
    <w:rsid w:val="004B7A5A"/>
    <w:rsid w:val="004C1201"/>
    <w:rsid w:val="004C190E"/>
    <w:rsid w:val="004C19AB"/>
    <w:rsid w:val="004C3483"/>
    <w:rsid w:val="004C3C2F"/>
    <w:rsid w:val="004C3FBA"/>
    <w:rsid w:val="004C43FE"/>
    <w:rsid w:val="004C5C7B"/>
    <w:rsid w:val="004C613C"/>
    <w:rsid w:val="004C633E"/>
    <w:rsid w:val="004C7D80"/>
    <w:rsid w:val="004D2C56"/>
    <w:rsid w:val="004D36E9"/>
    <w:rsid w:val="004D3E6C"/>
    <w:rsid w:val="004D4BD0"/>
    <w:rsid w:val="004D5EFD"/>
    <w:rsid w:val="004D5F1D"/>
    <w:rsid w:val="004D65AA"/>
    <w:rsid w:val="004D6A36"/>
    <w:rsid w:val="004E0151"/>
    <w:rsid w:val="004E084F"/>
    <w:rsid w:val="004E20F6"/>
    <w:rsid w:val="004E3F85"/>
    <w:rsid w:val="004E4612"/>
    <w:rsid w:val="004E4981"/>
    <w:rsid w:val="004E4AE3"/>
    <w:rsid w:val="004E4DAC"/>
    <w:rsid w:val="004F08F8"/>
    <w:rsid w:val="004F0FBD"/>
    <w:rsid w:val="004F3452"/>
    <w:rsid w:val="004F3763"/>
    <w:rsid w:val="004F4C0D"/>
    <w:rsid w:val="004F5B95"/>
    <w:rsid w:val="004F693B"/>
    <w:rsid w:val="004F6CED"/>
    <w:rsid w:val="0050033D"/>
    <w:rsid w:val="0050552A"/>
    <w:rsid w:val="00505CE7"/>
    <w:rsid w:val="00506A00"/>
    <w:rsid w:val="0050796D"/>
    <w:rsid w:val="005117E4"/>
    <w:rsid w:val="005136FE"/>
    <w:rsid w:val="00514048"/>
    <w:rsid w:val="005202A0"/>
    <w:rsid w:val="0052321D"/>
    <w:rsid w:val="00524005"/>
    <w:rsid w:val="0052584C"/>
    <w:rsid w:val="0052640E"/>
    <w:rsid w:val="0052734A"/>
    <w:rsid w:val="00527A94"/>
    <w:rsid w:val="00527C06"/>
    <w:rsid w:val="00530CB6"/>
    <w:rsid w:val="00531769"/>
    <w:rsid w:val="00531850"/>
    <w:rsid w:val="005345AD"/>
    <w:rsid w:val="00535F75"/>
    <w:rsid w:val="005369D6"/>
    <w:rsid w:val="00536B0A"/>
    <w:rsid w:val="0053746A"/>
    <w:rsid w:val="00540CE0"/>
    <w:rsid w:val="00541132"/>
    <w:rsid w:val="0054153B"/>
    <w:rsid w:val="005444A9"/>
    <w:rsid w:val="005525E3"/>
    <w:rsid w:val="00553641"/>
    <w:rsid w:val="00555355"/>
    <w:rsid w:val="00556A21"/>
    <w:rsid w:val="0055744E"/>
    <w:rsid w:val="00560CD8"/>
    <w:rsid w:val="00562F67"/>
    <w:rsid w:val="00565115"/>
    <w:rsid w:val="00575AE3"/>
    <w:rsid w:val="00575F2D"/>
    <w:rsid w:val="005760D3"/>
    <w:rsid w:val="0057752B"/>
    <w:rsid w:val="00580F9F"/>
    <w:rsid w:val="00581352"/>
    <w:rsid w:val="00581D67"/>
    <w:rsid w:val="005820FB"/>
    <w:rsid w:val="00582BAA"/>
    <w:rsid w:val="00585D0A"/>
    <w:rsid w:val="00585DBC"/>
    <w:rsid w:val="00585E7B"/>
    <w:rsid w:val="005907BE"/>
    <w:rsid w:val="00591D6A"/>
    <w:rsid w:val="005922B4"/>
    <w:rsid w:val="00594670"/>
    <w:rsid w:val="005A0E01"/>
    <w:rsid w:val="005A14BF"/>
    <w:rsid w:val="005A44FF"/>
    <w:rsid w:val="005A4675"/>
    <w:rsid w:val="005A4804"/>
    <w:rsid w:val="005A62B7"/>
    <w:rsid w:val="005A729A"/>
    <w:rsid w:val="005B09D0"/>
    <w:rsid w:val="005B4952"/>
    <w:rsid w:val="005B552B"/>
    <w:rsid w:val="005B6F49"/>
    <w:rsid w:val="005B7D48"/>
    <w:rsid w:val="005C09CC"/>
    <w:rsid w:val="005C0EEB"/>
    <w:rsid w:val="005C3287"/>
    <w:rsid w:val="005C3575"/>
    <w:rsid w:val="005C4489"/>
    <w:rsid w:val="005C6EC2"/>
    <w:rsid w:val="005C769A"/>
    <w:rsid w:val="005D1407"/>
    <w:rsid w:val="005D16EF"/>
    <w:rsid w:val="005D1FF0"/>
    <w:rsid w:val="005D430F"/>
    <w:rsid w:val="005D58EE"/>
    <w:rsid w:val="005D6FE2"/>
    <w:rsid w:val="005D7069"/>
    <w:rsid w:val="005E0595"/>
    <w:rsid w:val="005E0AC0"/>
    <w:rsid w:val="005E12BF"/>
    <w:rsid w:val="005E1BF9"/>
    <w:rsid w:val="005E2C6A"/>
    <w:rsid w:val="005E51D4"/>
    <w:rsid w:val="005F025D"/>
    <w:rsid w:val="005F075B"/>
    <w:rsid w:val="005F254E"/>
    <w:rsid w:val="005F433C"/>
    <w:rsid w:val="005F6FA6"/>
    <w:rsid w:val="005F71FC"/>
    <w:rsid w:val="005F7A38"/>
    <w:rsid w:val="0060241A"/>
    <w:rsid w:val="00607687"/>
    <w:rsid w:val="00610781"/>
    <w:rsid w:val="00610FC8"/>
    <w:rsid w:val="00611904"/>
    <w:rsid w:val="00615AA5"/>
    <w:rsid w:val="006171F1"/>
    <w:rsid w:val="00621D2F"/>
    <w:rsid w:val="006224D1"/>
    <w:rsid w:val="006225CF"/>
    <w:rsid w:val="00625633"/>
    <w:rsid w:val="00625C27"/>
    <w:rsid w:val="00630148"/>
    <w:rsid w:val="00630DE2"/>
    <w:rsid w:val="006333A4"/>
    <w:rsid w:val="00633D23"/>
    <w:rsid w:val="006354C3"/>
    <w:rsid w:val="00637A31"/>
    <w:rsid w:val="00641DCD"/>
    <w:rsid w:val="00643CF0"/>
    <w:rsid w:val="00644335"/>
    <w:rsid w:val="00644464"/>
    <w:rsid w:val="00644B26"/>
    <w:rsid w:val="00644BD2"/>
    <w:rsid w:val="00650041"/>
    <w:rsid w:val="00650062"/>
    <w:rsid w:val="00651FDA"/>
    <w:rsid w:val="00652A91"/>
    <w:rsid w:val="00655149"/>
    <w:rsid w:val="00655622"/>
    <w:rsid w:val="00656301"/>
    <w:rsid w:val="0066123E"/>
    <w:rsid w:val="00661C9D"/>
    <w:rsid w:val="0066373D"/>
    <w:rsid w:val="006659D3"/>
    <w:rsid w:val="0067085E"/>
    <w:rsid w:val="00670D4F"/>
    <w:rsid w:val="006720E2"/>
    <w:rsid w:val="00674CA7"/>
    <w:rsid w:val="0067514B"/>
    <w:rsid w:val="00676A1C"/>
    <w:rsid w:val="0068043E"/>
    <w:rsid w:val="0068304C"/>
    <w:rsid w:val="00683DF6"/>
    <w:rsid w:val="0068546B"/>
    <w:rsid w:val="006856AC"/>
    <w:rsid w:val="00686499"/>
    <w:rsid w:val="00687A6D"/>
    <w:rsid w:val="006901EF"/>
    <w:rsid w:val="00691245"/>
    <w:rsid w:val="00691579"/>
    <w:rsid w:val="006920F7"/>
    <w:rsid w:val="0069387D"/>
    <w:rsid w:val="0069414B"/>
    <w:rsid w:val="00694696"/>
    <w:rsid w:val="00695E2F"/>
    <w:rsid w:val="006A01EF"/>
    <w:rsid w:val="006A1D50"/>
    <w:rsid w:val="006A2923"/>
    <w:rsid w:val="006A2F52"/>
    <w:rsid w:val="006A3973"/>
    <w:rsid w:val="006A6F3A"/>
    <w:rsid w:val="006B2EE6"/>
    <w:rsid w:val="006B4A02"/>
    <w:rsid w:val="006C3A30"/>
    <w:rsid w:val="006D0DD8"/>
    <w:rsid w:val="006D2F82"/>
    <w:rsid w:val="006D311E"/>
    <w:rsid w:val="006D4200"/>
    <w:rsid w:val="006D4733"/>
    <w:rsid w:val="006D4B44"/>
    <w:rsid w:val="006E3238"/>
    <w:rsid w:val="006E4B83"/>
    <w:rsid w:val="006E4C85"/>
    <w:rsid w:val="006E644D"/>
    <w:rsid w:val="006E6E62"/>
    <w:rsid w:val="006E729B"/>
    <w:rsid w:val="006F1DBA"/>
    <w:rsid w:val="006F286D"/>
    <w:rsid w:val="006F495C"/>
    <w:rsid w:val="006F5BA4"/>
    <w:rsid w:val="006F7FCE"/>
    <w:rsid w:val="00706FAB"/>
    <w:rsid w:val="0070703D"/>
    <w:rsid w:val="007113A9"/>
    <w:rsid w:val="007117E2"/>
    <w:rsid w:val="00714298"/>
    <w:rsid w:val="0071464D"/>
    <w:rsid w:val="00715676"/>
    <w:rsid w:val="007156F1"/>
    <w:rsid w:val="00716826"/>
    <w:rsid w:val="0072034B"/>
    <w:rsid w:val="007207F3"/>
    <w:rsid w:val="00721959"/>
    <w:rsid w:val="007233D8"/>
    <w:rsid w:val="00723E04"/>
    <w:rsid w:val="00723F82"/>
    <w:rsid w:val="00724814"/>
    <w:rsid w:val="00726740"/>
    <w:rsid w:val="00726DB9"/>
    <w:rsid w:val="00727D7D"/>
    <w:rsid w:val="0073491B"/>
    <w:rsid w:val="00735129"/>
    <w:rsid w:val="0073585A"/>
    <w:rsid w:val="00737A5A"/>
    <w:rsid w:val="007411CF"/>
    <w:rsid w:val="007421EB"/>
    <w:rsid w:val="00742F6D"/>
    <w:rsid w:val="00745C05"/>
    <w:rsid w:val="00746A2E"/>
    <w:rsid w:val="00750409"/>
    <w:rsid w:val="0075213D"/>
    <w:rsid w:val="00753456"/>
    <w:rsid w:val="00753A4E"/>
    <w:rsid w:val="00753FD7"/>
    <w:rsid w:val="007548CD"/>
    <w:rsid w:val="00754F54"/>
    <w:rsid w:val="0076009F"/>
    <w:rsid w:val="00761453"/>
    <w:rsid w:val="00762226"/>
    <w:rsid w:val="00763557"/>
    <w:rsid w:val="0076356B"/>
    <w:rsid w:val="00764D5A"/>
    <w:rsid w:val="00765476"/>
    <w:rsid w:val="00765C38"/>
    <w:rsid w:val="007678A0"/>
    <w:rsid w:val="007710E8"/>
    <w:rsid w:val="00771156"/>
    <w:rsid w:val="00771261"/>
    <w:rsid w:val="00771C06"/>
    <w:rsid w:val="00775EDE"/>
    <w:rsid w:val="00786B96"/>
    <w:rsid w:val="00786DDF"/>
    <w:rsid w:val="0078704A"/>
    <w:rsid w:val="00787D25"/>
    <w:rsid w:val="007907D0"/>
    <w:rsid w:val="00791801"/>
    <w:rsid w:val="0079324F"/>
    <w:rsid w:val="00794002"/>
    <w:rsid w:val="00794A2B"/>
    <w:rsid w:val="00795DC5"/>
    <w:rsid w:val="007A1860"/>
    <w:rsid w:val="007A2BF3"/>
    <w:rsid w:val="007A2EB7"/>
    <w:rsid w:val="007A3E89"/>
    <w:rsid w:val="007A4DEC"/>
    <w:rsid w:val="007A5122"/>
    <w:rsid w:val="007A6A8C"/>
    <w:rsid w:val="007B3205"/>
    <w:rsid w:val="007B3237"/>
    <w:rsid w:val="007B5A16"/>
    <w:rsid w:val="007C00FA"/>
    <w:rsid w:val="007C0A5D"/>
    <w:rsid w:val="007C10BC"/>
    <w:rsid w:val="007C3FE6"/>
    <w:rsid w:val="007C53D2"/>
    <w:rsid w:val="007C6EC6"/>
    <w:rsid w:val="007C77FB"/>
    <w:rsid w:val="007D03A1"/>
    <w:rsid w:val="007D33A5"/>
    <w:rsid w:val="007D396A"/>
    <w:rsid w:val="007D7037"/>
    <w:rsid w:val="007D753A"/>
    <w:rsid w:val="007E059C"/>
    <w:rsid w:val="007E05E0"/>
    <w:rsid w:val="007E0EDD"/>
    <w:rsid w:val="007E2918"/>
    <w:rsid w:val="007E3450"/>
    <w:rsid w:val="007E4510"/>
    <w:rsid w:val="007E6104"/>
    <w:rsid w:val="007E69FC"/>
    <w:rsid w:val="007E6BEA"/>
    <w:rsid w:val="007F0085"/>
    <w:rsid w:val="007F07F5"/>
    <w:rsid w:val="007F1482"/>
    <w:rsid w:val="007F21B9"/>
    <w:rsid w:val="007F24AF"/>
    <w:rsid w:val="007F3457"/>
    <w:rsid w:val="007F3707"/>
    <w:rsid w:val="007F501F"/>
    <w:rsid w:val="007F5638"/>
    <w:rsid w:val="007F5F25"/>
    <w:rsid w:val="00800395"/>
    <w:rsid w:val="00800DFF"/>
    <w:rsid w:val="008021DD"/>
    <w:rsid w:val="008029F8"/>
    <w:rsid w:val="00802A5A"/>
    <w:rsid w:val="00802F0D"/>
    <w:rsid w:val="00803086"/>
    <w:rsid w:val="00803B9D"/>
    <w:rsid w:val="00804DA7"/>
    <w:rsid w:val="00804DCB"/>
    <w:rsid w:val="008052D7"/>
    <w:rsid w:val="008074B0"/>
    <w:rsid w:val="00812835"/>
    <w:rsid w:val="00813877"/>
    <w:rsid w:val="00813EB6"/>
    <w:rsid w:val="00814B33"/>
    <w:rsid w:val="008160A7"/>
    <w:rsid w:val="00816159"/>
    <w:rsid w:val="0081697B"/>
    <w:rsid w:val="0081733D"/>
    <w:rsid w:val="00821327"/>
    <w:rsid w:val="00821A94"/>
    <w:rsid w:val="00823012"/>
    <w:rsid w:val="0082652B"/>
    <w:rsid w:val="008279FC"/>
    <w:rsid w:val="00827C45"/>
    <w:rsid w:val="00830578"/>
    <w:rsid w:val="0083120C"/>
    <w:rsid w:val="00832CB9"/>
    <w:rsid w:val="008342BD"/>
    <w:rsid w:val="008354F7"/>
    <w:rsid w:val="008413AB"/>
    <w:rsid w:val="008420C0"/>
    <w:rsid w:val="008421E0"/>
    <w:rsid w:val="00844712"/>
    <w:rsid w:val="00844CE5"/>
    <w:rsid w:val="00845D06"/>
    <w:rsid w:val="00845DA1"/>
    <w:rsid w:val="00847203"/>
    <w:rsid w:val="00850F9E"/>
    <w:rsid w:val="0085245E"/>
    <w:rsid w:val="00852D4D"/>
    <w:rsid w:val="008531B3"/>
    <w:rsid w:val="008544A7"/>
    <w:rsid w:val="008545AC"/>
    <w:rsid w:val="00857348"/>
    <w:rsid w:val="00857E5B"/>
    <w:rsid w:val="00860164"/>
    <w:rsid w:val="008612C1"/>
    <w:rsid w:val="0086359C"/>
    <w:rsid w:val="008655A5"/>
    <w:rsid w:val="00867419"/>
    <w:rsid w:val="00871F27"/>
    <w:rsid w:val="008733E0"/>
    <w:rsid w:val="00873423"/>
    <w:rsid w:val="00874117"/>
    <w:rsid w:val="008777FC"/>
    <w:rsid w:val="00882279"/>
    <w:rsid w:val="0088547A"/>
    <w:rsid w:val="00885676"/>
    <w:rsid w:val="00891479"/>
    <w:rsid w:val="00891BA0"/>
    <w:rsid w:val="00892643"/>
    <w:rsid w:val="008944F0"/>
    <w:rsid w:val="008964CD"/>
    <w:rsid w:val="008A0563"/>
    <w:rsid w:val="008A0F20"/>
    <w:rsid w:val="008A1352"/>
    <w:rsid w:val="008A1E14"/>
    <w:rsid w:val="008A204E"/>
    <w:rsid w:val="008A367D"/>
    <w:rsid w:val="008A3DC6"/>
    <w:rsid w:val="008A4318"/>
    <w:rsid w:val="008A4F02"/>
    <w:rsid w:val="008A5B07"/>
    <w:rsid w:val="008A763E"/>
    <w:rsid w:val="008B12CE"/>
    <w:rsid w:val="008B1705"/>
    <w:rsid w:val="008B414A"/>
    <w:rsid w:val="008B459C"/>
    <w:rsid w:val="008B4FC8"/>
    <w:rsid w:val="008B69F9"/>
    <w:rsid w:val="008B7AB8"/>
    <w:rsid w:val="008C25C2"/>
    <w:rsid w:val="008C2D30"/>
    <w:rsid w:val="008C6AEB"/>
    <w:rsid w:val="008C7A94"/>
    <w:rsid w:val="008D0152"/>
    <w:rsid w:val="008D1635"/>
    <w:rsid w:val="008D249D"/>
    <w:rsid w:val="008D3D5C"/>
    <w:rsid w:val="008D3F36"/>
    <w:rsid w:val="008D4059"/>
    <w:rsid w:val="008D42B6"/>
    <w:rsid w:val="008D659E"/>
    <w:rsid w:val="008E0408"/>
    <w:rsid w:val="008E207D"/>
    <w:rsid w:val="008E3746"/>
    <w:rsid w:val="008E3EE0"/>
    <w:rsid w:val="008E522D"/>
    <w:rsid w:val="008E72AB"/>
    <w:rsid w:val="008E7462"/>
    <w:rsid w:val="008E7857"/>
    <w:rsid w:val="008E7C3E"/>
    <w:rsid w:val="008F1C90"/>
    <w:rsid w:val="008F47C0"/>
    <w:rsid w:val="008F68AE"/>
    <w:rsid w:val="008F70DE"/>
    <w:rsid w:val="00900812"/>
    <w:rsid w:val="00900C6C"/>
    <w:rsid w:val="00911C65"/>
    <w:rsid w:val="00913223"/>
    <w:rsid w:val="00914524"/>
    <w:rsid w:val="0091507A"/>
    <w:rsid w:val="00915BD2"/>
    <w:rsid w:val="00916829"/>
    <w:rsid w:val="00920841"/>
    <w:rsid w:val="00920B6A"/>
    <w:rsid w:val="00921462"/>
    <w:rsid w:val="00921649"/>
    <w:rsid w:val="00922DE6"/>
    <w:rsid w:val="0092321C"/>
    <w:rsid w:val="009235A8"/>
    <w:rsid w:val="00923838"/>
    <w:rsid w:val="0092482A"/>
    <w:rsid w:val="009253F5"/>
    <w:rsid w:val="00925598"/>
    <w:rsid w:val="00925E70"/>
    <w:rsid w:val="00926808"/>
    <w:rsid w:val="00926C85"/>
    <w:rsid w:val="009307E2"/>
    <w:rsid w:val="00930885"/>
    <w:rsid w:val="00931DF8"/>
    <w:rsid w:val="00932AF4"/>
    <w:rsid w:val="009332ED"/>
    <w:rsid w:val="00934177"/>
    <w:rsid w:val="009343CE"/>
    <w:rsid w:val="00934A94"/>
    <w:rsid w:val="009370D5"/>
    <w:rsid w:val="00937224"/>
    <w:rsid w:val="00937C74"/>
    <w:rsid w:val="00937D4C"/>
    <w:rsid w:val="00940623"/>
    <w:rsid w:val="00941AE5"/>
    <w:rsid w:val="00941C8C"/>
    <w:rsid w:val="009423CA"/>
    <w:rsid w:val="00942E03"/>
    <w:rsid w:val="00945C02"/>
    <w:rsid w:val="00946BAC"/>
    <w:rsid w:val="00952D7A"/>
    <w:rsid w:val="009553AC"/>
    <w:rsid w:val="0095645D"/>
    <w:rsid w:val="00961950"/>
    <w:rsid w:val="009619E9"/>
    <w:rsid w:val="00961A68"/>
    <w:rsid w:val="00961FAB"/>
    <w:rsid w:val="00962BB2"/>
    <w:rsid w:val="00962D5E"/>
    <w:rsid w:val="00964EB5"/>
    <w:rsid w:val="00965398"/>
    <w:rsid w:val="00966650"/>
    <w:rsid w:val="00967D93"/>
    <w:rsid w:val="00972C35"/>
    <w:rsid w:val="00973077"/>
    <w:rsid w:val="00974805"/>
    <w:rsid w:val="00975398"/>
    <w:rsid w:val="00975FC6"/>
    <w:rsid w:val="009776F0"/>
    <w:rsid w:val="00977940"/>
    <w:rsid w:val="0098059F"/>
    <w:rsid w:val="00980792"/>
    <w:rsid w:val="00980972"/>
    <w:rsid w:val="00981783"/>
    <w:rsid w:val="00982BD1"/>
    <w:rsid w:val="00982ED5"/>
    <w:rsid w:val="00983703"/>
    <w:rsid w:val="00990A2D"/>
    <w:rsid w:val="009918CD"/>
    <w:rsid w:val="00991F14"/>
    <w:rsid w:val="00991FB6"/>
    <w:rsid w:val="00992C30"/>
    <w:rsid w:val="00993463"/>
    <w:rsid w:val="00993B50"/>
    <w:rsid w:val="00993B65"/>
    <w:rsid w:val="009A05FA"/>
    <w:rsid w:val="009A214C"/>
    <w:rsid w:val="009A460A"/>
    <w:rsid w:val="009A4966"/>
    <w:rsid w:val="009A4A07"/>
    <w:rsid w:val="009A5E1A"/>
    <w:rsid w:val="009A65E9"/>
    <w:rsid w:val="009B04E7"/>
    <w:rsid w:val="009B370F"/>
    <w:rsid w:val="009B4C36"/>
    <w:rsid w:val="009B51EF"/>
    <w:rsid w:val="009B7DDE"/>
    <w:rsid w:val="009C254E"/>
    <w:rsid w:val="009D010A"/>
    <w:rsid w:val="009D073C"/>
    <w:rsid w:val="009D0CF9"/>
    <w:rsid w:val="009D173F"/>
    <w:rsid w:val="009D33DB"/>
    <w:rsid w:val="009D36C1"/>
    <w:rsid w:val="009D40C4"/>
    <w:rsid w:val="009D413B"/>
    <w:rsid w:val="009D42E9"/>
    <w:rsid w:val="009D4CD2"/>
    <w:rsid w:val="009D4D7F"/>
    <w:rsid w:val="009D50EA"/>
    <w:rsid w:val="009D5338"/>
    <w:rsid w:val="009D5AE0"/>
    <w:rsid w:val="009D7700"/>
    <w:rsid w:val="009D7A68"/>
    <w:rsid w:val="009D7D96"/>
    <w:rsid w:val="009E022D"/>
    <w:rsid w:val="009E3F16"/>
    <w:rsid w:val="009E4ACB"/>
    <w:rsid w:val="009E5114"/>
    <w:rsid w:val="009E6A82"/>
    <w:rsid w:val="009F09D0"/>
    <w:rsid w:val="009F3031"/>
    <w:rsid w:val="009F4814"/>
    <w:rsid w:val="009F58A4"/>
    <w:rsid w:val="009F7935"/>
    <w:rsid w:val="00A00FF6"/>
    <w:rsid w:val="00A0126B"/>
    <w:rsid w:val="00A01685"/>
    <w:rsid w:val="00A0188E"/>
    <w:rsid w:val="00A04200"/>
    <w:rsid w:val="00A04CB3"/>
    <w:rsid w:val="00A07728"/>
    <w:rsid w:val="00A1476B"/>
    <w:rsid w:val="00A14CEE"/>
    <w:rsid w:val="00A1566C"/>
    <w:rsid w:val="00A172F8"/>
    <w:rsid w:val="00A20D2B"/>
    <w:rsid w:val="00A22EF3"/>
    <w:rsid w:val="00A257D9"/>
    <w:rsid w:val="00A26883"/>
    <w:rsid w:val="00A32B3D"/>
    <w:rsid w:val="00A33C47"/>
    <w:rsid w:val="00A35086"/>
    <w:rsid w:val="00A433A3"/>
    <w:rsid w:val="00A460A1"/>
    <w:rsid w:val="00A4687E"/>
    <w:rsid w:val="00A47BDF"/>
    <w:rsid w:val="00A53337"/>
    <w:rsid w:val="00A545BD"/>
    <w:rsid w:val="00A54F3E"/>
    <w:rsid w:val="00A550A8"/>
    <w:rsid w:val="00A5514F"/>
    <w:rsid w:val="00A603AC"/>
    <w:rsid w:val="00A608E4"/>
    <w:rsid w:val="00A6128D"/>
    <w:rsid w:val="00A62FF6"/>
    <w:rsid w:val="00A6316E"/>
    <w:rsid w:val="00A64C13"/>
    <w:rsid w:val="00A71966"/>
    <w:rsid w:val="00A719DD"/>
    <w:rsid w:val="00A72576"/>
    <w:rsid w:val="00A73D57"/>
    <w:rsid w:val="00A74324"/>
    <w:rsid w:val="00A76FBF"/>
    <w:rsid w:val="00A77092"/>
    <w:rsid w:val="00A81295"/>
    <w:rsid w:val="00A81CE3"/>
    <w:rsid w:val="00A82D67"/>
    <w:rsid w:val="00A83852"/>
    <w:rsid w:val="00A83B35"/>
    <w:rsid w:val="00A8465A"/>
    <w:rsid w:val="00A84ECC"/>
    <w:rsid w:val="00A855AD"/>
    <w:rsid w:val="00A855E6"/>
    <w:rsid w:val="00A864B0"/>
    <w:rsid w:val="00A87728"/>
    <w:rsid w:val="00A87A33"/>
    <w:rsid w:val="00A93895"/>
    <w:rsid w:val="00A93CD2"/>
    <w:rsid w:val="00A93FC3"/>
    <w:rsid w:val="00A95476"/>
    <w:rsid w:val="00A954DE"/>
    <w:rsid w:val="00A955A2"/>
    <w:rsid w:val="00A9787E"/>
    <w:rsid w:val="00A978AC"/>
    <w:rsid w:val="00A97E3C"/>
    <w:rsid w:val="00AA0BF9"/>
    <w:rsid w:val="00AA1166"/>
    <w:rsid w:val="00AA5C01"/>
    <w:rsid w:val="00AA5C3E"/>
    <w:rsid w:val="00AA7352"/>
    <w:rsid w:val="00AA789E"/>
    <w:rsid w:val="00AA7E35"/>
    <w:rsid w:val="00AB1713"/>
    <w:rsid w:val="00AB2BA1"/>
    <w:rsid w:val="00AB4B14"/>
    <w:rsid w:val="00AB57A1"/>
    <w:rsid w:val="00AB5E64"/>
    <w:rsid w:val="00AB6468"/>
    <w:rsid w:val="00AB6CD8"/>
    <w:rsid w:val="00AC0A66"/>
    <w:rsid w:val="00AC327B"/>
    <w:rsid w:val="00AC466A"/>
    <w:rsid w:val="00AC4C14"/>
    <w:rsid w:val="00AC5430"/>
    <w:rsid w:val="00AD0FC3"/>
    <w:rsid w:val="00AD23EB"/>
    <w:rsid w:val="00AD29AA"/>
    <w:rsid w:val="00AD3B25"/>
    <w:rsid w:val="00AD4960"/>
    <w:rsid w:val="00AD4BFC"/>
    <w:rsid w:val="00AD73E4"/>
    <w:rsid w:val="00AD7D22"/>
    <w:rsid w:val="00AE0F64"/>
    <w:rsid w:val="00AE1E4C"/>
    <w:rsid w:val="00AE2F8D"/>
    <w:rsid w:val="00AE3564"/>
    <w:rsid w:val="00AE58EE"/>
    <w:rsid w:val="00AE6C8F"/>
    <w:rsid w:val="00AE6DE6"/>
    <w:rsid w:val="00AE73A4"/>
    <w:rsid w:val="00AE7557"/>
    <w:rsid w:val="00AF36B1"/>
    <w:rsid w:val="00AF4DCA"/>
    <w:rsid w:val="00AF70F4"/>
    <w:rsid w:val="00AF75E4"/>
    <w:rsid w:val="00AF7D8C"/>
    <w:rsid w:val="00AF7E44"/>
    <w:rsid w:val="00B000F6"/>
    <w:rsid w:val="00B00914"/>
    <w:rsid w:val="00B01B77"/>
    <w:rsid w:val="00B02CE8"/>
    <w:rsid w:val="00B04792"/>
    <w:rsid w:val="00B05BE1"/>
    <w:rsid w:val="00B12527"/>
    <w:rsid w:val="00B14DFF"/>
    <w:rsid w:val="00B15E5E"/>
    <w:rsid w:val="00B1618E"/>
    <w:rsid w:val="00B166BF"/>
    <w:rsid w:val="00B213BD"/>
    <w:rsid w:val="00B222CA"/>
    <w:rsid w:val="00B223C5"/>
    <w:rsid w:val="00B243FA"/>
    <w:rsid w:val="00B2552C"/>
    <w:rsid w:val="00B27409"/>
    <w:rsid w:val="00B30804"/>
    <w:rsid w:val="00B31AC1"/>
    <w:rsid w:val="00B3348B"/>
    <w:rsid w:val="00B33F2C"/>
    <w:rsid w:val="00B340A3"/>
    <w:rsid w:val="00B344C5"/>
    <w:rsid w:val="00B35BC5"/>
    <w:rsid w:val="00B365D7"/>
    <w:rsid w:val="00B369FD"/>
    <w:rsid w:val="00B37B5D"/>
    <w:rsid w:val="00B41E8F"/>
    <w:rsid w:val="00B44A5B"/>
    <w:rsid w:val="00B44DED"/>
    <w:rsid w:val="00B5093D"/>
    <w:rsid w:val="00B51371"/>
    <w:rsid w:val="00B517AE"/>
    <w:rsid w:val="00B517E8"/>
    <w:rsid w:val="00B52224"/>
    <w:rsid w:val="00B545A5"/>
    <w:rsid w:val="00B61EB7"/>
    <w:rsid w:val="00B62097"/>
    <w:rsid w:val="00B62558"/>
    <w:rsid w:val="00B63B95"/>
    <w:rsid w:val="00B675FC"/>
    <w:rsid w:val="00B67967"/>
    <w:rsid w:val="00B70650"/>
    <w:rsid w:val="00B70AF0"/>
    <w:rsid w:val="00B70DBA"/>
    <w:rsid w:val="00B72132"/>
    <w:rsid w:val="00B733B1"/>
    <w:rsid w:val="00B74990"/>
    <w:rsid w:val="00B74B48"/>
    <w:rsid w:val="00B77242"/>
    <w:rsid w:val="00B80436"/>
    <w:rsid w:val="00B80BC4"/>
    <w:rsid w:val="00B82524"/>
    <w:rsid w:val="00B84170"/>
    <w:rsid w:val="00B84211"/>
    <w:rsid w:val="00B84846"/>
    <w:rsid w:val="00B84935"/>
    <w:rsid w:val="00B85B15"/>
    <w:rsid w:val="00B90D94"/>
    <w:rsid w:val="00B91090"/>
    <w:rsid w:val="00B937D9"/>
    <w:rsid w:val="00B93BAE"/>
    <w:rsid w:val="00B94BCF"/>
    <w:rsid w:val="00B94FED"/>
    <w:rsid w:val="00B97D21"/>
    <w:rsid w:val="00BA0115"/>
    <w:rsid w:val="00BA1F76"/>
    <w:rsid w:val="00BA2700"/>
    <w:rsid w:val="00BA4A79"/>
    <w:rsid w:val="00BA50AD"/>
    <w:rsid w:val="00BA6EAC"/>
    <w:rsid w:val="00BB1949"/>
    <w:rsid w:val="00BB26A9"/>
    <w:rsid w:val="00BB51DD"/>
    <w:rsid w:val="00BB6E97"/>
    <w:rsid w:val="00BB78BA"/>
    <w:rsid w:val="00BC16A5"/>
    <w:rsid w:val="00BC1B46"/>
    <w:rsid w:val="00BC232B"/>
    <w:rsid w:val="00BC2797"/>
    <w:rsid w:val="00BC3EE3"/>
    <w:rsid w:val="00BC43C4"/>
    <w:rsid w:val="00BC6CE8"/>
    <w:rsid w:val="00BC71F0"/>
    <w:rsid w:val="00BC7E94"/>
    <w:rsid w:val="00BC7EE2"/>
    <w:rsid w:val="00BD3A3A"/>
    <w:rsid w:val="00BD5D60"/>
    <w:rsid w:val="00BD5D9B"/>
    <w:rsid w:val="00BD6299"/>
    <w:rsid w:val="00BD67E6"/>
    <w:rsid w:val="00BE2AA0"/>
    <w:rsid w:val="00BE31DE"/>
    <w:rsid w:val="00BE3F32"/>
    <w:rsid w:val="00BE4820"/>
    <w:rsid w:val="00BE4C1E"/>
    <w:rsid w:val="00BE762A"/>
    <w:rsid w:val="00BF0DC1"/>
    <w:rsid w:val="00BF32A4"/>
    <w:rsid w:val="00BF3D88"/>
    <w:rsid w:val="00BF59D9"/>
    <w:rsid w:val="00BF5A48"/>
    <w:rsid w:val="00BF6A6A"/>
    <w:rsid w:val="00BF6CE9"/>
    <w:rsid w:val="00BF7239"/>
    <w:rsid w:val="00BF7BCB"/>
    <w:rsid w:val="00C01BC9"/>
    <w:rsid w:val="00C04A88"/>
    <w:rsid w:val="00C0546D"/>
    <w:rsid w:val="00C05633"/>
    <w:rsid w:val="00C05A30"/>
    <w:rsid w:val="00C05CBC"/>
    <w:rsid w:val="00C06015"/>
    <w:rsid w:val="00C11055"/>
    <w:rsid w:val="00C115D2"/>
    <w:rsid w:val="00C125F7"/>
    <w:rsid w:val="00C13665"/>
    <w:rsid w:val="00C14152"/>
    <w:rsid w:val="00C14659"/>
    <w:rsid w:val="00C14D67"/>
    <w:rsid w:val="00C23152"/>
    <w:rsid w:val="00C2366A"/>
    <w:rsid w:val="00C23DDB"/>
    <w:rsid w:val="00C25CE5"/>
    <w:rsid w:val="00C26ED6"/>
    <w:rsid w:val="00C271C7"/>
    <w:rsid w:val="00C27FA0"/>
    <w:rsid w:val="00C312A0"/>
    <w:rsid w:val="00C319BC"/>
    <w:rsid w:val="00C32A84"/>
    <w:rsid w:val="00C33A2F"/>
    <w:rsid w:val="00C34460"/>
    <w:rsid w:val="00C3544C"/>
    <w:rsid w:val="00C355F9"/>
    <w:rsid w:val="00C40814"/>
    <w:rsid w:val="00C41DC2"/>
    <w:rsid w:val="00C45B91"/>
    <w:rsid w:val="00C46051"/>
    <w:rsid w:val="00C46FAC"/>
    <w:rsid w:val="00C477F4"/>
    <w:rsid w:val="00C47DEE"/>
    <w:rsid w:val="00C50195"/>
    <w:rsid w:val="00C5211C"/>
    <w:rsid w:val="00C52307"/>
    <w:rsid w:val="00C532DF"/>
    <w:rsid w:val="00C55882"/>
    <w:rsid w:val="00C577C1"/>
    <w:rsid w:val="00C578B0"/>
    <w:rsid w:val="00C627C5"/>
    <w:rsid w:val="00C63D35"/>
    <w:rsid w:val="00C66157"/>
    <w:rsid w:val="00C66239"/>
    <w:rsid w:val="00C71A4D"/>
    <w:rsid w:val="00C73500"/>
    <w:rsid w:val="00C766AA"/>
    <w:rsid w:val="00C80015"/>
    <w:rsid w:val="00C81AD9"/>
    <w:rsid w:val="00C82A9D"/>
    <w:rsid w:val="00C8418E"/>
    <w:rsid w:val="00C846E4"/>
    <w:rsid w:val="00C85A38"/>
    <w:rsid w:val="00C87956"/>
    <w:rsid w:val="00C87A29"/>
    <w:rsid w:val="00C91711"/>
    <w:rsid w:val="00C92E6F"/>
    <w:rsid w:val="00C9392E"/>
    <w:rsid w:val="00C93B42"/>
    <w:rsid w:val="00C957C4"/>
    <w:rsid w:val="00C9681A"/>
    <w:rsid w:val="00CA166D"/>
    <w:rsid w:val="00CA176C"/>
    <w:rsid w:val="00CA2349"/>
    <w:rsid w:val="00CA565D"/>
    <w:rsid w:val="00CA6562"/>
    <w:rsid w:val="00CA72C8"/>
    <w:rsid w:val="00CA7F7D"/>
    <w:rsid w:val="00CB1B26"/>
    <w:rsid w:val="00CB4E36"/>
    <w:rsid w:val="00CB53E6"/>
    <w:rsid w:val="00CB5CCB"/>
    <w:rsid w:val="00CB6534"/>
    <w:rsid w:val="00CB7E8F"/>
    <w:rsid w:val="00CB7E91"/>
    <w:rsid w:val="00CC0EAC"/>
    <w:rsid w:val="00CC18C4"/>
    <w:rsid w:val="00CC22E0"/>
    <w:rsid w:val="00CC2582"/>
    <w:rsid w:val="00CC43B1"/>
    <w:rsid w:val="00CC472D"/>
    <w:rsid w:val="00CC5225"/>
    <w:rsid w:val="00CC64BF"/>
    <w:rsid w:val="00CC79BB"/>
    <w:rsid w:val="00CC7FF0"/>
    <w:rsid w:val="00CD024D"/>
    <w:rsid w:val="00CD02A4"/>
    <w:rsid w:val="00CD0C4B"/>
    <w:rsid w:val="00CD1F14"/>
    <w:rsid w:val="00CD5FF8"/>
    <w:rsid w:val="00CD6344"/>
    <w:rsid w:val="00CD66BA"/>
    <w:rsid w:val="00CD7B0D"/>
    <w:rsid w:val="00CE4590"/>
    <w:rsid w:val="00CE5086"/>
    <w:rsid w:val="00CE60EE"/>
    <w:rsid w:val="00CE7D0F"/>
    <w:rsid w:val="00CF015C"/>
    <w:rsid w:val="00CF3A39"/>
    <w:rsid w:val="00CF4D3E"/>
    <w:rsid w:val="00CF5271"/>
    <w:rsid w:val="00CF7330"/>
    <w:rsid w:val="00D00C63"/>
    <w:rsid w:val="00D00D89"/>
    <w:rsid w:val="00D03452"/>
    <w:rsid w:val="00D0435E"/>
    <w:rsid w:val="00D0461E"/>
    <w:rsid w:val="00D04F2C"/>
    <w:rsid w:val="00D0551C"/>
    <w:rsid w:val="00D05B59"/>
    <w:rsid w:val="00D103FA"/>
    <w:rsid w:val="00D106A1"/>
    <w:rsid w:val="00D11785"/>
    <w:rsid w:val="00D13462"/>
    <w:rsid w:val="00D13AAB"/>
    <w:rsid w:val="00D14760"/>
    <w:rsid w:val="00D17D38"/>
    <w:rsid w:val="00D22258"/>
    <w:rsid w:val="00D226F4"/>
    <w:rsid w:val="00D30299"/>
    <w:rsid w:val="00D313CA"/>
    <w:rsid w:val="00D332FF"/>
    <w:rsid w:val="00D3688C"/>
    <w:rsid w:val="00D376DA"/>
    <w:rsid w:val="00D42405"/>
    <w:rsid w:val="00D50779"/>
    <w:rsid w:val="00D50E32"/>
    <w:rsid w:val="00D519B7"/>
    <w:rsid w:val="00D52215"/>
    <w:rsid w:val="00D54711"/>
    <w:rsid w:val="00D54DA0"/>
    <w:rsid w:val="00D571CD"/>
    <w:rsid w:val="00D60630"/>
    <w:rsid w:val="00D619BB"/>
    <w:rsid w:val="00D62A83"/>
    <w:rsid w:val="00D63057"/>
    <w:rsid w:val="00D64D02"/>
    <w:rsid w:val="00D65F77"/>
    <w:rsid w:val="00D7219E"/>
    <w:rsid w:val="00D74199"/>
    <w:rsid w:val="00D778E1"/>
    <w:rsid w:val="00D8256F"/>
    <w:rsid w:val="00D85F54"/>
    <w:rsid w:val="00D873E2"/>
    <w:rsid w:val="00D87D38"/>
    <w:rsid w:val="00D91720"/>
    <w:rsid w:val="00D929E6"/>
    <w:rsid w:val="00D9571A"/>
    <w:rsid w:val="00D96F65"/>
    <w:rsid w:val="00D973E5"/>
    <w:rsid w:val="00DA0264"/>
    <w:rsid w:val="00DA03C6"/>
    <w:rsid w:val="00DA0515"/>
    <w:rsid w:val="00DA353D"/>
    <w:rsid w:val="00DA42C2"/>
    <w:rsid w:val="00DA4A02"/>
    <w:rsid w:val="00DA4EAC"/>
    <w:rsid w:val="00DA6C20"/>
    <w:rsid w:val="00DA7B73"/>
    <w:rsid w:val="00DB04A9"/>
    <w:rsid w:val="00DB0AC0"/>
    <w:rsid w:val="00DB1E63"/>
    <w:rsid w:val="00DB1E70"/>
    <w:rsid w:val="00DB2945"/>
    <w:rsid w:val="00DB4774"/>
    <w:rsid w:val="00DB55CC"/>
    <w:rsid w:val="00DB6619"/>
    <w:rsid w:val="00DB6A84"/>
    <w:rsid w:val="00DB7D0D"/>
    <w:rsid w:val="00DC111A"/>
    <w:rsid w:val="00DC2972"/>
    <w:rsid w:val="00DC451D"/>
    <w:rsid w:val="00DC4A76"/>
    <w:rsid w:val="00DD172E"/>
    <w:rsid w:val="00DD2B54"/>
    <w:rsid w:val="00DD4545"/>
    <w:rsid w:val="00DD52CE"/>
    <w:rsid w:val="00DD5F33"/>
    <w:rsid w:val="00DE0CB5"/>
    <w:rsid w:val="00DE1AD5"/>
    <w:rsid w:val="00DE4343"/>
    <w:rsid w:val="00DE4381"/>
    <w:rsid w:val="00DE5E12"/>
    <w:rsid w:val="00DE67E6"/>
    <w:rsid w:val="00DE7F62"/>
    <w:rsid w:val="00DF01D2"/>
    <w:rsid w:val="00DF3C59"/>
    <w:rsid w:val="00DF5014"/>
    <w:rsid w:val="00DF7605"/>
    <w:rsid w:val="00E0052C"/>
    <w:rsid w:val="00E016CB"/>
    <w:rsid w:val="00E01B5E"/>
    <w:rsid w:val="00E034AD"/>
    <w:rsid w:val="00E0395C"/>
    <w:rsid w:val="00E0520E"/>
    <w:rsid w:val="00E05BAC"/>
    <w:rsid w:val="00E05FCF"/>
    <w:rsid w:val="00E0652C"/>
    <w:rsid w:val="00E075D7"/>
    <w:rsid w:val="00E100A9"/>
    <w:rsid w:val="00E12856"/>
    <w:rsid w:val="00E15B0C"/>
    <w:rsid w:val="00E1680F"/>
    <w:rsid w:val="00E1793E"/>
    <w:rsid w:val="00E20373"/>
    <w:rsid w:val="00E208D2"/>
    <w:rsid w:val="00E21DC0"/>
    <w:rsid w:val="00E21E47"/>
    <w:rsid w:val="00E22A0C"/>
    <w:rsid w:val="00E22BFA"/>
    <w:rsid w:val="00E22D18"/>
    <w:rsid w:val="00E23B5D"/>
    <w:rsid w:val="00E24CC2"/>
    <w:rsid w:val="00E25A0A"/>
    <w:rsid w:val="00E25C4D"/>
    <w:rsid w:val="00E261D6"/>
    <w:rsid w:val="00E2686A"/>
    <w:rsid w:val="00E26FC7"/>
    <w:rsid w:val="00E27E5E"/>
    <w:rsid w:val="00E3050A"/>
    <w:rsid w:val="00E31FCD"/>
    <w:rsid w:val="00E321BE"/>
    <w:rsid w:val="00E338D8"/>
    <w:rsid w:val="00E3688F"/>
    <w:rsid w:val="00E36C31"/>
    <w:rsid w:val="00E40F9C"/>
    <w:rsid w:val="00E512F7"/>
    <w:rsid w:val="00E52118"/>
    <w:rsid w:val="00E522DD"/>
    <w:rsid w:val="00E52A02"/>
    <w:rsid w:val="00E52E26"/>
    <w:rsid w:val="00E54577"/>
    <w:rsid w:val="00E557A8"/>
    <w:rsid w:val="00E5680E"/>
    <w:rsid w:val="00E57C9B"/>
    <w:rsid w:val="00E60801"/>
    <w:rsid w:val="00E60F8D"/>
    <w:rsid w:val="00E61986"/>
    <w:rsid w:val="00E61E99"/>
    <w:rsid w:val="00E62F03"/>
    <w:rsid w:val="00E67426"/>
    <w:rsid w:val="00E67504"/>
    <w:rsid w:val="00E67F37"/>
    <w:rsid w:val="00E709A5"/>
    <w:rsid w:val="00E709CF"/>
    <w:rsid w:val="00E70C96"/>
    <w:rsid w:val="00E71EE4"/>
    <w:rsid w:val="00E72531"/>
    <w:rsid w:val="00E75009"/>
    <w:rsid w:val="00E750DC"/>
    <w:rsid w:val="00E76D3C"/>
    <w:rsid w:val="00E76FEC"/>
    <w:rsid w:val="00E8214B"/>
    <w:rsid w:val="00E90F0C"/>
    <w:rsid w:val="00E9266B"/>
    <w:rsid w:val="00E937A6"/>
    <w:rsid w:val="00E949AC"/>
    <w:rsid w:val="00E94EAC"/>
    <w:rsid w:val="00E954ED"/>
    <w:rsid w:val="00E95C11"/>
    <w:rsid w:val="00E96630"/>
    <w:rsid w:val="00E96E43"/>
    <w:rsid w:val="00E97233"/>
    <w:rsid w:val="00E97905"/>
    <w:rsid w:val="00E97D2D"/>
    <w:rsid w:val="00EA153D"/>
    <w:rsid w:val="00EA3A74"/>
    <w:rsid w:val="00EA3C7B"/>
    <w:rsid w:val="00EA4008"/>
    <w:rsid w:val="00EA4E57"/>
    <w:rsid w:val="00EA5AB9"/>
    <w:rsid w:val="00EA62A9"/>
    <w:rsid w:val="00EB0ED7"/>
    <w:rsid w:val="00EB21E9"/>
    <w:rsid w:val="00EB3481"/>
    <w:rsid w:val="00EB5A4F"/>
    <w:rsid w:val="00EB7535"/>
    <w:rsid w:val="00EB7821"/>
    <w:rsid w:val="00EC01E1"/>
    <w:rsid w:val="00EC0C69"/>
    <w:rsid w:val="00EC0C8A"/>
    <w:rsid w:val="00EC1595"/>
    <w:rsid w:val="00EC17E2"/>
    <w:rsid w:val="00EC4EF0"/>
    <w:rsid w:val="00EC7258"/>
    <w:rsid w:val="00EC7681"/>
    <w:rsid w:val="00EC7BD7"/>
    <w:rsid w:val="00ED23E9"/>
    <w:rsid w:val="00ED575B"/>
    <w:rsid w:val="00ED5D18"/>
    <w:rsid w:val="00EE0318"/>
    <w:rsid w:val="00EE39AF"/>
    <w:rsid w:val="00EE5D02"/>
    <w:rsid w:val="00EE6148"/>
    <w:rsid w:val="00EE7C33"/>
    <w:rsid w:val="00EF0196"/>
    <w:rsid w:val="00EF10FB"/>
    <w:rsid w:val="00EF7A1B"/>
    <w:rsid w:val="00EF7F66"/>
    <w:rsid w:val="00F009AD"/>
    <w:rsid w:val="00F014A3"/>
    <w:rsid w:val="00F0154F"/>
    <w:rsid w:val="00F01653"/>
    <w:rsid w:val="00F025D9"/>
    <w:rsid w:val="00F039DF"/>
    <w:rsid w:val="00F0446A"/>
    <w:rsid w:val="00F05CE4"/>
    <w:rsid w:val="00F062DC"/>
    <w:rsid w:val="00F06FB0"/>
    <w:rsid w:val="00F07DCE"/>
    <w:rsid w:val="00F10A0B"/>
    <w:rsid w:val="00F12596"/>
    <w:rsid w:val="00F12FCF"/>
    <w:rsid w:val="00F156F5"/>
    <w:rsid w:val="00F15FBA"/>
    <w:rsid w:val="00F171DA"/>
    <w:rsid w:val="00F178E2"/>
    <w:rsid w:val="00F211B6"/>
    <w:rsid w:val="00F2161B"/>
    <w:rsid w:val="00F22A48"/>
    <w:rsid w:val="00F31C28"/>
    <w:rsid w:val="00F35EFB"/>
    <w:rsid w:val="00F36008"/>
    <w:rsid w:val="00F360C0"/>
    <w:rsid w:val="00F3680E"/>
    <w:rsid w:val="00F370ED"/>
    <w:rsid w:val="00F40502"/>
    <w:rsid w:val="00F407E2"/>
    <w:rsid w:val="00F412C8"/>
    <w:rsid w:val="00F423FB"/>
    <w:rsid w:val="00F43063"/>
    <w:rsid w:val="00F43FD5"/>
    <w:rsid w:val="00F4692D"/>
    <w:rsid w:val="00F50A54"/>
    <w:rsid w:val="00F50D3D"/>
    <w:rsid w:val="00F549E4"/>
    <w:rsid w:val="00F57611"/>
    <w:rsid w:val="00F57E3E"/>
    <w:rsid w:val="00F61DBF"/>
    <w:rsid w:val="00F63293"/>
    <w:rsid w:val="00F65C7B"/>
    <w:rsid w:val="00F65CEE"/>
    <w:rsid w:val="00F6741C"/>
    <w:rsid w:val="00F67CDA"/>
    <w:rsid w:val="00F70B80"/>
    <w:rsid w:val="00F70BA8"/>
    <w:rsid w:val="00F71CF0"/>
    <w:rsid w:val="00F72B00"/>
    <w:rsid w:val="00F76EDD"/>
    <w:rsid w:val="00F7751C"/>
    <w:rsid w:val="00F80206"/>
    <w:rsid w:val="00F8090C"/>
    <w:rsid w:val="00F822B6"/>
    <w:rsid w:val="00F82303"/>
    <w:rsid w:val="00F83868"/>
    <w:rsid w:val="00F84141"/>
    <w:rsid w:val="00F85D05"/>
    <w:rsid w:val="00F8625B"/>
    <w:rsid w:val="00F8691D"/>
    <w:rsid w:val="00F8732C"/>
    <w:rsid w:val="00F877F9"/>
    <w:rsid w:val="00F9183B"/>
    <w:rsid w:val="00F91CCC"/>
    <w:rsid w:val="00FA270E"/>
    <w:rsid w:val="00FA3356"/>
    <w:rsid w:val="00FA3871"/>
    <w:rsid w:val="00FA76AF"/>
    <w:rsid w:val="00FB0227"/>
    <w:rsid w:val="00FB1C2D"/>
    <w:rsid w:val="00FB1CC1"/>
    <w:rsid w:val="00FB2070"/>
    <w:rsid w:val="00FB2394"/>
    <w:rsid w:val="00FB31DF"/>
    <w:rsid w:val="00FB67F8"/>
    <w:rsid w:val="00FB6945"/>
    <w:rsid w:val="00FB7E51"/>
    <w:rsid w:val="00FC1D84"/>
    <w:rsid w:val="00FC3ED4"/>
    <w:rsid w:val="00FC51E7"/>
    <w:rsid w:val="00FC6601"/>
    <w:rsid w:val="00FD0895"/>
    <w:rsid w:val="00FD3666"/>
    <w:rsid w:val="00FD5FB9"/>
    <w:rsid w:val="00FD68F7"/>
    <w:rsid w:val="00FD764A"/>
    <w:rsid w:val="00FE01C3"/>
    <w:rsid w:val="00FE06B6"/>
    <w:rsid w:val="00FE0824"/>
    <w:rsid w:val="00FE2B21"/>
    <w:rsid w:val="00FE3694"/>
    <w:rsid w:val="00FE377A"/>
    <w:rsid w:val="00FE3831"/>
    <w:rsid w:val="00FE4470"/>
    <w:rsid w:val="00FE4942"/>
    <w:rsid w:val="00FE4963"/>
    <w:rsid w:val="00FE5501"/>
    <w:rsid w:val="00FE5A49"/>
    <w:rsid w:val="00FE6672"/>
    <w:rsid w:val="00FE7EF8"/>
    <w:rsid w:val="00FF1A1A"/>
    <w:rsid w:val="00FF3C92"/>
    <w:rsid w:val="00FF564A"/>
    <w:rsid w:val="00FF5E4E"/>
    <w:rsid w:val="00FF5E57"/>
    <w:rsid w:val="00FF65AB"/>
    <w:rsid w:val="00FF798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
    <w:basedOn w:val="Normal"/>
    <w:link w:val="FootnoteTextChar"/>
    <w:unhideWhenUsed/>
    <w:rsid w:val="00902F77"/>
    <w:pPr>
      <w:spacing w:after="0" w:line="240" w:lineRule="auto"/>
    </w:pPr>
    <w:rPr>
      <w:sz w:val="24"/>
      <w:szCs w:val="24"/>
    </w:rPr>
  </w:style>
  <w:style w:type="character" w:customStyle="1" w:styleId="FootnoteTextChar">
    <w:name w:val="Footnote Text Char"/>
    <w:aliases w:val="fn Char"/>
    <w:basedOn w:val="DefaultParagraphFont"/>
    <w:link w:val="FootnoteText"/>
    <w:rsid w:val="00902F77"/>
    <w:rPr>
      <w:sz w:val="24"/>
      <w:szCs w:val="24"/>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C"/>
    <w:basedOn w:val="DefaultParagraphFont"/>
    <w:uiPriority w:val="99"/>
    <w:unhideWhenUsed/>
    <w:qFormat/>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2"/>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
    <w:basedOn w:val="BodyTextIndent"/>
    <w:link w:val="ParagraphChar"/>
    <w:qFormat/>
    <w:rsid w:val="00E05BAC"/>
    <w:pPr>
      <w:numPr>
        <w:ilvl w:val="1"/>
        <w:numId w:val="2"/>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2"/>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uiPriority w:val="99"/>
    <w:rsid w:val="00E05BAC"/>
    <w:pPr>
      <w:numPr>
        <w:ilvl w:val="3"/>
      </w:numPr>
      <w:tabs>
        <w:tab w:val="clear" w:pos="1584"/>
        <w:tab w:val="left" w:pos="0"/>
      </w:tabs>
      <w:ind w:left="2880" w:hanging="360"/>
    </w:pPr>
  </w:style>
  <w:style w:type="character" w:customStyle="1" w:styleId="ParagraphChar">
    <w:name w:val="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3"/>
      </w:numPr>
      <w:spacing w:before="0" w:after="0" w:line="480" w:lineRule="auto"/>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4"/>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5"/>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 w:type="character" w:styleId="Hyperlink">
    <w:name w:val="Hyperlink"/>
    <w:basedOn w:val="DefaultParagraphFont"/>
    <w:rsid w:val="00C93B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
    <w:basedOn w:val="Normal"/>
    <w:link w:val="FootnoteTextChar"/>
    <w:unhideWhenUsed/>
    <w:rsid w:val="00902F77"/>
    <w:pPr>
      <w:spacing w:after="0" w:line="240" w:lineRule="auto"/>
    </w:pPr>
    <w:rPr>
      <w:sz w:val="24"/>
      <w:szCs w:val="24"/>
    </w:rPr>
  </w:style>
  <w:style w:type="character" w:customStyle="1" w:styleId="FootnoteTextChar">
    <w:name w:val="Footnote Text Char"/>
    <w:aliases w:val="fn Char"/>
    <w:basedOn w:val="DefaultParagraphFont"/>
    <w:link w:val="FootnoteText"/>
    <w:rsid w:val="00902F77"/>
    <w:rPr>
      <w:sz w:val="24"/>
      <w:szCs w:val="24"/>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C"/>
    <w:basedOn w:val="DefaultParagraphFont"/>
    <w:uiPriority w:val="99"/>
    <w:unhideWhenUsed/>
    <w:qFormat/>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2"/>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
    <w:basedOn w:val="BodyTextIndent"/>
    <w:link w:val="ParagraphChar"/>
    <w:qFormat/>
    <w:rsid w:val="00E05BAC"/>
    <w:pPr>
      <w:numPr>
        <w:ilvl w:val="1"/>
        <w:numId w:val="2"/>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2"/>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uiPriority w:val="99"/>
    <w:rsid w:val="00E05BAC"/>
    <w:pPr>
      <w:numPr>
        <w:ilvl w:val="3"/>
      </w:numPr>
      <w:tabs>
        <w:tab w:val="clear" w:pos="1584"/>
        <w:tab w:val="left" w:pos="0"/>
      </w:tabs>
      <w:ind w:left="2880" w:hanging="360"/>
    </w:pPr>
  </w:style>
  <w:style w:type="character" w:customStyle="1" w:styleId="ParagraphChar">
    <w:name w:val="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3"/>
      </w:numPr>
      <w:spacing w:before="0" w:after="0" w:line="480" w:lineRule="auto"/>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4"/>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5"/>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 w:type="character" w:styleId="Hyperlink">
    <w:name w:val="Hyperlink"/>
    <w:basedOn w:val="DefaultParagraphFont"/>
    <w:rsid w:val="00C93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9325">
      <w:bodyDiv w:val="1"/>
      <w:marLeft w:val="0"/>
      <w:marRight w:val="0"/>
      <w:marTop w:val="0"/>
      <w:marBottom w:val="0"/>
      <w:divBdr>
        <w:top w:val="none" w:sz="0" w:space="0" w:color="auto"/>
        <w:left w:val="none" w:sz="0" w:space="0" w:color="auto"/>
        <w:bottom w:val="none" w:sz="0" w:space="0" w:color="auto"/>
        <w:right w:val="none" w:sz="0" w:space="0" w:color="auto"/>
      </w:divBdr>
    </w:div>
    <w:div w:id="432674786">
      <w:bodyDiv w:val="1"/>
      <w:marLeft w:val="0"/>
      <w:marRight w:val="0"/>
      <w:marTop w:val="0"/>
      <w:marBottom w:val="0"/>
      <w:divBdr>
        <w:top w:val="none" w:sz="0" w:space="0" w:color="auto"/>
        <w:left w:val="none" w:sz="0" w:space="0" w:color="auto"/>
        <w:bottom w:val="none" w:sz="0" w:space="0" w:color="auto"/>
        <w:right w:val="none" w:sz="0" w:space="0" w:color="auto"/>
      </w:divBdr>
    </w:div>
    <w:div w:id="577057355">
      <w:bodyDiv w:val="1"/>
      <w:marLeft w:val="0"/>
      <w:marRight w:val="0"/>
      <w:marTop w:val="0"/>
      <w:marBottom w:val="0"/>
      <w:divBdr>
        <w:top w:val="none" w:sz="0" w:space="0" w:color="auto"/>
        <w:left w:val="none" w:sz="0" w:space="0" w:color="auto"/>
        <w:bottom w:val="none" w:sz="0" w:space="0" w:color="auto"/>
        <w:right w:val="none" w:sz="0" w:space="0" w:color="auto"/>
      </w:divBdr>
    </w:div>
    <w:div w:id="603340300">
      <w:bodyDiv w:val="1"/>
      <w:marLeft w:val="0"/>
      <w:marRight w:val="0"/>
      <w:marTop w:val="0"/>
      <w:marBottom w:val="0"/>
      <w:divBdr>
        <w:top w:val="none" w:sz="0" w:space="0" w:color="auto"/>
        <w:left w:val="none" w:sz="0" w:space="0" w:color="auto"/>
        <w:bottom w:val="none" w:sz="0" w:space="0" w:color="auto"/>
        <w:right w:val="none" w:sz="0" w:space="0" w:color="auto"/>
      </w:divBdr>
    </w:div>
    <w:div w:id="678308865">
      <w:bodyDiv w:val="1"/>
      <w:marLeft w:val="0"/>
      <w:marRight w:val="0"/>
      <w:marTop w:val="0"/>
      <w:marBottom w:val="0"/>
      <w:divBdr>
        <w:top w:val="none" w:sz="0" w:space="0" w:color="auto"/>
        <w:left w:val="none" w:sz="0" w:space="0" w:color="auto"/>
        <w:bottom w:val="none" w:sz="0" w:space="0" w:color="auto"/>
        <w:right w:val="none" w:sz="0" w:space="0" w:color="auto"/>
      </w:divBdr>
    </w:div>
    <w:div w:id="702219344">
      <w:bodyDiv w:val="1"/>
      <w:marLeft w:val="0"/>
      <w:marRight w:val="0"/>
      <w:marTop w:val="0"/>
      <w:marBottom w:val="0"/>
      <w:divBdr>
        <w:top w:val="none" w:sz="0" w:space="0" w:color="auto"/>
        <w:left w:val="none" w:sz="0" w:space="0" w:color="auto"/>
        <w:bottom w:val="none" w:sz="0" w:space="0" w:color="auto"/>
        <w:right w:val="none" w:sz="0" w:space="0" w:color="auto"/>
      </w:divBdr>
    </w:div>
    <w:div w:id="829252475">
      <w:bodyDiv w:val="1"/>
      <w:marLeft w:val="0"/>
      <w:marRight w:val="0"/>
      <w:marTop w:val="0"/>
      <w:marBottom w:val="0"/>
      <w:divBdr>
        <w:top w:val="none" w:sz="0" w:space="0" w:color="auto"/>
        <w:left w:val="none" w:sz="0" w:space="0" w:color="auto"/>
        <w:bottom w:val="none" w:sz="0" w:space="0" w:color="auto"/>
        <w:right w:val="none" w:sz="0" w:space="0" w:color="auto"/>
      </w:divBdr>
    </w:div>
    <w:div w:id="902064866">
      <w:bodyDiv w:val="1"/>
      <w:marLeft w:val="0"/>
      <w:marRight w:val="0"/>
      <w:marTop w:val="0"/>
      <w:marBottom w:val="0"/>
      <w:divBdr>
        <w:top w:val="none" w:sz="0" w:space="0" w:color="auto"/>
        <w:left w:val="none" w:sz="0" w:space="0" w:color="auto"/>
        <w:bottom w:val="none" w:sz="0" w:space="0" w:color="auto"/>
        <w:right w:val="none" w:sz="0" w:space="0" w:color="auto"/>
      </w:divBdr>
    </w:div>
    <w:div w:id="945846692">
      <w:bodyDiv w:val="1"/>
      <w:marLeft w:val="0"/>
      <w:marRight w:val="0"/>
      <w:marTop w:val="0"/>
      <w:marBottom w:val="0"/>
      <w:divBdr>
        <w:top w:val="none" w:sz="0" w:space="0" w:color="auto"/>
        <w:left w:val="none" w:sz="0" w:space="0" w:color="auto"/>
        <w:bottom w:val="none" w:sz="0" w:space="0" w:color="auto"/>
        <w:right w:val="none" w:sz="0" w:space="0" w:color="auto"/>
      </w:divBdr>
    </w:div>
    <w:div w:id="1014763473">
      <w:bodyDiv w:val="1"/>
      <w:marLeft w:val="0"/>
      <w:marRight w:val="0"/>
      <w:marTop w:val="0"/>
      <w:marBottom w:val="0"/>
      <w:divBdr>
        <w:top w:val="none" w:sz="0" w:space="0" w:color="auto"/>
        <w:left w:val="none" w:sz="0" w:space="0" w:color="auto"/>
        <w:bottom w:val="none" w:sz="0" w:space="0" w:color="auto"/>
        <w:right w:val="none" w:sz="0" w:space="0" w:color="auto"/>
      </w:divBdr>
    </w:div>
    <w:div w:id="1079789357">
      <w:bodyDiv w:val="1"/>
      <w:marLeft w:val="0"/>
      <w:marRight w:val="0"/>
      <w:marTop w:val="0"/>
      <w:marBottom w:val="0"/>
      <w:divBdr>
        <w:top w:val="none" w:sz="0" w:space="0" w:color="auto"/>
        <w:left w:val="none" w:sz="0" w:space="0" w:color="auto"/>
        <w:bottom w:val="none" w:sz="0" w:space="0" w:color="auto"/>
        <w:right w:val="none" w:sz="0" w:space="0" w:color="auto"/>
      </w:divBdr>
    </w:div>
    <w:div w:id="1197617549">
      <w:bodyDiv w:val="1"/>
      <w:marLeft w:val="0"/>
      <w:marRight w:val="0"/>
      <w:marTop w:val="0"/>
      <w:marBottom w:val="0"/>
      <w:divBdr>
        <w:top w:val="none" w:sz="0" w:space="0" w:color="auto"/>
        <w:left w:val="none" w:sz="0" w:space="0" w:color="auto"/>
        <w:bottom w:val="none" w:sz="0" w:space="0" w:color="auto"/>
        <w:right w:val="none" w:sz="0" w:space="0" w:color="auto"/>
      </w:divBdr>
    </w:div>
    <w:div w:id="1253122557">
      <w:bodyDiv w:val="1"/>
      <w:marLeft w:val="0"/>
      <w:marRight w:val="0"/>
      <w:marTop w:val="0"/>
      <w:marBottom w:val="0"/>
      <w:divBdr>
        <w:top w:val="none" w:sz="0" w:space="0" w:color="auto"/>
        <w:left w:val="none" w:sz="0" w:space="0" w:color="auto"/>
        <w:bottom w:val="none" w:sz="0" w:space="0" w:color="auto"/>
        <w:right w:val="none" w:sz="0" w:space="0" w:color="auto"/>
      </w:divBdr>
    </w:div>
    <w:div w:id="1297025908">
      <w:bodyDiv w:val="1"/>
      <w:marLeft w:val="0"/>
      <w:marRight w:val="0"/>
      <w:marTop w:val="0"/>
      <w:marBottom w:val="0"/>
      <w:divBdr>
        <w:top w:val="none" w:sz="0" w:space="0" w:color="auto"/>
        <w:left w:val="none" w:sz="0" w:space="0" w:color="auto"/>
        <w:bottom w:val="none" w:sz="0" w:space="0" w:color="auto"/>
        <w:right w:val="none" w:sz="0" w:space="0" w:color="auto"/>
      </w:divBdr>
    </w:div>
    <w:div w:id="1319724160">
      <w:bodyDiv w:val="1"/>
      <w:marLeft w:val="0"/>
      <w:marRight w:val="0"/>
      <w:marTop w:val="0"/>
      <w:marBottom w:val="0"/>
      <w:divBdr>
        <w:top w:val="none" w:sz="0" w:space="0" w:color="auto"/>
        <w:left w:val="none" w:sz="0" w:space="0" w:color="auto"/>
        <w:bottom w:val="none" w:sz="0" w:space="0" w:color="auto"/>
        <w:right w:val="none" w:sz="0" w:space="0" w:color="auto"/>
      </w:divBdr>
    </w:div>
    <w:div w:id="1328552620">
      <w:bodyDiv w:val="1"/>
      <w:marLeft w:val="0"/>
      <w:marRight w:val="0"/>
      <w:marTop w:val="0"/>
      <w:marBottom w:val="0"/>
      <w:divBdr>
        <w:top w:val="none" w:sz="0" w:space="0" w:color="auto"/>
        <w:left w:val="none" w:sz="0" w:space="0" w:color="auto"/>
        <w:bottom w:val="none" w:sz="0" w:space="0" w:color="auto"/>
        <w:right w:val="none" w:sz="0" w:space="0" w:color="auto"/>
      </w:divBdr>
    </w:div>
    <w:div w:id="1514151860">
      <w:bodyDiv w:val="1"/>
      <w:marLeft w:val="0"/>
      <w:marRight w:val="0"/>
      <w:marTop w:val="0"/>
      <w:marBottom w:val="0"/>
      <w:divBdr>
        <w:top w:val="none" w:sz="0" w:space="0" w:color="auto"/>
        <w:left w:val="none" w:sz="0" w:space="0" w:color="auto"/>
        <w:bottom w:val="none" w:sz="0" w:space="0" w:color="auto"/>
        <w:right w:val="none" w:sz="0" w:space="0" w:color="auto"/>
      </w:divBdr>
    </w:div>
    <w:div w:id="1527985811">
      <w:bodyDiv w:val="1"/>
      <w:marLeft w:val="0"/>
      <w:marRight w:val="0"/>
      <w:marTop w:val="0"/>
      <w:marBottom w:val="0"/>
      <w:divBdr>
        <w:top w:val="none" w:sz="0" w:space="0" w:color="auto"/>
        <w:left w:val="none" w:sz="0" w:space="0" w:color="auto"/>
        <w:bottom w:val="none" w:sz="0" w:space="0" w:color="auto"/>
        <w:right w:val="none" w:sz="0" w:space="0" w:color="auto"/>
      </w:divBdr>
    </w:div>
    <w:div w:id="1571379950">
      <w:bodyDiv w:val="1"/>
      <w:marLeft w:val="0"/>
      <w:marRight w:val="0"/>
      <w:marTop w:val="0"/>
      <w:marBottom w:val="0"/>
      <w:divBdr>
        <w:top w:val="none" w:sz="0" w:space="0" w:color="auto"/>
        <w:left w:val="none" w:sz="0" w:space="0" w:color="auto"/>
        <w:bottom w:val="none" w:sz="0" w:space="0" w:color="auto"/>
        <w:right w:val="none" w:sz="0" w:space="0" w:color="auto"/>
      </w:divBdr>
    </w:div>
    <w:div w:id="1577588185">
      <w:bodyDiv w:val="1"/>
      <w:marLeft w:val="0"/>
      <w:marRight w:val="0"/>
      <w:marTop w:val="0"/>
      <w:marBottom w:val="0"/>
      <w:divBdr>
        <w:top w:val="none" w:sz="0" w:space="0" w:color="auto"/>
        <w:left w:val="none" w:sz="0" w:space="0" w:color="auto"/>
        <w:bottom w:val="none" w:sz="0" w:space="0" w:color="auto"/>
        <w:right w:val="none" w:sz="0" w:space="0" w:color="auto"/>
      </w:divBdr>
    </w:div>
    <w:div w:id="1606619980">
      <w:bodyDiv w:val="1"/>
      <w:marLeft w:val="0"/>
      <w:marRight w:val="0"/>
      <w:marTop w:val="0"/>
      <w:marBottom w:val="0"/>
      <w:divBdr>
        <w:top w:val="none" w:sz="0" w:space="0" w:color="auto"/>
        <w:left w:val="none" w:sz="0" w:space="0" w:color="auto"/>
        <w:bottom w:val="none" w:sz="0" w:space="0" w:color="auto"/>
        <w:right w:val="none" w:sz="0" w:space="0" w:color="auto"/>
      </w:divBdr>
    </w:div>
    <w:div w:id="1712338276">
      <w:bodyDiv w:val="1"/>
      <w:marLeft w:val="0"/>
      <w:marRight w:val="0"/>
      <w:marTop w:val="0"/>
      <w:marBottom w:val="0"/>
      <w:divBdr>
        <w:top w:val="none" w:sz="0" w:space="0" w:color="auto"/>
        <w:left w:val="none" w:sz="0" w:space="0" w:color="auto"/>
        <w:bottom w:val="none" w:sz="0" w:space="0" w:color="auto"/>
        <w:right w:val="none" w:sz="0" w:space="0" w:color="auto"/>
      </w:divBdr>
    </w:div>
    <w:div w:id="1831019221">
      <w:bodyDiv w:val="1"/>
      <w:marLeft w:val="0"/>
      <w:marRight w:val="0"/>
      <w:marTop w:val="0"/>
      <w:marBottom w:val="0"/>
      <w:divBdr>
        <w:top w:val="none" w:sz="0" w:space="0" w:color="auto"/>
        <w:left w:val="none" w:sz="0" w:space="0" w:color="auto"/>
        <w:bottom w:val="none" w:sz="0" w:space="0" w:color="auto"/>
        <w:right w:val="none" w:sz="0" w:space="0" w:color="auto"/>
      </w:divBdr>
    </w:div>
    <w:div w:id="1860006825">
      <w:bodyDiv w:val="1"/>
      <w:marLeft w:val="0"/>
      <w:marRight w:val="0"/>
      <w:marTop w:val="0"/>
      <w:marBottom w:val="0"/>
      <w:divBdr>
        <w:top w:val="none" w:sz="0" w:space="0" w:color="auto"/>
        <w:left w:val="none" w:sz="0" w:space="0" w:color="auto"/>
        <w:bottom w:val="none" w:sz="0" w:space="0" w:color="auto"/>
        <w:right w:val="none" w:sz="0" w:space="0" w:color="auto"/>
      </w:divBdr>
    </w:div>
    <w:div w:id="1983347870">
      <w:bodyDiv w:val="1"/>
      <w:marLeft w:val="0"/>
      <w:marRight w:val="0"/>
      <w:marTop w:val="0"/>
      <w:marBottom w:val="0"/>
      <w:divBdr>
        <w:top w:val="none" w:sz="0" w:space="0" w:color="auto"/>
        <w:left w:val="none" w:sz="0" w:space="0" w:color="auto"/>
        <w:bottom w:val="none" w:sz="0" w:space="0" w:color="auto"/>
        <w:right w:val="none" w:sz="0" w:space="0" w:color="auto"/>
      </w:divBdr>
    </w:div>
    <w:div w:id="1999261257">
      <w:bodyDiv w:val="1"/>
      <w:marLeft w:val="0"/>
      <w:marRight w:val="0"/>
      <w:marTop w:val="0"/>
      <w:marBottom w:val="0"/>
      <w:divBdr>
        <w:top w:val="none" w:sz="0" w:space="0" w:color="auto"/>
        <w:left w:val="none" w:sz="0" w:space="0" w:color="auto"/>
        <w:bottom w:val="none" w:sz="0" w:space="0" w:color="auto"/>
        <w:right w:val="none" w:sz="0" w:space="0" w:color="auto"/>
      </w:divBdr>
    </w:div>
    <w:div w:id="209185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f0be0ad-272c-4e7f-a157-3f0abda6cde5" ContentTypeId="0x01010046CF21643EE8D14686A648AA6DAD0892"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28B7E55B9BA1E45BE8DAFF4B56051F7" ma:contentTypeVersion="0" ma:contentTypeDescription="A content type to manage public (operations) IDB documents" ma:contentTypeScope="" ma:versionID="71afb248a14f52522038feb43a8c265a">
  <xsd:schema xmlns:xsd="http://www.w3.org/2001/XMLSchema" xmlns:xs="http://www.w3.org/2001/XMLSchema" xmlns:p="http://schemas.microsoft.com/office/2006/metadata/properties" xmlns:ns2="9c571b2f-e523-4ab2-ba2e-09e151a03ef4" targetNamespace="http://schemas.microsoft.com/office/2006/metadata/properties" ma:root="true" ma:fieldsID="00f02d04dbffc8223ab87bb0dcc9c1e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af76994-b145-4aa5-bae9-5834c8e755c3}" ma:internalName="TaxCatchAll" ma:showField="CatchAllData" ma:web="fab184d8-fc63-46dc-b020-1b7b083810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f76994-b145-4aa5-bae9-5834c8e755c3}" ma:internalName="TaxCatchAllLabel" ma:readOnly="true" ma:showField="CatchAllDataLabel" ma:web="fab184d8-fc63-46dc-b020-1b7b083810f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39930660</IDBDocs_x0020_Number>
    <Document_x0020_Author xmlns="9c571b2f-e523-4ab2-ba2e-09e151a03ef4">von Horoch, Jorge Luis</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PR-L1101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Proposal&lt;/USER_STAGE&gt;&lt;PD_OBJ_TYPE&gt;0&lt;/PD_OBJ_TYPE&gt;&lt;DTAPPROVAL&gt;Dec 16 2015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RM-PUB</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C5EFDAFC-2B66-4F27-9DD5-4D7E03D41B05}"/>
</file>

<file path=customXml/itemProps2.xml><?xml version="1.0" encoding="utf-8"?>
<ds:datastoreItem xmlns:ds="http://schemas.openxmlformats.org/officeDocument/2006/customXml" ds:itemID="{5A1A720A-00BA-4E39-B3B9-1F50EAFEAEB6}"/>
</file>

<file path=customXml/itemProps3.xml><?xml version="1.0" encoding="utf-8"?>
<ds:datastoreItem xmlns:ds="http://schemas.openxmlformats.org/officeDocument/2006/customXml" ds:itemID="{B1621425-1C45-4E5B-AECD-18049BFAE9B0}"/>
</file>

<file path=customXml/itemProps4.xml><?xml version="1.0" encoding="utf-8"?>
<ds:datastoreItem xmlns:ds="http://schemas.openxmlformats.org/officeDocument/2006/customXml" ds:itemID="{9B36B18D-7BF9-40A7-A3FA-D0350C985383}"/>
</file>

<file path=customXml/itemProps5.xml><?xml version="1.0" encoding="utf-8"?>
<ds:datastoreItem xmlns:ds="http://schemas.openxmlformats.org/officeDocument/2006/customXml" ds:itemID="{CB76CE1F-5725-4A8B-A9AD-112890F7848E}"/>
</file>

<file path=customXml/itemProps6.xml><?xml version="1.0" encoding="utf-8"?>
<ds:datastoreItem xmlns:ds="http://schemas.openxmlformats.org/officeDocument/2006/customXml" ds:itemID="{20C63C82-C89C-48D1-87BD-385FCCC82956}"/>
</file>

<file path=customXml/itemProps7.xml><?xml version="1.0" encoding="utf-8"?>
<ds:datastoreItem xmlns:ds="http://schemas.openxmlformats.org/officeDocument/2006/customXml" ds:itemID="{6C5F8F23-7423-495C-9C96-4E0732B1D3C8}"/>
</file>

<file path=docProps/app.xml><?xml version="1.0" encoding="utf-8"?>
<Properties xmlns="http://schemas.openxmlformats.org/officeDocument/2006/extended-properties" xmlns:vt="http://schemas.openxmlformats.org/officeDocument/2006/docPropsVTypes">
  <Template>Normal.dotm</Template>
  <TotalTime>14</TotalTime>
  <Pages>6</Pages>
  <Words>1630</Words>
  <Characters>8965</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Anáisis Económico</dc:title>
  <dc:creator>Gibbons</dc:creator>
  <cp:lastModifiedBy>Inter-American Development Bank</cp:lastModifiedBy>
  <cp:revision>3</cp:revision>
  <cp:lastPrinted>2012-04-19T20:57:00Z</cp:lastPrinted>
  <dcterms:created xsi:type="dcterms:W3CDTF">2015-11-26T17:39:00Z</dcterms:created>
  <dcterms:modified xsi:type="dcterms:W3CDTF">2015-11-26T17:39:00Z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0x01010046CF21643EE8D14686A648AA6DAD089200A28B7E55B9BA1E45BE8DAFF4B56051F7</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